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A2" w:rsidRDefault="00A71D33" w:rsidP="00D31C5E">
      <w:pPr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福建福发门窗有限公司清洁生产审核公示内容</w:t>
      </w:r>
    </w:p>
    <w:p w:rsidR="00E10BA2" w:rsidRDefault="00A71D33" w:rsidP="00D31C5E">
      <w:pPr>
        <w:spacing w:beforeLines="50" w:before="156" w:afterLines="50" w:after="156" w:line="360" w:lineRule="auto"/>
        <w:ind w:firstLineChars="200" w:firstLine="480"/>
        <w:rPr>
          <w:rFonts w:ascii="宋体" w:hAnsi="宋体" w:cs="仿宋_GB2312"/>
          <w:spacing w:val="10"/>
          <w:sz w:val="24"/>
        </w:rPr>
      </w:pPr>
      <w:r>
        <w:rPr>
          <w:rFonts w:ascii="宋体" w:hAnsi="宋体" w:hint="eastAsia"/>
          <w:sz w:val="24"/>
        </w:rPr>
        <w:t>根据《</w:t>
      </w:r>
      <w:r>
        <w:rPr>
          <w:rFonts w:ascii="宋体" w:hAnsi="宋体"/>
          <w:sz w:val="24"/>
        </w:rPr>
        <w:t>福建省</w:t>
      </w:r>
      <w:r>
        <w:rPr>
          <w:rFonts w:ascii="宋体" w:hAnsi="宋体" w:hint="eastAsia"/>
          <w:sz w:val="24"/>
        </w:rPr>
        <w:t>生态环境</w:t>
      </w:r>
      <w:r>
        <w:rPr>
          <w:rFonts w:ascii="宋体" w:hAnsi="宋体"/>
          <w:sz w:val="24"/>
        </w:rPr>
        <w:t>厅关于公布20</w:t>
      </w:r>
      <w:r>
        <w:rPr>
          <w:rFonts w:ascii="宋体" w:hAnsi="宋体" w:hint="eastAsia"/>
          <w:sz w:val="24"/>
        </w:rPr>
        <w:t>21</w:t>
      </w:r>
      <w:r>
        <w:rPr>
          <w:rFonts w:ascii="宋体" w:hAnsi="宋体"/>
          <w:sz w:val="24"/>
        </w:rPr>
        <w:t>年度</w:t>
      </w:r>
      <w:r>
        <w:rPr>
          <w:rFonts w:ascii="宋体" w:hAnsi="宋体" w:hint="eastAsia"/>
          <w:sz w:val="24"/>
        </w:rPr>
        <w:t>强制性</w:t>
      </w:r>
      <w:r>
        <w:rPr>
          <w:rFonts w:ascii="宋体" w:hAnsi="宋体"/>
          <w:sz w:val="24"/>
        </w:rPr>
        <w:t>清洁生产审核企业名单的通知</w:t>
      </w:r>
      <w:r>
        <w:rPr>
          <w:rFonts w:ascii="宋体" w:hAnsi="宋体" w:hint="eastAsia"/>
          <w:sz w:val="24"/>
        </w:rPr>
        <w:t>》（</w:t>
      </w:r>
      <w:r>
        <w:rPr>
          <w:rFonts w:ascii="宋体" w:hAnsi="宋体"/>
          <w:sz w:val="24"/>
        </w:rPr>
        <w:t>闽</w:t>
      </w:r>
      <w:r>
        <w:rPr>
          <w:rFonts w:ascii="宋体" w:hAnsi="宋体" w:hint="eastAsia"/>
          <w:sz w:val="24"/>
        </w:rPr>
        <w:t>环保科财</w:t>
      </w:r>
      <w:r>
        <w:rPr>
          <w:rFonts w:ascii="宋体" w:hAnsi="宋体"/>
          <w:sz w:val="24"/>
        </w:rPr>
        <w:t>[20</w:t>
      </w:r>
      <w:r>
        <w:rPr>
          <w:rFonts w:ascii="宋体" w:hAnsi="宋体" w:hint="eastAsia"/>
          <w:sz w:val="24"/>
        </w:rPr>
        <w:t>21</w:t>
      </w:r>
      <w:r>
        <w:rPr>
          <w:rFonts w:ascii="宋体" w:hAnsi="宋体"/>
          <w:sz w:val="24"/>
        </w:rPr>
        <w:t>]</w:t>
      </w:r>
      <w:r>
        <w:rPr>
          <w:rFonts w:ascii="宋体" w:hAnsi="宋体" w:hint="eastAsia"/>
          <w:sz w:val="24"/>
        </w:rPr>
        <w:t>14</w:t>
      </w:r>
      <w:r>
        <w:rPr>
          <w:rFonts w:ascii="宋体" w:hAnsi="宋体"/>
          <w:sz w:val="24"/>
        </w:rPr>
        <w:t>号</w:t>
      </w:r>
      <w:r>
        <w:rPr>
          <w:rFonts w:ascii="宋体" w:hAnsi="宋体" w:hint="eastAsia"/>
          <w:sz w:val="24"/>
        </w:rPr>
        <w:t>）》，</w:t>
      </w:r>
      <w:r>
        <w:rPr>
          <w:rFonts w:hint="eastAsia"/>
          <w:spacing w:val="10"/>
          <w:sz w:val="24"/>
        </w:rPr>
        <w:t>福建福发门窗有限公司</w:t>
      </w:r>
      <w:r>
        <w:rPr>
          <w:rFonts w:ascii="宋体" w:hAnsi="宋体" w:hint="eastAsia"/>
          <w:sz w:val="24"/>
        </w:rPr>
        <w:t>作</w:t>
      </w:r>
      <w:r>
        <w:rPr>
          <w:rFonts w:ascii="宋体" w:hAnsi="宋体" w:cs="仿宋_GB2312" w:hint="eastAsia"/>
          <w:spacing w:val="10"/>
          <w:sz w:val="24"/>
        </w:rPr>
        <w:t>为“第二类重点企业”（生产过程中使用有毒有害物质），公司于2021年10月开始开展清洁生产审核工作，并根据《清洁生产审核办法》，对公司信息进行公示，公示内容见表1。</w:t>
      </w:r>
    </w:p>
    <w:p w:rsidR="00E10BA2" w:rsidRDefault="00A71D33">
      <w:pPr>
        <w:spacing w:line="360" w:lineRule="auto"/>
        <w:jc w:val="center"/>
        <w:rPr>
          <w:rFonts w:ascii="宋体" w:hAnsi="宋体" w:cs="仿宋_GB2312"/>
          <w:b/>
          <w:spacing w:val="10"/>
          <w:sz w:val="24"/>
        </w:rPr>
      </w:pPr>
      <w:r>
        <w:rPr>
          <w:rFonts w:ascii="宋体" w:hAnsi="宋体" w:cs="仿宋_GB2312" w:hint="eastAsia"/>
          <w:b/>
          <w:spacing w:val="10"/>
          <w:sz w:val="24"/>
        </w:rPr>
        <w:t>表1 福建福发门窗有限公司使用有毒有害物质情况表</w:t>
      </w:r>
    </w:p>
    <w:tbl>
      <w:tblPr>
        <w:tblStyle w:val="a9"/>
        <w:tblW w:w="14218" w:type="dxa"/>
        <w:tblLayout w:type="fixed"/>
        <w:tblLook w:val="04A0" w:firstRow="1" w:lastRow="0" w:firstColumn="1" w:lastColumn="0" w:noHBand="0" w:noVBand="1"/>
      </w:tblPr>
      <w:tblGrid>
        <w:gridCol w:w="1776"/>
        <w:gridCol w:w="459"/>
        <w:gridCol w:w="283"/>
        <w:gridCol w:w="284"/>
        <w:gridCol w:w="2126"/>
        <w:gridCol w:w="992"/>
        <w:gridCol w:w="1188"/>
        <w:gridCol w:w="88"/>
        <w:gridCol w:w="425"/>
        <w:gridCol w:w="1264"/>
        <w:gridCol w:w="12"/>
        <w:gridCol w:w="5321"/>
      </w:tblGrid>
      <w:tr w:rsidR="00E10BA2">
        <w:tc>
          <w:tcPr>
            <w:tcW w:w="14218" w:type="dxa"/>
            <w:gridSpan w:val="12"/>
          </w:tcPr>
          <w:p w:rsidR="00E10BA2" w:rsidRDefault="00A71D33">
            <w:r>
              <w:rPr>
                <w:rFonts w:hint="eastAsia"/>
              </w:rPr>
              <w:t>一、企业名称、法人代表、地址</w:t>
            </w:r>
          </w:p>
        </w:tc>
      </w:tr>
      <w:tr w:rsidR="00E10BA2">
        <w:tc>
          <w:tcPr>
            <w:tcW w:w="1776" w:type="dxa"/>
          </w:tcPr>
          <w:p w:rsidR="00E10BA2" w:rsidRDefault="00A71D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5332" w:type="dxa"/>
            <w:gridSpan w:val="6"/>
          </w:tcPr>
          <w:p w:rsidR="00E10BA2" w:rsidRDefault="00A71D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福建福发门窗有限公司</w:t>
            </w:r>
          </w:p>
        </w:tc>
        <w:tc>
          <w:tcPr>
            <w:tcW w:w="1777" w:type="dxa"/>
            <w:gridSpan w:val="3"/>
          </w:tcPr>
          <w:p w:rsidR="00E10BA2" w:rsidRDefault="00A71D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5333" w:type="dxa"/>
            <w:gridSpan w:val="2"/>
          </w:tcPr>
          <w:p w:rsidR="00E10BA2" w:rsidRDefault="00A71D33">
            <w:pPr>
              <w:rPr>
                <w:szCs w:val="21"/>
              </w:rPr>
            </w:pPr>
            <w:r>
              <w:rPr>
                <w:szCs w:val="21"/>
              </w:rPr>
              <w:t>陈福强</w:t>
            </w:r>
          </w:p>
        </w:tc>
      </w:tr>
      <w:tr w:rsidR="00E10BA2">
        <w:tc>
          <w:tcPr>
            <w:tcW w:w="1776" w:type="dxa"/>
          </w:tcPr>
          <w:p w:rsidR="00E10BA2" w:rsidRDefault="00A71D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企业所在地</w:t>
            </w:r>
          </w:p>
        </w:tc>
        <w:tc>
          <w:tcPr>
            <w:tcW w:w="12442" w:type="dxa"/>
            <w:gridSpan w:val="11"/>
          </w:tcPr>
          <w:p w:rsidR="00E10BA2" w:rsidRDefault="00A71D33">
            <w:pPr>
              <w:rPr>
                <w:szCs w:val="21"/>
              </w:rPr>
            </w:pPr>
            <w:r>
              <w:rPr>
                <w:szCs w:val="21"/>
              </w:rPr>
              <w:t>洛江区河市镇浮桥村（属洛江经济开发区五金机电产业园）</w:t>
            </w:r>
          </w:p>
        </w:tc>
      </w:tr>
      <w:tr w:rsidR="00E10BA2">
        <w:tc>
          <w:tcPr>
            <w:tcW w:w="14218" w:type="dxa"/>
            <w:gridSpan w:val="12"/>
          </w:tcPr>
          <w:p w:rsidR="00E10BA2" w:rsidRDefault="00A71D33">
            <w:r>
              <w:rPr>
                <w:rFonts w:hint="eastAsia"/>
              </w:rPr>
              <w:t>二、使用有毒有害原料名称、数量、用途，排放有毒有害物质的名称、浓度和数量，危险废物的产生和处置情况，依法落实环境风险防控措施情况</w:t>
            </w:r>
          </w:p>
        </w:tc>
      </w:tr>
      <w:tr w:rsidR="00E10BA2">
        <w:tc>
          <w:tcPr>
            <w:tcW w:w="14218" w:type="dxa"/>
            <w:gridSpan w:val="12"/>
          </w:tcPr>
          <w:p w:rsidR="00E10BA2" w:rsidRDefault="00A71D3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、使用有毒有害原料名称、数量、用途，排放有毒有害物质的名称、浓度和数量</w:t>
            </w:r>
          </w:p>
        </w:tc>
      </w:tr>
      <w:tr w:rsidR="00E10BA2" w:rsidTr="0033447B">
        <w:tc>
          <w:tcPr>
            <w:tcW w:w="2518" w:type="dxa"/>
            <w:gridSpan w:val="3"/>
          </w:tcPr>
          <w:p w:rsidR="00E10BA2" w:rsidRDefault="00A71D33">
            <w:pPr>
              <w:jc w:val="center"/>
            </w:pPr>
            <w:r>
              <w:rPr>
                <w:rFonts w:hint="eastAsia"/>
              </w:rPr>
              <w:t>有毒有害原料名称</w:t>
            </w:r>
          </w:p>
        </w:tc>
        <w:tc>
          <w:tcPr>
            <w:tcW w:w="5103" w:type="dxa"/>
            <w:gridSpan w:val="6"/>
          </w:tcPr>
          <w:p w:rsidR="00E10BA2" w:rsidRDefault="00A71D33">
            <w:pPr>
              <w:jc w:val="center"/>
            </w:pPr>
            <w:r>
              <w:rPr>
                <w:rFonts w:hint="eastAsia"/>
              </w:rPr>
              <w:t>使用数量（单位</w:t>
            </w:r>
            <w:r>
              <w:rPr>
                <w:rFonts w:hint="eastAsia"/>
              </w:rPr>
              <w:t>:</w:t>
            </w:r>
            <w:r w:rsidR="003901E7">
              <w:rPr>
                <w:rFonts w:hint="eastAsia"/>
              </w:rPr>
              <w:t>吨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2"/>
          </w:tcPr>
          <w:p w:rsidR="00E10BA2" w:rsidRDefault="00A71D33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5321" w:type="dxa"/>
          </w:tcPr>
          <w:p w:rsidR="00E10BA2" w:rsidRDefault="00A71D33">
            <w:pPr>
              <w:jc w:val="center"/>
            </w:pPr>
            <w:r>
              <w:rPr>
                <w:rFonts w:hint="eastAsia"/>
              </w:rPr>
              <w:t>排放有毒有害物质的名称</w:t>
            </w:r>
          </w:p>
        </w:tc>
      </w:tr>
      <w:tr w:rsidR="003858E7" w:rsidTr="0033447B">
        <w:tc>
          <w:tcPr>
            <w:tcW w:w="2518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聚酯底漆</w:t>
            </w:r>
          </w:p>
        </w:tc>
        <w:tc>
          <w:tcPr>
            <w:tcW w:w="5103" w:type="dxa"/>
            <w:gridSpan w:val="6"/>
            <w:vAlign w:val="center"/>
          </w:tcPr>
          <w:p w:rsidR="003858E7" w:rsidRPr="003901E7" w:rsidRDefault="003901E7" w:rsidP="00206157">
            <w:pPr>
              <w:pStyle w:val="c2"/>
              <w:spacing w:line="30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201</w:t>
            </w:r>
            <w:r w:rsidR="00206157">
              <w:rPr>
                <w:rFonts w:eastAsia="宋体" w:hint="eastAsia"/>
                <w:bCs/>
                <w:sz w:val="21"/>
                <w:szCs w:val="21"/>
                <w:lang w:eastAsia="zh-CN"/>
              </w:rPr>
              <w:t>8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年</w:t>
            </w:r>
            <w:r w:rsidR="0033447B">
              <w:rPr>
                <w:rFonts w:eastAsia="宋体" w:hint="eastAsia"/>
                <w:bCs/>
                <w:sz w:val="21"/>
                <w:szCs w:val="21"/>
                <w:lang w:eastAsia="zh-CN"/>
              </w:rPr>
              <w:t>3.2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吨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,20</w:t>
            </w:r>
            <w:r w:rsidR="00206157">
              <w:rPr>
                <w:rFonts w:eastAsia="宋体" w:hint="eastAsia"/>
                <w:bCs/>
                <w:sz w:val="21"/>
                <w:szCs w:val="21"/>
                <w:lang w:eastAsia="zh-CN"/>
              </w:rPr>
              <w:t>19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年</w:t>
            </w:r>
            <w:r w:rsidR="0033447B">
              <w:rPr>
                <w:rFonts w:eastAsia="宋体" w:hint="eastAsia"/>
                <w:bCs/>
                <w:sz w:val="21"/>
                <w:szCs w:val="21"/>
                <w:lang w:eastAsia="zh-CN"/>
              </w:rPr>
              <w:t>3.4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吨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,202</w:t>
            </w:r>
            <w:r w:rsidR="00206157">
              <w:rPr>
                <w:rFonts w:eastAsia="宋体" w:hint="eastAsia"/>
                <w:bCs/>
                <w:sz w:val="21"/>
                <w:szCs w:val="21"/>
                <w:lang w:eastAsia="zh-CN"/>
              </w:rPr>
              <w:t>0</w:t>
            </w:r>
            <w:r w:rsidR="00206157">
              <w:rPr>
                <w:rFonts w:eastAsia="宋体" w:hint="eastAsia"/>
                <w:bCs/>
                <w:sz w:val="21"/>
                <w:szCs w:val="21"/>
                <w:lang w:eastAsia="zh-CN"/>
              </w:rPr>
              <w:t>年</w:t>
            </w:r>
            <w:r w:rsidR="0033447B">
              <w:rPr>
                <w:rFonts w:eastAsia="宋体" w:hint="eastAsia"/>
                <w:bCs/>
                <w:sz w:val="21"/>
                <w:szCs w:val="21"/>
                <w:lang w:eastAsia="zh-CN"/>
              </w:rPr>
              <w:t>3.1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1276" w:type="dxa"/>
            <w:gridSpan w:val="2"/>
          </w:tcPr>
          <w:p w:rsidR="003858E7" w:rsidRDefault="003858E7" w:rsidP="003858E7">
            <w:pPr>
              <w:jc w:val="center"/>
            </w:pPr>
            <w:r>
              <w:rPr>
                <w:rFonts w:hint="eastAsia"/>
              </w:rPr>
              <w:t>喷涂</w:t>
            </w:r>
          </w:p>
        </w:tc>
        <w:tc>
          <w:tcPr>
            <w:tcW w:w="5321" w:type="dxa"/>
          </w:tcPr>
          <w:p w:rsidR="003858E7" w:rsidRDefault="003858E7" w:rsidP="003858E7">
            <w:pPr>
              <w:jc w:val="center"/>
            </w:pPr>
            <w:r>
              <w:t>苯</w:t>
            </w:r>
            <w:r>
              <w:rPr>
                <w:rFonts w:hint="eastAsia"/>
              </w:rPr>
              <w:t>、</w:t>
            </w:r>
            <w:r>
              <w:t>甲苯</w:t>
            </w:r>
            <w:r>
              <w:rPr>
                <w:rFonts w:hint="eastAsia"/>
              </w:rPr>
              <w:t>、</w:t>
            </w:r>
            <w:r>
              <w:t>二甲苯</w:t>
            </w:r>
            <w:r>
              <w:rPr>
                <w:rFonts w:hint="eastAsia"/>
              </w:rPr>
              <w:t>、</w:t>
            </w:r>
            <w:r>
              <w:t>非甲烷总烃</w:t>
            </w:r>
            <w:r>
              <w:rPr>
                <w:rFonts w:hint="eastAsia"/>
              </w:rPr>
              <w:t>、</w:t>
            </w:r>
            <w:r>
              <w:t>乙酸乙酯</w:t>
            </w:r>
            <w:r>
              <w:rPr>
                <w:rFonts w:hint="eastAsia"/>
              </w:rPr>
              <w:t>、</w:t>
            </w:r>
            <w:r>
              <w:t>乙酸丁酯</w:t>
            </w:r>
          </w:p>
        </w:tc>
      </w:tr>
      <w:tr w:rsidR="003858E7" w:rsidTr="0033447B">
        <w:tc>
          <w:tcPr>
            <w:tcW w:w="2518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聚酯面漆</w:t>
            </w:r>
          </w:p>
        </w:tc>
        <w:tc>
          <w:tcPr>
            <w:tcW w:w="5103" w:type="dxa"/>
            <w:gridSpan w:val="6"/>
            <w:vAlign w:val="center"/>
          </w:tcPr>
          <w:p w:rsidR="003858E7" w:rsidRPr="003901E7" w:rsidRDefault="003901E7" w:rsidP="00206157">
            <w:pPr>
              <w:pStyle w:val="c2"/>
              <w:spacing w:line="30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201</w:t>
            </w:r>
            <w:r w:rsidR="00206157">
              <w:rPr>
                <w:rFonts w:eastAsia="宋体" w:hint="eastAsia"/>
                <w:bCs/>
                <w:sz w:val="21"/>
                <w:szCs w:val="21"/>
                <w:lang w:eastAsia="zh-CN"/>
              </w:rPr>
              <w:t>8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年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10.5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吨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,20</w:t>
            </w:r>
            <w:r w:rsidR="00206157">
              <w:rPr>
                <w:rFonts w:eastAsia="宋体" w:hint="eastAsia"/>
                <w:bCs/>
                <w:sz w:val="21"/>
                <w:szCs w:val="21"/>
                <w:lang w:eastAsia="zh-CN"/>
              </w:rPr>
              <w:t>19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年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11.7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吨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,202</w:t>
            </w:r>
            <w:r w:rsidR="00206157">
              <w:rPr>
                <w:rFonts w:eastAsia="宋体" w:hint="eastAsia"/>
                <w:bCs/>
                <w:sz w:val="21"/>
                <w:szCs w:val="21"/>
                <w:lang w:eastAsia="zh-CN"/>
              </w:rPr>
              <w:t>0</w:t>
            </w:r>
            <w:r w:rsidR="00206157">
              <w:rPr>
                <w:rFonts w:eastAsia="宋体" w:hint="eastAsia"/>
                <w:bCs/>
                <w:sz w:val="21"/>
                <w:szCs w:val="21"/>
                <w:lang w:eastAsia="zh-CN"/>
              </w:rPr>
              <w:t>年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10.3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1276" w:type="dxa"/>
            <w:gridSpan w:val="2"/>
          </w:tcPr>
          <w:p w:rsidR="003858E7" w:rsidRDefault="003858E7" w:rsidP="003858E7">
            <w:pPr>
              <w:jc w:val="center"/>
            </w:pPr>
            <w:r>
              <w:rPr>
                <w:rFonts w:hint="eastAsia"/>
              </w:rPr>
              <w:t>喷涂</w:t>
            </w:r>
          </w:p>
        </w:tc>
        <w:tc>
          <w:tcPr>
            <w:tcW w:w="5321" w:type="dxa"/>
          </w:tcPr>
          <w:p w:rsidR="003858E7" w:rsidRDefault="003858E7" w:rsidP="003858E7">
            <w:pPr>
              <w:jc w:val="center"/>
            </w:pPr>
            <w:r>
              <w:t>苯</w:t>
            </w:r>
            <w:r>
              <w:rPr>
                <w:rFonts w:hint="eastAsia"/>
              </w:rPr>
              <w:t>、</w:t>
            </w:r>
            <w:r>
              <w:t>甲苯</w:t>
            </w:r>
            <w:r>
              <w:rPr>
                <w:rFonts w:hint="eastAsia"/>
              </w:rPr>
              <w:t>、</w:t>
            </w:r>
            <w:r>
              <w:t>二甲苯</w:t>
            </w:r>
            <w:r>
              <w:rPr>
                <w:rFonts w:hint="eastAsia"/>
              </w:rPr>
              <w:t>、</w:t>
            </w:r>
            <w:r>
              <w:t>非甲烷总烃</w:t>
            </w:r>
            <w:r>
              <w:rPr>
                <w:rFonts w:hint="eastAsia"/>
              </w:rPr>
              <w:t>、</w:t>
            </w:r>
            <w:r>
              <w:t>乙酸乙酯</w:t>
            </w:r>
            <w:r>
              <w:rPr>
                <w:rFonts w:hint="eastAsia"/>
              </w:rPr>
              <w:t>、</w:t>
            </w:r>
            <w:r>
              <w:t>乙酸丁酯</w:t>
            </w:r>
          </w:p>
        </w:tc>
      </w:tr>
      <w:tr w:rsidR="003858E7" w:rsidTr="0033447B">
        <w:tc>
          <w:tcPr>
            <w:tcW w:w="2518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稀释剂</w:t>
            </w:r>
          </w:p>
        </w:tc>
        <w:tc>
          <w:tcPr>
            <w:tcW w:w="5103" w:type="dxa"/>
            <w:gridSpan w:val="6"/>
            <w:vAlign w:val="center"/>
          </w:tcPr>
          <w:p w:rsidR="003858E7" w:rsidRPr="003901E7" w:rsidRDefault="003F386F" w:rsidP="00206157">
            <w:pPr>
              <w:pStyle w:val="c2"/>
              <w:spacing w:line="30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201</w:t>
            </w:r>
            <w:r w:rsidR="00206157">
              <w:rPr>
                <w:rFonts w:eastAsia="宋体" w:hint="eastAsia"/>
                <w:bCs/>
                <w:sz w:val="21"/>
                <w:szCs w:val="21"/>
                <w:lang w:eastAsia="zh-CN"/>
              </w:rPr>
              <w:t>8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年</w:t>
            </w:r>
            <w:r w:rsidR="00F657E5">
              <w:rPr>
                <w:rFonts w:eastAsia="宋体" w:hint="eastAsia"/>
                <w:bCs/>
                <w:sz w:val="21"/>
                <w:szCs w:val="21"/>
                <w:lang w:eastAsia="zh-CN"/>
              </w:rPr>
              <w:t>6.9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吨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,20</w:t>
            </w:r>
            <w:r w:rsidR="00206157">
              <w:rPr>
                <w:rFonts w:eastAsia="宋体" w:hint="eastAsia"/>
                <w:bCs/>
                <w:sz w:val="21"/>
                <w:szCs w:val="21"/>
                <w:lang w:eastAsia="zh-CN"/>
              </w:rPr>
              <w:t>19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年</w:t>
            </w:r>
            <w:r w:rsidR="00F657E5">
              <w:rPr>
                <w:rFonts w:eastAsia="宋体" w:hint="eastAsia"/>
                <w:bCs/>
                <w:sz w:val="21"/>
                <w:szCs w:val="21"/>
                <w:lang w:eastAsia="zh-CN"/>
              </w:rPr>
              <w:t>7.3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吨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,202</w:t>
            </w:r>
            <w:r w:rsidR="00206157">
              <w:rPr>
                <w:rFonts w:eastAsia="宋体" w:hint="eastAsia"/>
                <w:bCs/>
                <w:sz w:val="21"/>
                <w:szCs w:val="21"/>
                <w:lang w:eastAsia="zh-CN"/>
              </w:rPr>
              <w:t>0</w:t>
            </w:r>
            <w:r w:rsidR="00206157">
              <w:rPr>
                <w:rFonts w:eastAsia="宋体" w:hint="eastAsia"/>
                <w:bCs/>
                <w:sz w:val="21"/>
                <w:szCs w:val="21"/>
                <w:lang w:eastAsia="zh-CN"/>
              </w:rPr>
              <w:t>年</w:t>
            </w:r>
            <w:r w:rsidR="00F657E5">
              <w:rPr>
                <w:rFonts w:eastAsia="宋体" w:hint="eastAsia"/>
                <w:bCs/>
                <w:sz w:val="21"/>
                <w:szCs w:val="21"/>
                <w:lang w:eastAsia="zh-CN"/>
              </w:rPr>
              <w:t>6.6</w:t>
            </w:r>
            <w:r w:rsidRPr="003901E7">
              <w:rPr>
                <w:rFonts w:eastAsia="宋体" w:hint="eastAsia"/>
                <w:bCs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1276" w:type="dxa"/>
            <w:gridSpan w:val="2"/>
          </w:tcPr>
          <w:p w:rsidR="003858E7" w:rsidRDefault="003858E7" w:rsidP="003858E7">
            <w:pPr>
              <w:jc w:val="center"/>
            </w:pPr>
            <w:r>
              <w:rPr>
                <w:rFonts w:hint="eastAsia"/>
              </w:rPr>
              <w:t>稀释</w:t>
            </w:r>
          </w:p>
        </w:tc>
        <w:tc>
          <w:tcPr>
            <w:tcW w:w="5321" w:type="dxa"/>
          </w:tcPr>
          <w:p w:rsidR="003858E7" w:rsidRDefault="003858E7" w:rsidP="003858E7">
            <w:pPr>
              <w:jc w:val="center"/>
            </w:pPr>
            <w:r>
              <w:t>苯</w:t>
            </w:r>
            <w:r>
              <w:rPr>
                <w:rFonts w:hint="eastAsia"/>
              </w:rPr>
              <w:t>、</w:t>
            </w:r>
            <w:r>
              <w:t>甲苯</w:t>
            </w:r>
            <w:r>
              <w:rPr>
                <w:rFonts w:hint="eastAsia"/>
              </w:rPr>
              <w:t>、</w:t>
            </w:r>
            <w:r>
              <w:t>二甲苯</w:t>
            </w:r>
            <w:r>
              <w:rPr>
                <w:rFonts w:hint="eastAsia"/>
              </w:rPr>
              <w:t>、</w:t>
            </w:r>
            <w:r>
              <w:t>非甲烷总烃</w:t>
            </w:r>
            <w:r>
              <w:rPr>
                <w:rFonts w:hint="eastAsia"/>
              </w:rPr>
              <w:t>、</w:t>
            </w:r>
            <w:r>
              <w:t>乙酸乙酯</w:t>
            </w:r>
            <w:r>
              <w:rPr>
                <w:rFonts w:hint="eastAsia"/>
              </w:rPr>
              <w:t>、</w:t>
            </w:r>
            <w:r>
              <w:t>乙酸丁酯</w:t>
            </w:r>
          </w:p>
        </w:tc>
      </w:tr>
      <w:tr w:rsidR="003858E7" w:rsidTr="0033447B">
        <w:tc>
          <w:tcPr>
            <w:tcW w:w="2518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</w:tcPr>
          <w:p w:rsidR="003858E7" w:rsidRDefault="003858E7" w:rsidP="003858E7">
            <w:pPr>
              <w:jc w:val="center"/>
            </w:pPr>
          </w:p>
        </w:tc>
      </w:tr>
      <w:tr w:rsidR="003858E7" w:rsidTr="0033447B">
        <w:tc>
          <w:tcPr>
            <w:tcW w:w="2518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</w:tcPr>
          <w:p w:rsidR="003858E7" w:rsidRDefault="003858E7" w:rsidP="003858E7">
            <w:pPr>
              <w:jc w:val="center"/>
            </w:pPr>
          </w:p>
        </w:tc>
      </w:tr>
      <w:tr w:rsidR="003858E7" w:rsidTr="0033447B">
        <w:tc>
          <w:tcPr>
            <w:tcW w:w="2518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</w:tcPr>
          <w:p w:rsidR="003858E7" w:rsidRDefault="003858E7" w:rsidP="003858E7">
            <w:pPr>
              <w:jc w:val="center"/>
            </w:pPr>
          </w:p>
        </w:tc>
      </w:tr>
      <w:tr w:rsidR="003858E7" w:rsidTr="0033447B">
        <w:tc>
          <w:tcPr>
            <w:tcW w:w="2518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</w:tcPr>
          <w:p w:rsidR="003858E7" w:rsidRDefault="003858E7" w:rsidP="003858E7">
            <w:pPr>
              <w:jc w:val="center"/>
            </w:pPr>
          </w:p>
        </w:tc>
      </w:tr>
      <w:tr w:rsidR="003858E7" w:rsidTr="0033447B">
        <w:tc>
          <w:tcPr>
            <w:tcW w:w="2518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</w:tcPr>
          <w:p w:rsidR="003858E7" w:rsidRDefault="003858E7" w:rsidP="003858E7">
            <w:pPr>
              <w:jc w:val="center"/>
            </w:pPr>
          </w:p>
        </w:tc>
      </w:tr>
      <w:tr w:rsidR="003858E7" w:rsidTr="0033447B">
        <w:tc>
          <w:tcPr>
            <w:tcW w:w="2518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rFonts w:ascii="Times New Roman" w:eastAsia="宋体" w:hAnsi="Times New Roman" w:cs="宋体"/>
                <w:color w:val="000000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</w:tcPr>
          <w:p w:rsidR="003858E7" w:rsidRDefault="003858E7" w:rsidP="003858E7">
            <w:pPr>
              <w:jc w:val="center"/>
            </w:pPr>
          </w:p>
        </w:tc>
      </w:tr>
      <w:tr w:rsidR="003858E7" w:rsidTr="0033447B">
        <w:tc>
          <w:tcPr>
            <w:tcW w:w="2518" w:type="dxa"/>
            <w:gridSpan w:val="3"/>
          </w:tcPr>
          <w:p w:rsidR="003858E7" w:rsidRDefault="003858E7" w:rsidP="003858E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</w:tcPr>
          <w:p w:rsidR="003858E7" w:rsidRDefault="003858E7" w:rsidP="003858E7">
            <w:pPr>
              <w:jc w:val="center"/>
            </w:pPr>
          </w:p>
        </w:tc>
      </w:tr>
      <w:tr w:rsidR="003858E7" w:rsidTr="0033447B">
        <w:tc>
          <w:tcPr>
            <w:tcW w:w="2518" w:type="dxa"/>
            <w:gridSpan w:val="3"/>
          </w:tcPr>
          <w:p w:rsidR="003858E7" w:rsidRDefault="003858E7" w:rsidP="003858E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858E7" w:rsidRDefault="003858E7" w:rsidP="003858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58E7" w:rsidRDefault="003858E7" w:rsidP="003858E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321" w:type="dxa"/>
          </w:tcPr>
          <w:p w:rsidR="003858E7" w:rsidRDefault="003858E7" w:rsidP="003858E7">
            <w:pPr>
              <w:jc w:val="center"/>
              <w:rPr>
                <w:highlight w:val="yellow"/>
              </w:rPr>
            </w:pPr>
          </w:p>
        </w:tc>
      </w:tr>
      <w:tr w:rsidR="003858E7" w:rsidTr="0033447B">
        <w:tc>
          <w:tcPr>
            <w:tcW w:w="2518" w:type="dxa"/>
            <w:gridSpan w:val="3"/>
          </w:tcPr>
          <w:p w:rsidR="003858E7" w:rsidRDefault="003858E7" w:rsidP="003858E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858E7" w:rsidRDefault="003858E7" w:rsidP="003858E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58E7" w:rsidRDefault="003858E7" w:rsidP="003858E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321" w:type="dxa"/>
          </w:tcPr>
          <w:p w:rsidR="003858E7" w:rsidRDefault="003858E7" w:rsidP="003858E7">
            <w:pPr>
              <w:jc w:val="center"/>
              <w:rPr>
                <w:highlight w:val="yellow"/>
              </w:rPr>
            </w:pPr>
          </w:p>
        </w:tc>
      </w:tr>
      <w:tr w:rsidR="003858E7">
        <w:tc>
          <w:tcPr>
            <w:tcW w:w="14218" w:type="dxa"/>
            <w:gridSpan w:val="12"/>
            <w:vAlign w:val="center"/>
          </w:tcPr>
          <w:p w:rsidR="003858E7" w:rsidRDefault="003858E7" w:rsidP="003858E7">
            <w:pPr>
              <w:rPr>
                <w:highlight w:val="yellow"/>
              </w:rPr>
            </w:pPr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</w:t>
            </w:r>
            <w:r>
              <w:t>有毒有害物质排浓度及数量</w:t>
            </w:r>
            <w:bookmarkStart w:id="0" w:name="_GoBack"/>
            <w:bookmarkEnd w:id="0"/>
          </w:p>
        </w:tc>
      </w:tr>
      <w:tr w:rsidR="003858E7" w:rsidTr="00944A56">
        <w:tc>
          <w:tcPr>
            <w:tcW w:w="2235" w:type="dxa"/>
            <w:gridSpan w:val="2"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sz w:val="21"/>
                <w:szCs w:val="21"/>
                <w:lang w:eastAsia="zh-CN"/>
              </w:rPr>
              <w:t>种类</w:t>
            </w:r>
          </w:p>
        </w:tc>
        <w:tc>
          <w:tcPr>
            <w:tcW w:w="2693" w:type="dxa"/>
            <w:gridSpan w:val="3"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/>
                <w:szCs w:val="21"/>
              </w:rPr>
              <w:t>污染物</w:t>
            </w:r>
            <w:r>
              <w:rPr>
                <w:rFonts w:eastAsia="宋体"/>
                <w:color w:val="000000"/>
                <w:szCs w:val="21"/>
              </w:rPr>
              <w:t>名称</w:t>
            </w:r>
          </w:p>
        </w:tc>
        <w:tc>
          <w:tcPr>
            <w:tcW w:w="2268" w:type="dxa"/>
            <w:gridSpan w:val="3"/>
            <w:vAlign w:val="center"/>
          </w:tcPr>
          <w:p w:rsidR="003858E7" w:rsidRDefault="003858E7" w:rsidP="003858E7">
            <w:pPr>
              <w:jc w:val="center"/>
            </w:pPr>
            <w:r>
              <w:rPr>
                <w:rFonts w:eastAsia="宋体" w:hint="eastAsia"/>
                <w:bCs/>
                <w:szCs w:val="21"/>
              </w:rPr>
              <w:t>排放</w:t>
            </w:r>
            <w:r>
              <w:rPr>
                <w:rFonts w:eastAsia="宋体"/>
                <w:bCs/>
                <w:szCs w:val="21"/>
              </w:rPr>
              <w:t>浓度</w:t>
            </w:r>
            <w:r>
              <w:rPr>
                <w:rFonts w:eastAsia="宋体" w:hint="eastAsia"/>
                <w:bCs/>
                <w:szCs w:val="21"/>
              </w:rPr>
              <w:t>（</w:t>
            </w:r>
            <w:r>
              <w:rPr>
                <w:rFonts w:eastAsia="宋体" w:hint="eastAsia"/>
                <w:bCs/>
                <w:szCs w:val="21"/>
              </w:rPr>
              <w:t>mg/L</w:t>
            </w:r>
            <w:r>
              <w:rPr>
                <w:rFonts w:eastAsia="宋体" w:hint="eastAsia"/>
                <w:bCs/>
                <w:szCs w:val="21"/>
              </w:rPr>
              <w:t>）</w:t>
            </w:r>
          </w:p>
        </w:tc>
        <w:tc>
          <w:tcPr>
            <w:tcW w:w="7022" w:type="dxa"/>
            <w:gridSpan w:val="4"/>
          </w:tcPr>
          <w:p w:rsidR="003858E7" w:rsidRDefault="003858E7" w:rsidP="003858E7">
            <w:pPr>
              <w:jc w:val="center"/>
              <w:rPr>
                <w:highlight w:val="yellow"/>
              </w:rPr>
            </w:pPr>
            <w:r>
              <w:rPr>
                <w:rFonts w:ascii="Times New Roman" w:eastAsia="宋体" w:hAnsi="Times New Roman" w:hint="eastAsia"/>
                <w:color w:val="000000"/>
                <w:szCs w:val="21"/>
              </w:rPr>
              <w:t>排放</w:t>
            </w:r>
            <w:r>
              <w:rPr>
                <w:rFonts w:ascii="Times New Roman" w:eastAsia="宋体" w:hAnsi="Times New Roman"/>
                <w:color w:val="000000"/>
                <w:szCs w:val="21"/>
              </w:rPr>
              <w:t>量</w:t>
            </w:r>
            <w:r>
              <w:rPr>
                <w:rFonts w:ascii="Times New Roman" w:eastAsia="宋体" w:hAnsi="Times New Roman" w:hint="eastAsia"/>
                <w:color w:val="000000"/>
                <w:szCs w:val="21"/>
              </w:rPr>
              <w:t>(</w:t>
            </w:r>
            <w:r>
              <w:rPr>
                <w:rFonts w:ascii="Times New Roman" w:eastAsia="宋体" w:hAnsi="Times New Roman"/>
                <w:color w:val="000000"/>
                <w:szCs w:val="21"/>
              </w:rPr>
              <w:t>t/a</w:t>
            </w:r>
            <w:r>
              <w:rPr>
                <w:rFonts w:ascii="Times New Roman" w:eastAsia="宋体" w:hAnsi="Times New Roman" w:hint="eastAsia"/>
                <w:color w:val="000000"/>
                <w:szCs w:val="21"/>
              </w:rPr>
              <w:t>)</w:t>
            </w:r>
          </w:p>
        </w:tc>
      </w:tr>
      <w:tr w:rsidR="003858E7" w:rsidTr="00944A56">
        <w:tc>
          <w:tcPr>
            <w:tcW w:w="2235" w:type="dxa"/>
            <w:gridSpan w:val="2"/>
            <w:vMerge w:val="restart"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废水</w:t>
            </w:r>
          </w:p>
        </w:tc>
        <w:tc>
          <w:tcPr>
            <w:tcW w:w="2693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废水量</w:t>
            </w:r>
          </w:p>
        </w:tc>
        <w:tc>
          <w:tcPr>
            <w:tcW w:w="2268" w:type="dxa"/>
            <w:gridSpan w:val="3"/>
            <w:vAlign w:val="center"/>
          </w:tcPr>
          <w:p w:rsidR="003858E7" w:rsidRDefault="003858E7" w:rsidP="003858E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022" w:type="dxa"/>
            <w:gridSpan w:val="4"/>
            <w:vAlign w:val="center"/>
          </w:tcPr>
          <w:p w:rsidR="003858E7" w:rsidRPr="00D26305" w:rsidRDefault="00D26305" w:rsidP="003858E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305">
              <w:rPr>
                <w:color w:val="000000"/>
                <w:sz w:val="24"/>
                <w:szCs w:val="24"/>
              </w:rPr>
              <w:t>3825</w:t>
            </w:r>
            <w:r w:rsidR="003858E7" w:rsidRPr="00D26305">
              <w:rPr>
                <w:color w:val="000000"/>
                <w:sz w:val="24"/>
                <w:szCs w:val="24"/>
              </w:rPr>
              <w:t>t</w:t>
            </w:r>
          </w:p>
        </w:tc>
      </w:tr>
      <w:tr w:rsidR="003858E7" w:rsidTr="00944A56">
        <w:tc>
          <w:tcPr>
            <w:tcW w:w="2235" w:type="dxa"/>
            <w:gridSpan w:val="2"/>
            <w:vMerge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COD</w:t>
            </w:r>
          </w:p>
        </w:tc>
        <w:tc>
          <w:tcPr>
            <w:tcW w:w="2268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22" w:type="dxa"/>
            <w:gridSpan w:val="4"/>
            <w:vAlign w:val="center"/>
          </w:tcPr>
          <w:p w:rsidR="003858E7" w:rsidRPr="00D26305" w:rsidRDefault="003858E7" w:rsidP="003858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8E7" w:rsidTr="00944A56">
        <w:tc>
          <w:tcPr>
            <w:tcW w:w="2235" w:type="dxa"/>
            <w:gridSpan w:val="2"/>
            <w:vMerge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氨氮</w:t>
            </w:r>
          </w:p>
        </w:tc>
        <w:tc>
          <w:tcPr>
            <w:tcW w:w="2268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0.270</w:t>
            </w:r>
          </w:p>
        </w:tc>
        <w:tc>
          <w:tcPr>
            <w:tcW w:w="7022" w:type="dxa"/>
            <w:gridSpan w:val="4"/>
            <w:vAlign w:val="center"/>
          </w:tcPr>
          <w:p w:rsidR="003858E7" w:rsidRPr="00D26305" w:rsidRDefault="003858E7" w:rsidP="003858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8E7" w:rsidTr="00944A56">
        <w:tc>
          <w:tcPr>
            <w:tcW w:w="2235" w:type="dxa"/>
            <w:gridSpan w:val="2"/>
            <w:vMerge w:val="restart"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废气</w:t>
            </w:r>
          </w:p>
        </w:tc>
        <w:tc>
          <w:tcPr>
            <w:tcW w:w="2693" w:type="dxa"/>
            <w:gridSpan w:val="3"/>
            <w:vAlign w:val="center"/>
          </w:tcPr>
          <w:p w:rsidR="003858E7" w:rsidRDefault="003858E7" w:rsidP="003858E7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颗粒物</w:t>
            </w:r>
          </w:p>
        </w:tc>
        <w:tc>
          <w:tcPr>
            <w:tcW w:w="2268" w:type="dxa"/>
            <w:gridSpan w:val="3"/>
            <w:vAlign w:val="center"/>
          </w:tcPr>
          <w:p w:rsidR="003858E7" w:rsidRDefault="00D26305" w:rsidP="003858E7">
            <w:pPr>
              <w:pStyle w:val="c2"/>
              <w:rPr>
                <w:rFonts w:eastAsia="宋体"/>
                <w:bCs/>
                <w:szCs w:val="24"/>
              </w:rPr>
            </w:pPr>
            <w:r>
              <w:rPr>
                <w:rFonts w:eastAsia="宋体"/>
                <w:bCs/>
                <w:szCs w:val="24"/>
              </w:rPr>
              <w:t>23.9</w:t>
            </w:r>
          </w:p>
        </w:tc>
        <w:tc>
          <w:tcPr>
            <w:tcW w:w="7022" w:type="dxa"/>
            <w:gridSpan w:val="4"/>
            <w:vAlign w:val="center"/>
          </w:tcPr>
          <w:p w:rsidR="003858E7" w:rsidRDefault="003858E7" w:rsidP="003858E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8E7" w:rsidTr="00944A56">
        <w:trPr>
          <w:trHeight w:val="120"/>
        </w:trPr>
        <w:tc>
          <w:tcPr>
            <w:tcW w:w="2235" w:type="dxa"/>
            <w:gridSpan w:val="2"/>
            <w:vMerge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非甲烷总烃</w:t>
            </w:r>
          </w:p>
        </w:tc>
        <w:tc>
          <w:tcPr>
            <w:tcW w:w="2268" w:type="dxa"/>
            <w:gridSpan w:val="3"/>
            <w:vAlign w:val="center"/>
          </w:tcPr>
          <w:p w:rsidR="003858E7" w:rsidRDefault="00D26305" w:rsidP="00D26305">
            <w:pPr>
              <w:pStyle w:val="c2"/>
              <w:rPr>
                <w:rFonts w:eastAsia="宋体"/>
                <w:bCs/>
                <w:szCs w:val="24"/>
              </w:rPr>
            </w:pPr>
            <w:r>
              <w:rPr>
                <w:rFonts w:eastAsia="宋体" w:hint="cs"/>
                <w:bCs/>
                <w:szCs w:val="24"/>
              </w:rPr>
              <w:t>2</w:t>
            </w:r>
            <w:r>
              <w:rPr>
                <w:rFonts w:eastAsia="宋体"/>
                <w:bCs/>
                <w:szCs w:val="24"/>
              </w:rPr>
              <w:t>2.8</w:t>
            </w:r>
          </w:p>
        </w:tc>
        <w:tc>
          <w:tcPr>
            <w:tcW w:w="702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8E7" w:rsidTr="00944A56">
        <w:tc>
          <w:tcPr>
            <w:tcW w:w="2235" w:type="dxa"/>
            <w:gridSpan w:val="2"/>
            <w:vMerge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苯</w:t>
            </w:r>
          </w:p>
        </w:tc>
        <w:tc>
          <w:tcPr>
            <w:tcW w:w="2268" w:type="dxa"/>
            <w:gridSpan w:val="3"/>
            <w:vAlign w:val="center"/>
          </w:tcPr>
          <w:p w:rsidR="003858E7" w:rsidRDefault="00D26305" w:rsidP="003858E7">
            <w:pPr>
              <w:pStyle w:val="c2"/>
              <w:rPr>
                <w:rFonts w:eastAsia="宋体" w:hint="eastAsia"/>
                <w:bCs/>
                <w:szCs w:val="24"/>
                <w:lang w:eastAsia="zh-CN"/>
              </w:rPr>
            </w:pPr>
            <w:r>
              <w:rPr>
                <w:rFonts w:eastAsia="宋体" w:hint="eastAsia"/>
                <w:bCs/>
                <w:szCs w:val="24"/>
                <w:lang w:eastAsia="zh-CN"/>
              </w:rPr>
              <w:t>未检出</w:t>
            </w:r>
          </w:p>
        </w:tc>
        <w:tc>
          <w:tcPr>
            <w:tcW w:w="702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8E7" w:rsidTr="00944A56">
        <w:tc>
          <w:tcPr>
            <w:tcW w:w="2235" w:type="dxa"/>
            <w:gridSpan w:val="2"/>
            <w:vMerge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甲苯</w:t>
            </w:r>
          </w:p>
        </w:tc>
        <w:tc>
          <w:tcPr>
            <w:tcW w:w="2268" w:type="dxa"/>
            <w:gridSpan w:val="3"/>
            <w:vAlign w:val="center"/>
          </w:tcPr>
          <w:p w:rsidR="003858E7" w:rsidRDefault="00D26305" w:rsidP="003858E7">
            <w:pPr>
              <w:pStyle w:val="c2"/>
              <w:rPr>
                <w:rFonts w:eastAsia="宋体"/>
                <w:bCs/>
                <w:szCs w:val="24"/>
              </w:rPr>
            </w:pPr>
            <w:r>
              <w:rPr>
                <w:rFonts w:eastAsia="宋体" w:hint="eastAsia"/>
                <w:bCs/>
                <w:szCs w:val="24"/>
                <w:lang w:eastAsia="zh-CN"/>
              </w:rPr>
              <w:t>0</w:t>
            </w:r>
            <w:r>
              <w:rPr>
                <w:rFonts w:eastAsia="宋体"/>
                <w:bCs/>
                <w:szCs w:val="24"/>
                <w:lang w:eastAsia="zh-CN"/>
              </w:rPr>
              <w:t>.338</w:t>
            </w:r>
          </w:p>
        </w:tc>
        <w:tc>
          <w:tcPr>
            <w:tcW w:w="702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8E7" w:rsidTr="00944A56">
        <w:tc>
          <w:tcPr>
            <w:tcW w:w="2235" w:type="dxa"/>
            <w:gridSpan w:val="2"/>
            <w:vMerge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二甲苯</w:t>
            </w:r>
          </w:p>
        </w:tc>
        <w:tc>
          <w:tcPr>
            <w:tcW w:w="2268" w:type="dxa"/>
            <w:gridSpan w:val="3"/>
            <w:vAlign w:val="center"/>
          </w:tcPr>
          <w:p w:rsidR="003858E7" w:rsidRDefault="00D26305" w:rsidP="003858E7">
            <w:pPr>
              <w:pStyle w:val="c2"/>
              <w:rPr>
                <w:rFonts w:eastAsia="宋体"/>
                <w:bCs/>
                <w:szCs w:val="24"/>
              </w:rPr>
            </w:pPr>
            <w:r>
              <w:rPr>
                <w:rFonts w:eastAsia="宋体" w:hint="eastAsia"/>
                <w:bCs/>
                <w:szCs w:val="24"/>
                <w:lang w:eastAsia="zh-CN"/>
              </w:rPr>
              <w:t>0</w:t>
            </w:r>
            <w:r>
              <w:rPr>
                <w:rFonts w:eastAsia="宋体"/>
                <w:bCs/>
                <w:szCs w:val="24"/>
                <w:lang w:eastAsia="zh-CN"/>
              </w:rPr>
              <w:t>.284</w:t>
            </w:r>
          </w:p>
        </w:tc>
        <w:tc>
          <w:tcPr>
            <w:tcW w:w="702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8E7" w:rsidTr="00944A56">
        <w:tc>
          <w:tcPr>
            <w:tcW w:w="2235" w:type="dxa"/>
            <w:gridSpan w:val="2"/>
            <w:vMerge/>
            <w:vAlign w:val="center"/>
          </w:tcPr>
          <w:p w:rsidR="003858E7" w:rsidRDefault="003858E7" w:rsidP="003858E7">
            <w:pPr>
              <w:pStyle w:val="c2"/>
              <w:spacing w:line="300" w:lineRule="exac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乙酸乙酯与乙酸丁酯</w:t>
            </w:r>
          </w:p>
        </w:tc>
        <w:tc>
          <w:tcPr>
            <w:tcW w:w="2268" w:type="dxa"/>
            <w:gridSpan w:val="3"/>
            <w:vAlign w:val="center"/>
          </w:tcPr>
          <w:p w:rsidR="003858E7" w:rsidRDefault="00D26305" w:rsidP="003858E7">
            <w:pPr>
              <w:pStyle w:val="c2"/>
              <w:rPr>
                <w:rFonts w:eastAsia="宋体"/>
                <w:bCs/>
                <w:szCs w:val="24"/>
              </w:rPr>
            </w:pPr>
            <w:r>
              <w:rPr>
                <w:rFonts w:eastAsia="宋体" w:hint="cs"/>
                <w:bCs/>
                <w:szCs w:val="24"/>
              </w:rPr>
              <w:t>4.64</w:t>
            </w:r>
          </w:p>
        </w:tc>
        <w:tc>
          <w:tcPr>
            <w:tcW w:w="702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8E7">
        <w:tc>
          <w:tcPr>
            <w:tcW w:w="14218" w:type="dxa"/>
            <w:gridSpan w:val="12"/>
          </w:tcPr>
          <w:p w:rsidR="003858E7" w:rsidRDefault="003858E7" w:rsidP="003858E7"/>
        </w:tc>
      </w:tr>
      <w:tr w:rsidR="003858E7" w:rsidTr="003858E7">
        <w:tc>
          <w:tcPr>
            <w:tcW w:w="2802" w:type="dxa"/>
            <w:gridSpan w:val="4"/>
          </w:tcPr>
          <w:p w:rsidR="003858E7" w:rsidRDefault="003858E7" w:rsidP="003858E7">
            <w:pPr>
              <w:jc w:val="center"/>
            </w:pPr>
            <w:r>
              <w:rPr>
                <w:rFonts w:hint="eastAsia"/>
              </w:rPr>
              <w:t>危险废物名称</w:t>
            </w:r>
          </w:p>
        </w:tc>
        <w:tc>
          <w:tcPr>
            <w:tcW w:w="3118" w:type="dxa"/>
            <w:gridSpan w:val="2"/>
          </w:tcPr>
          <w:p w:rsidR="003858E7" w:rsidRDefault="003858E7" w:rsidP="003858E7">
            <w:pPr>
              <w:jc w:val="center"/>
            </w:pPr>
            <w:r>
              <w:rPr>
                <w:rFonts w:hint="eastAsia"/>
              </w:rPr>
              <w:t>危险废物代码</w:t>
            </w:r>
          </w:p>
        </w:tc>
        <w:tc>
          <w:tcPr>
            <w:tcW w:w="2977" w:type="dxa"/>
            <w:gridSpan w:val="5"/>
          </w:tcPr>
          <w:p w:rsidR="003858E7" w:rsidRDefault="003858E7" w:rsidP="003858E7">
            <w:pPr>
              <w:jc w:val="center"/>
            </w:pPr>
            <w:r>
              <w:rPr>
                <w:rFonts w:hint="eastAsia"/>
              </w:rPr>
              <w:t>危险废物产生量</w:t>
            </w:r>
          </w:p>
        </w:tc>
        <w:tc>
          <w:tcPr>
            <w:tcW w:w="5321" w:type="dxa"/>
          </w:tcPr>
          <w:p w:rsidR="003858E7" w:rsidRDefault="003858E7" w:rsidP="003858E7">
            <w:pPr>
              <w:jc w:val="center"/>
            </w:pPr>
            <w:r>
              <w:rPr>
                <w:rFonts w:hint="eastAsia"/>
              </w:rPr>
              <w:t>危险废物处置情况</w:t>
            </w:r>
          </w:p>
        </w:tc>
      </w:tr>
      <w:tr w:rsidR="003858E7" w:rsidTr="003858E7">
        <w:tc>
          <w:tcPr>
            <w:tcW w:w="2802" w:type="dxa"/>
            <w:gridSpan w:val="4"/>
            <w:vAlign w:val="center"/>
          </w:tcPr>
          <w:p w:rsidR="003858E7" w:rsidRDefault="003858E7" w:rsidP="003858E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废水处理设施污泥</w:t>
            </w:r>
          </w:p>
        </w:tc>
        <w:tc>
          <w:tcPr>
            <w:tcW w:w="3118" w:type="dxa"/>
            <w:gridSpan w:val="2"/>
            <w:vAlign w:val="center"/>
          </w:tcPr>
          <w:p w:rsidR="003858E7" w:rsidRDefault="003858E7" w:rsidP="003858E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264-006-12</w:t>
            </w:r>
          </w:p>
        </w:tc>
        <w:tc>
          <w:tcPr>
            <w:tcW w:w="2977" w:type="dxa"/>
            <w:gridSpan w:val="5"/>
            <w:vAlign w:val="center"/>
          </w:tcPr>
          <w:p w:rsidR="003858E7" w:rsidRDefault="003858E7" w:rsidP="003858E7">
            <w:pPr>
              <w:jc w:val="center"/>
            </w:pPr>
            <w:r>
              <w:rPr>
                <w:rFonts w:hint="eastAsia"/>
              </w:rPr>
              <w:t>6.0539t</w:t>
            </w:r>
          </w:p>
        </w:tc>
        <w:tc>
          <w:tcPr>
            <w:tcW w:w="5321" w:type="dxa"/>
            <w:vMerge w:val="restart"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已由</w:t>
            </w:r>
            <w:r w:rsidRPr="00413DEC">
              <w:rPr>
                <w:rFonts w:hint="eastAsia"/>
                <w:szCs w:val="21"/>
              </w:rPr>
              <w:t>厦门路铵运输有限公司</w:t>
            </w:r>
            <w:r>
              <w:rPr>
                <w:rFonts w:hint="eastAsia"/>
                <w:szCs w:val="21"/>
              </w:rPr>
              <w:t>转运至</w:t>
            </w:r>
            <w:r w:rsidRPr="00413DEC">
              <w:rPr>
                <w:rFonts w:hint="eastAsia"/>
                <w:szCs w:val="21"/>
              </w:rPr>
              <w:t>福建兴业东江环保科技有限公司</w:t>
            </w:r>
            <w:r>
              <w:rPr>
                <w:rFonts w:hint="eastAsia"/>
                <w:szCs w:val="21"/>
              </w:rPr>
              <w:t>进行处理</w:t>
            </w:r>
          </w:p>
        </w:tc>
      </w:tr>
      <w:tr w:rsidR="003858E7" w:rsidTr="003858E7">
        <w:tc>
          <w:tcPr>
            <w:tcW w:w="280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漆渣</w:t>
            </w:r>
          </w:p>
        </w:tc>
        <w:tc>
          <w:tcPr>
            <w:tcW w:w="3118" w:type="dxa"/>
            <w:gridSpan w:val="2"/>
            <w:vAlign w:val="center"/>
          </w:tcPr>
          <w:p w:rsidR="003858E7" w:rsidRDefault="003858E7" w:rsidP="003858E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900-252-12</w:t>
            </w:r>
          </w:p>
        </w:tc>
        <w:tc>
          <w:tcPr>
            <w:tcW w:w="2977" w:type="dxa"/>
            <w:gridSpan w:val="5"/>
            <w:vAlign w:val="center"/>
          </w:tcPr>
          <w:p w:rsidR="003858E7" w:rsidRDefault="003858E7" w:rsidP="003858E7">
            <w:pPr>
              <w:jc w:val="center"/>
            </w:pPr>
            <w:r>
              <w:rPr>
                <w:rFonts w:hint="eastAsia"/>
              </w:rPr>
              <w:t>0.4665t</w:t>
            </w:r>
          </w:p>
        </w:tc>
        <w:tc>
          <w:tcPr>
            <w:tcW w:w="5321" w:type="dxa"/>
            <w:vMerge/>
            <w:vAlign w:val="center"/>
          </w:tcPr>
          <w:p w:rsidR="003858E7" w:rsidRDefault="003858E7" w:rsidP="003858E7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3858E7" w:rsidTr="003858E7">
        <w:tc>
          <w:tcPr>
            <w:tcW w:w="280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废活性炭</w:t>
            </w:r>
          </w:p>
        </w:tc>
        <w:tc>
          <w:tcPr>
            <w:tcW w:w="3118" w:type="dxa"/>
            <w:gridSpan w:val="2"/>
            <w:vAlign w:val="center"/>
          </w:tcPr>
          <w:p w:rsidR="003858E7" w:rsidRDefault="003858E7" w:rsidP="003858E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900-405-06</w:t>
            </w:r>
          </w:p>
        </w:tc>
        <w:tc>
          <w:tcPr>
            <w:tcW w:w="2977" w:type="dxa"/>
            <w:gridSpan w:val="5"/>
            <w:vAlign w:val="center"/>
          </w:tcPr>
          <w:p w:rsidR="003858E7" w:rsidRDefault="003858E7" w:rsidP="003858E7">
            <w:pPr>
              <w:jc w:val="center"/>
            </w:pPr>
            <w:r>
              <w:rPr>
                <w:rFonts w:hint="eastAsia"/>
              </w:rPr>
              <w:t>1.05t</w:t>
            </w:r>
          </w:p>
        </w:tc>
        <w:tc>
          <w:tcPr>
            <w:tcW w:w="5321" w:type="dxa"/>
            <w:vMerge/>
            <w:vAlign w:val="center"/>
          </w:tcPr>
          <w:p w:rsidR="003858E7" w:rsidRDefault="003858E7" w:rsidP="003858E7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3858E7" w:rsidTr="003858E7">
        <w:tc>
          <w:tcPr>
            <w:tcW w:w="280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858E7" w:rsidRDefault="003858E7" w:rsidP="003858E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  <w:vMerge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</w:p>
        </w:tc>
      </w:tr>
      <w:tr w:rsidR="003858E7" w:rsidTr="003858E7">
        <w:tc>
          <w:tcPr>
            <w:tcW w:w="280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858E7" w:rsidRDefault="003858E7" w:rsidP="003858E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  <w:vMerge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</w:p>
        </w:tc>
      </w:tr>
      <w:tr w:rsidR="003858E7" w:rsidTr="003858E7">
        <w:tc>
          <w:tcPr>
            <w:tcW w:w="280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858E7" w:rsidRDefault="003858E7" w:rsidP="003858E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  <w:vMerge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</w:p>
        </w:tc>
      </w:tr>
      <w:tr w:rsidR="003858E7" w:rsidTr="003858E7">
        <w:tc>
          <w:tcPr>
            <w:tcW w:w="280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858E7" w:rsidRDefault="003858E7" w:rsidP="003858E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  <w:vMerge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</w:p>
        </w:tc>
      </w:tr>
      <w:tr w:rsidR="003858E7" w:rsidTr="003858E7">
        <w:tc>
          <w:tcPr>
            <w:tcW w:w="280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858E7" w:rsidRDefault="003858E7" w:rsidP="003858E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  <w:vMerge w:val="restart"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</w:p>
        </w:tc>
      </w:tr>
      <w:tr w:rsidR="003858E7" w:rsidTr="003858E7">
        <w:tc>
          <w:tcPr>
            <w:tcW w:w="280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858E7" w:rsidRDefault="003858E7" w:rsidP="003858E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  <w:vMerge/>
          </w:tcPr>
          <w:p w:rsidR="003858E7" w:rsidRDefault="003858E7" w:rsidP="003858E7">
            <w:pPr>
              <w:jc w:val="center"/>
            </w:pPr>
          </w:p>
        </w:tc>
      </w:tr>
      <w:tr w:rsidR="003858E7" w:rsidTr="003858E7">
        <w:tc>
          <w:tcPr>
            <w:tcW w:w="2802" w:type="dxa"/>
            <w:gridSpan w:val="4"/>
            <w:vAlign w:val="center"/>
          </w:tcPr>
          <w:p w:rsidR="003858E7" w:rsidRDefault="003858E7" w:rsidP="003858E7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858E7" w:rsidRDefault="003858E7" w:rsidP="003858E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858E7" w:rsidRDefault="003858E7" w:rsidP="003858E7">
            <w:pPr>
              <w:jc w:val="center"/>
            </w:pPr>
          </w:p>
        </w:tc>
        <w:tc>
          <w:tcPr>
            <w:tcW w:w="5321" w:type="dxa"/>
            <w:vMerge/>
          </w:tcPr>
          <w:p w:rsidR="003858E7" w:rsidRDefault="003858E7" w:rsidP="003858E7">
            <w:pPr>
              <w:jc w:val="center"/>
            </w:pPr>
          </w:p>
        </w:tc>
      </w:tr>
      <w:tr w:rsidR="003858E7">
        <w:tc>
          <w:tcPr>
            <w:tcW w:w="14218" w:type="dxa"/>
            <w:gridSpan w:val="12"/>
          </w:tcPr>
          <w:p w:rsidR="003858E7" w:rsidRDefault="003858E7" w:rsidP="003858E7">
            <w:r>
              <w:t>4</w:t>
            </w:r>
            <w:r>
              <w:rPr>
                <w:rFonts w:hint="eastAsia"/>
              </w:rPr>
              <w:t>、依法落实环境风险防控措施情况</w:t>
            </w:r>
          </w:p>
        </w:tc>
      </w:tr>
      <w:tr w:rsidR="003858E7">
        <w:trPr>
          <w:trHeight w:val="956"/>
        </w:trPr>
        <w:tc>
          <w:tcPr>
            <w:tcW w:w="14218" w:type="dxa"/>
            <w:gridSpan w:val="12"/>
          </w:tcPr>
          <w:p w:rsidR="003858E7" w:rsidRDefault="003858E7" w:rsidP="003858E7">
            <w:r>
              <w:rPr>
                <w:rFonts w:asciiTheme="minorEastAsia" w:hAnsiTheme="minorEastAsia" w:hint="eastAsia"/>
                <w:szCs w:val="21"/>
              </w:rPr>
              <w:t>公司针对危险化学品、废水处理设施、废气处理设施、危险废物火灾或爆炸引起的次生灾害等可能存在事故性排放、泄露等情况，制定了较为完善的环境应急预案。公司应急设备和设施能够按照要求配备，并定期进行应急演练,公司污水站配套有</w:t>
            </w:r>
            <w:r>
              <w:rPr>
                <w:rFonts w:ascii="宋体" w:hAnsi="宋体" w:hint="eastAsia"/>
              </w:rPr>
              <w:t>事故应急池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杜绝各类突发性事故引发二次污染和次生环境问题。</w:t>
            </w:r>
          </w:p>
        </w:tc>
      </w:tr>
    </w:tbl>
    <w:p w:rsidR="00E10BA2" w:rsidRDefault="00E10BA2"/>
    <w:sectPr w:rsidR="00E10BA2" w:rsidSect="00D22AE6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25" w:rsidRDefault="001D5025" w:rsidP="00D26305">
      <w:r>
        <w:separator/>
      </w:r>
    </w:p>
  </w:endnote>
  <w:endnote w:type="continuationSeparator" w:id="0">
    <w:p w:rsidR="001D5025" w:rsidRDefault="001D5025" w:rsidP="00D2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25" w:rsidRDefault="001D5025" w:rsidP="00D26305">
      <w:r>
        <w:separator/>
      </w:r>
    </w:p>
  </w:footnote>
  <w:footnote w:type="continuationSeparator" w:id="0">
    <w:p w:rsidR="001D5025" w:rsidRDefault="001D5025" w:rsidP="00D2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49AB"/>
    <w:rsid w:val="000B4987"/>
    <w:rsid w:val="0012148B"/>
    <w:rsid w:val="001D5025"/>
    <w:rsid w:val="00206157"/>
    <w:rsid w:val="002D38A6"/>
    <w:rsid w:val="00314793"/>
    <w:rsid w:val="0033447B"/>
    <w:rsid w:val="003858E7"/>
    <w:rsid w:val="003901E7"/>
    <w:rsid w:val="003A2999"/>
    <w:rsid w:val="003F386F"/>
    <w:rsid w:val="006416BA"/>
    <w:rsid w:val="006A4B43"/>
    <w:rsid w:val="00711AD7"/>
    <w:rsid w:val="007524F7"/>
    <w:rsid w:val="007A430E"/>
    <w:rsid w:val="00880466"/>
    <w:rsid w:val="00944A56"/>
    <w:rsid w:val="00A56542"/>
    <w:rsid w:val="00A71D33"/>
    <w:rsid w:val="00B17537"/>
    <w:rsid w:val="00C44AA5"/>
    <w:rsid w:val="00D22AE6"/>
    <w:rsid w:val="00D26305"/>
    <w:rsid w:val="00D31C5E"/>
    <w:rsid w:val="00E10BA2"/>
    <w:rsid w:val="00F649AB"/>
    <w:rsid w:val="00F657E5"/>
    <w:rsid w:val="00F97BC9"/>
    <w:rsid w:val="00FA09C0"/>
    <w:rsid w:val="5403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B61DF"/>
  <w15:docId w15:val="{A71E739F-0177-458E-9156-10006C23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22A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2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D2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D22AE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AE6"/>
    <w:rPr>
      <w:sz w:val="18"/>
      <w:szCs w:val="18"/>
    </w:rPr>
  </w:style>
  <w:style w:type="paragraph" w:customStyle="1" w:styleId="c2">
    <w:name w:val="c2"/>
    <w:basedOn w:val="a"/>
    <w:rsid w:val="00D22AE6"/>
    <w:pPr>
      <w:suppressAutoHyphens/>
      <w:jc w:val="center"/>
    </w:pPr>
    <w:rPr>
      <w:rFonts w:ascii="Times New Roman" w:eastAsia="仿宋_GB2312" w:hAnsi="Times New Roman" w:cs="Times New Roman"/>
      <w:kern w:val="1"/>
      <w:sz w:val="24"/>
      <w:szCs w:val="20"/>
      <w:lang w:eastAsia="ar-SA"/>
    </w:rPr>
  </w:style>
  <w:style w:type="character" w:customStyle="1" w:styleId="a4">
    <w:name w:val="批注框文本 字符"/>
    <w:basedOn w:val="a0"/>
    <w:link w:val="a3"/>
    <w:uiPriority w:val="99"/>
    <w:semiHidden/>
    <w:rsid w:val="00D22A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172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2021-10-16T06:12:00Z</cp:lastPrinted>
  <dcterms:created xsi:type="dcterms:W3CDTF">2017-03-30T10:44:00Z</dcterms:created>
  <dcterms:modified xsi:type="dcterms:W3CDTF">2021-10-18T01:53:00Z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