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tabs>
          <w:tab w:val="left" w:pos="0"/>
        </w:tabs>
        <w:kinsoku/>
        <w:wordWrap/>
        <w:overflowPunct/>
        <w:topLinePunct w:val="0"/>
        <w:autoSpaceDE w:val="0"/>
        <w:autoSpaceDN w:val="0"/>
        <w:bidi w:val="0"/>
        <w:adjustRightInd/>
        <w:snapToGrid/>
        <w:spacing w:before="313" w:beforeLines="100" w:after="313" w:afterLines="100"/>
        <w:ind w:left="0" w:leftChars="0" w:firstLine="0" w:firstLineChars="0"/>
        <w:jc w:val="center"/>
        <w:textAlignment w:val="auto"/>
        <w:rPr>
          <w:rFonts w:hint="default" w:ascii="Times New Roman" w:hAnsi="Times New Roman" w:cs="Times New Roman"/>
          <w:b/>
          <w:bCs w:val="0"/>
          <w:sz w:val="36"/>
          <w:szCs w:val="36"/>
          <w:highlight w:val="none"/>
          <w:lang w:val="en-US" w:eastAsia="zh-CN"/>
        </w:rPr>
        <w:sectPr>
          <w:headerReference r:id="rId5" w:type="default"/>
          <w:footerReference r:id="rId6" w:type="default"/>
          <w:pgSz w:w="23811" w:h="16838" w:orient="landscape"/>
          <w:pgMar w:top="1304" w:right="1417" w:bottom="1304" w:left="1304" w:header="0" w:footer="680" w:gutter="0"/>
          <w:pgBorders>
            <w:top w:val="none" w:sz="0" w:space="0"/>
            <w:left w:val="none" w:sz="0" w:space="0"/>
            <w:bottom w:val="none" w:sz="0" w:space="0"/>
            <w:right w:val="none" w:sz="0" w:space="0"/>
          </w:pgBorders>
          <w:pgNumType w:fmt="decimal"/>
          <w:cols w:space="720" w:num="1"/>
          <w:rtlGutter w:val="0"/>
          <w:docGrid w:linePitch="1" w:charSpace="0"/>
        </w:sectPr>
      </w:pPr>
      <w:r>
        <w:rPr>
          <w:rFonts w:hint="default" w:ascii="Times New Roman" w:hAnsi="Times New Roman" w:cs="Times New Roman"/>
          <w:sz w:val="21"/>
          <w:highlight w:val="none"/>
        </w:rPr>
        <mc:AlternateContent>
          <mc:Choice Requires="wpg">
            <w:drawing>
              <wp:anchor distT="0" distB="0" distL="114300" distR="114300" simplePos="0" relativeHeight="251697152" behindDoc="0" locked="0" layoutInCell="1" allowOverlap="1">
                <wp:simplePos x="0" y="0"/>
                <wp:positionH relativeFrom="column">
                  <wp:posOffset>6238875</wp:posOffset>
                </wp:positionH>
                <wp:positionV relativeFrom="paragraph">
                  <wp:posOffset>-405130</wp:posOffset>
                </wp:positionV>
                <wp:extent cx="7070090" cy="9285605"/>
                <wp:effectExtent l="0" t="0" r="0" b="0"/>
                <wp:wrapNone/>
                <wp:docPr id="12" name="组合 12"/>
                <wp:cNvGraphicFramePr/>
                <a:graphic xmlns:a="http://schemas.openxmlformats.org/drawingml/2006/main">
                  <a:graphicData uri="http://schemas.microsoft.com/office/word/2010/wordprocessingGroup">
                    <wpg:wgp>
                      <wpg:cNvGrpSpPr/>
                      <wpg:grpSpPr>
                        <a:xfrm>
                          <a:off x="0" y="0"/>
                          <a:ext cx="7070090" cy="9285605"/>
                          <a:chOff x="13208" y="949"/>
                          <a:chExt cx="11134" cy="14623"/>
                        </a:xfrm>
                      </wpg:grpSpPr>
                      <wps:wsp>
                        <wps:cNvPr id="326" name="文本框 326"/>
                        <wps:cNvSpPr txBox="1"/>
                        <wps:spPr>
                          <a:xfrm>
                            <a:off x="13281" y="949"/>
                            <a:ext cx="1080" cy="9319"/>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eastAsia" w:ascii="宋体" w:hAnsi="宋体"/>
                                  <w:b/>
                                  <w:sz w:val="24"/>
                                  <w:szCs w:val="24"/>
                                </w:rPr>
                              </w:pPr>
                              <w:r>
                                <w:rPr>
                                  <w:rFonts w:hint="default" w:ascii="华文中宋" w:hAnsi="华文中宋" w:eastAsia="华文中宋" w:cs="Times New Roman"/>
                                  <w:b/>
                                  <w:sz w:val="24"/>
                                  <w:szCs w:val="24"/>
                                  <w:lang w:val="en-US" w:eastAsia="zh-CN"/>
                                </w:rPr>
                                <w:t>福鼎市管阳片区农村安全饮水工程</w:t>
                              </w:r>
                              <w:r>
                                <w:rPr>
                                  <w:rFonts w:hint="eastAsia" w:ascii="华文中宋" w:hAnsi="华文中宋" w:eastAsia="华文中宋" w:cs="Times New Roman"/>
                                  <w:b/>
                                  <w:sz w:val="24"/>
                                  <w:szCs w:val="24"/>
                                  <w:lang w:val="en-US" w:eastAsia="zh-CN"/>
                                </w:rPr>
                                <w:t>管网部分</w:t>
                              </w:r>
                              <w:r>
                                <w:rPr>
                                  <w:rFonts w:hint="default" w:ascii="华文中宋" w:hAnsi="华文中宋" w:eastAsia="华文中宋" w:cs="Times New Roman"/>
                                  <w:b/>
                                  <w:sz w:val="24"/>
                                  <w:szCs w:val="24"/>
                                  <w:lang w:val="en-US" w:eastAsia="zh-CN"/>
                                </w:rPr>
                                <w:t>（福鼎市城乡供水一体化二期）</w:t>
                              </w:r>
                              <w:r>
                                <w:rPr>
                                  <w:rFonts w:hint="eastAsia" w:ascii="华文中宋" w:hAnsi="华文中宋" w:eastAsia="华文中宋"/>
                                  <w:b/>
                                  <w:sz w:val="24"/>
                                  <w:szCs w:val="24"/>
                                </w:rPr>
                                <w:t>（</w:t>
                              </w:r>
                              <w:r>
                                <w:rPr>
                                  <w:rFonts w:hint="eastAsia" w:ascii="华文中宋" w:hAnsi="华文中宋" w:eastAsia="华文中宋"/>
                                  <w:b/>
                                  <w:sz w:val="24"/>
                                  <w:szCs w:val="24"/>
                                  <w:lang w:val="en-US" w:eastAsia="zh-CN"/>
                                </w:rPr>
                                <w:t>送审本</w:t>
                              </w:r>
                              <w:r>
                                <w:rPr>
                                  <w:rFonts w:hint="eastAsia" w:ascii="华文中宋" w:hAnsi="华文中宋" w:eastAsia="华文中宋"/>
                                  <w:b/>
                                  <w:sz w:val="24"/>
                                  <w:szCs w:val="24"/>
                                </w:rPr>
                                <w:t>）</w:t>
                              </w:r>
                            </w:p>
                            <w:p>
                              <w:pPr>
                                <w:rPr>
                                  <w:rFonts w:hint="eastAsia"/>
                                  <w:sz w:val="24"/>
                                  <w:szCs w:val="24"/>
                                </w:rPr>
                              </w:pPr>
                            </w:p>
                          </w:txbxContent>
                        </wps:txbx>
                        <wps:bodyPr vert="eaVert" upright="1"/>
                      </wps:wsp>
                      <wps:wsp>
                        <wps:cNvPr id="325" name="文本框 325"/>
                        <wps:cNvSpPr txBox="1"/>
                        <wps:spPr>
                          <a:xfrm>
                            <a:off x="15367" y="2475"/>
                            <a:ext cx="8975" cy="2132"/>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szCs w:val="52"/>
                                </w:rPr>
                              </w:pPr>
                              <w:r>
                                <w:rPr>
                                  <w:rFonts w:hint="default" w:ascii="Times New Roman" w:hAnsi="Times New Roman" w:eastAsia="华文中宋" w:cs="Times New Roman"/>
                                  <w:b/>
                                  <w:sz w:val="52"/>
                                  <w:szCs w:val="52"/>
                                  <w:lang w:val="en-US" w:eastAsia="zh-CN"/>
                                </w:rPr>
                                <w:t>福鼎市管阳片区农村安全饮水工程</w:t>
                              </w:r>
                              <w:r>
                                <w:rPr>
                                  <w:rFonts w:hint="eastAsia" w:ascii="Times New Roman" w:hAnsi="Times New Roman" w:eastAsia="华文中宋" w:cs="Times New Roman"/>
                                  <w:b/>
                                  <w:sz w:val="52"/>
                                  <w:szCs w:val="52"/>
                                  <w:lang w:val="en-US" w:eastAsia="zh-CN"/>
                                </w:rPr>
                                <w:t>管网部分</w:t>
                              </w:r>
                              <w:r>
                                <w:rPr>
                                  <w:rFonts w:hint="default" w:ascii="Times New Roman" w:hAnsi="Times New Roman" w:eastAsia="华文中宋" w:cs="Times New Roman"/>
                                  <w:b/>
                                  <w:sz w:val="52"/>
                                  <w:szCs w:val="52"/>
                                  <w:lang w:val="en-US" w:eastAsia="zh-CN"/>
                                </w:rPr>
                                <w:t>（福鼎市城乡供水一体化二期）</w:t>
                              </w:r>
                            </w:p>
                          </w:txbxContent>
                        </wps:txbx>
                        <wps:bodyPr upright="1"/>
                      </wps:wsp>
                      <wps:wsp>
                        <wps:cNvPr id="327" name="文本框 327"/>
                        <wps:cNvSpPr txBox="1"/>
                        <wps:spPr>
                          <a:xfrm>
                            <a:off x="13208" y="10499"/>
                            <a:ext cx="1080" cy="5073"/>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eastAsia" w:eastAsia="宋体"/>
                                  <w:b/>
                                  <w:sz w:val="24"/>
                                  <w:szCs w:val="24"/>
                                  <w:lang w:val="en-US" w:eastAsia="zh-CN"/>
                                </w:rPr>
                              </w:pPr>
                              <w:r>
                                <w:rPr>
                                  <w:b/>
                                  <w:sz w:val="24"/>
                                  <w:szCs w:val="24"/>
                                </w:rPr>
                                <w:t>福建省</w:t>
                              </w:r>
                              <w:r>
                                <w:rPr>
                                  <w:rFonts w:hint="eastAsia"/>
                                  <w:b/>
                                  <w:sz w:val="24"/>
                                  <w:szCs w:val="24"/>
                                  <w:lang w:eastAsia="zh-CN"/>
                                </w:rPr>
                                <w:t>闽创</w:t>
                              </w:r>
                              <w:r>
                                <w:rPr>
                                  <w:b/>
                                  <w:sz w:val="24"/>
                                  <w:szCs w:val="24"/>
                                </w:rPr>
                                <w:t>环保科技有限公司</w:t>
                              </w:r>
                              <w:r>
                                <w:rPr>
                                  <w:rFonts w:hint="eastAsia"/>
                                  <w:b/>
                                  <w:sz w:val="24"/>
                                  <w:szCs w:val="24"/>
                                </w:rPr>
                                <w:t xml:space="preserve">  20</w:t>
                              </w:r>
                              <w:r>
                                <w:rPr>
                                  <w:b/>
                                  <w:sz w:val="24"/>
                                  <w:szCs w:val="24"/>
                                </w:rPr>
                                <w:t>2</w:t>
                              </w:r>
                              <w:r>
                                <w:rPr>
                                  <w:rFonts w:hint="eastAsia"/>
                                  <w:b/>
                                  <w:sz w:val="24"/>
                                  <w:szCs w:val="24"/>
                                  <w:lang w:val="en-US" w:eastAsia="zh-CN"/>
                                </w:rPr>
                                <w:t>1</w:t>
                              </w:r>
                              <w:r>
                                <w:rPr>
                                  <w:rFonts w:hint="eastAsia"/>
                                  <w:b/>
                                  <w:sz w:val="24"/>
                                  <w:szCs w:val="24"/>
                                </w:rPr>
                                <w:t>年</w:t>
                              </w:r>
                              <w:r>
                                <w:rPr>
                                  <w:rFonts w:hint="eastAsia"/>
                                  <w:b/>
                                  <w:sz w:val="24"/>
                                  <w:szCs w:val="24"/>
                                  <w:lang w:val="en-US" w:eastAsia="zh-CN"/>
                                </w:rPr>
                                <w:t>12月</w:t>
                              </w:r>
                            </w:p>
                          </w:txbxContent>
                        </wps:txbx>
                        <wps:bodyPr vert="eaVert" upright="1"/>
                      </wps:wsp>
                      <wps:wsp>
                        <wps:cNvPr id="330" name="文本框 330"/>
                        <wps:cNvSpPr txBox="1"/>
                        <wps:spPr>
                          <a:xfrm>
                            <a:off x="16064" y="4587"/>
                            <a:ext cx="8115" cy="7799"/>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sz w:val="84"/>
                                  <w:szCs w:val="84"/>
                                </w:rPr>
                              </w:pPr>
                              <w:r>
                                <w:rPr>
                                  <w:rFonts w:hint="eastAsia" w:ascii="华文中宋" w:hAnsi="华文中宋" w:eastAsia="华文中宋"/>
                                  <w:sz w:val="84"/>
                                  <w:szCs w:val="84"/>
                                </w:rPr>
                                <w:t>环境影响报告书</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sz w:val="44"/>
                                  <w:szCs w:val="44"/>
                                </w:rPr>
                              </w:pPr>
                              <w:r>
                                <w:rPr>
                                  <w:rFonts w:hint="eastAsia" w:ascii="华文中宋" w:hAnsi="华文中宋" w:eastAsia="华文中宋"/>
                                  <w:sz w:val="44"/>
                                  <w:szCs w:val="44"/>
                                </w:rPr>
                                <w:t>（</w:t>
                              </w:r>
                              <w:r>
                                <w:rPr>
                                  <w:rFonts w:hint="eastAsia" w:ascii="华文中宋" w:hAnsi="华文中宋" w:eastAsia="华文中宋"/>
                                  <w:sz w:val="44"/>
                                  <w:szCs w:val="44"/>
                                  <w:lang w:val="en-US" w:eastAsia="zh-CN"/>
                                </w:rPr>
                                <w:t>送审本</w:t>
                              </w:r>
                              <w:r>
                                <w:rPr>
                                  <w:rFonts w:hint="eastAsia" w:ascii="华文中宋" w:hAnsi="华文中宋" w:eastAsia="华文中宋"/>
                                  <w:sz w:val="44"/>
                                  <w:szCs w:val="44"/>
                                </w:rPr>
                                <w:t>）</w:t>
                              </w:r>
                            </w:p>
                            <w:p>
                              <w:pPr>
                                <w:pStyle w:val="2"/>
                                <w:numPr>
                                  <w:ilvl w:val="0"/>
                                  <w:numId w:val="0"/>
                                </w:numPr>
                                <w:tabs>
                                  <w:tab w:val="left" w:pos="0"/>
                                  <w:tab w:val="left" w:pos="1960"/>
                                  <w:tab w:val="clear" w:pos="420"/>
                                </w:tabs>
                                <w:rPr>
                                  <w:rFonts w:hint="eastAsia"/>
                                </w:rPr>
                              </w:pPr>
                            </w:p>
                            <w:p>
                              <w:pPr>
                                <w:pStyle w:val="2"/>
                                <w:numPr>
                                  <w:ilvl w:val="0"/>
                                  <w:numId w:val="0"/>
                                </w:numPr>
                                <w:tabs>
                                  <w:tab w:val="left" w:pos="0"/>
                                  <w:tab w:val="left" w:pos="1960"/>
                                  <w:tab w:val="clear" w:pos="420"/>
                                </w:tabs>
                                <w:jc w:val="center"/>
                                <w:rPr>
                                  <w:rFonts w:hint="eastAsia"/>
                                </w:rPr>
                              </w:pPr>
                            </w:p>
                          </w:txbxContent>
                        </wps:txbx>
                        <wps:bodyPr upright="1"/>
                      </wps:wsp>
                      <wps:wsp>
                        <wps:cNvPr id="329" name="文本框 329"/>
                        <wps:cNvSpPr txBox="1"/>
                        <wps:spPr>
                          <a:xfrm>
                            <a:off x="15847" y="13031"/>
                            <a:ext cx="8100" cy="2194"/>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b/>
                                  <w:sz w:val="32"/>
                                  <w:szCs w:val="32"/>
                                  <w:lang w:eastAsia="zh-CN"/>
                                </w:rPr>
                              </w:pPr>
                              <w:r>
                                <w:rPr>
                                  <w:rFonts w:hint="eastAsia" w:ascii="华文中宋" w:hAnsi="华文中宋" w:eastAsia="华文中宋"/>
                                  <w:b/>
                                  <w:sz w:val="32"/>
                                  <w:szCs w:val="32"/>
                                  <w:lang w:eastAsia="zh-CN"/>
                                </w:rPr>
                                <w:t>建设</w:t>
                              </w:r>
                              <w:r>
                                <w:rPr>
                                  <w:rFonts w:hint="eastAsia" w:ascii="华文中宋" w:hAnsi="华文中宋" w:eastAsia="华文中宋" w:cs="Times New Roman"/>
                                  <w:b/>
                                  <w:sz w:val="32"/>
                                  <w:szCs w:val="32"/>
                                  <w:lang w:eastAsia="zh-CN"/>
                                </w:rPr>
                                <w:t>单位：</w:t>
                              </w:r>
                              <w:r>
                                <w:rPr>
                                  <w:rFonts w:hint="default" w:ascii="华文中宋" w:hAnsi="华文中宋" w:eastAsia="华文中宋" w:cs="Times New Roman"/>
                                  <w:b/>
                                  <w:sz w:val="32"/>
                                  <w:szCs w:val="32"/>
                                  <w:lang w:val="en-US" w:eastAsia="zh-CN"/>
                                </w:rPr>
                                <w:t>福建省</w:t>
                              </w:r>
                              <w:r>
                                <w:rPr>
                                  <w:rFonts w:hint="eastAsia" w:ascii="华文中宋" w:hAnsi="华文中宋" w:eastAsia="华文中宋" w:cs="Times New Roman"/>
                                  <w:b/>
                                  <w:sz w:val="32"/>
                                  <w:szCs w:val="32"/>
                                  <w:lang w:val="en-US" w:eastAsia="zh-CN"/>
                                </w:rPr>
                                <w:t>水务发展</w:t>
                              </w:r>
                              <w:r>
                                <w:rPr>
                                  <w:rFonts w:hint="default" w:ascii="华文中宋" w:hAnsi="华文中宋" w:eastAsia="华文中宋" w:cs="Times New Roman"/>
                                  <w:b/>
                                  <w:sz w:val="32"/>
                                  <w:szCs w:val="32"/>
                                  <w:lang w:val="en-US" w:eastAsia="zh-CN"/>
                                </w:rPr>
                                <w:t>集团福鼎水务有限公司</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环评单位：福建省闽创环保科技有限公司</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二〇二一年</w:t>
                              </w:r>
                              <w:r>
                                <w:rPr>
                                  <w:rFonts w:hint="eastAsia" w:ascii="华文中宋" w:hAnsi="华文中宋" w:eastAsia="华文中宋" w:cs="Times New Roman"/>
                                  <w:b/>
                                  <w:sz w:val="32"/>
                                  <w:szCs w:val="32"/>
                                  <w:lang w:val="en-US" w:eastAsia="zh-CN"/>
                                </w:rPr>
                                <w:t>十二</w:t>
                              </w:r>
                              <w:r>
                                <w:rPr>
                                  <w:rFonts w:hint="eastAsia" w:ascii="华文中宋" w:hAnsi="华文中宋" w:eastAsia="华文中宋" w:cs="Times New Roman"/>
                                  <w:b/>
                                  <w:sz w:val="32"/>
                                  <w:szCs w:val="32"/>
                                  <w:lang w:eastAsia="zh-CN"/>
                                </w:rPr>
                                <w:t>月</w:t>
                              </w:r>
                            </w:p>
                          </w:txbxContent>
                        </wps:txbx>
                        <wps:bodyPr upright="1"/>
                      </wps:wsp>
                    </wpg:wgp>
                  </a:graphicData>
                </a:graphic>
              </wp:anchor>
            </w:drawing>
          </mc:Choice>
          <mc:Fallback>
            <w:pict>
              <v:group id="_x0000_s1026" o:spid="_x0000_s1026" o:spt="203" style="position:absolute;left:0pt;margin-left:491.25pt;margin-top:-31.9pt;height:731.15pt;width:556.7pt;z-index:251697152;mso-width-relative:page;mso-height-relative:page;" coordorigin="13208,949" coordsize="11134,14623" o:gfxdata="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aaF4GNwAAAANAQAADwAAAAAAAAABACAAAAAiAAAAZHJzL2Rvd25yZXYueG1sUEsBAhQAFAAA&#10;AAgAh07iQJPo4FHPAgAAxAoAAA4AAAAAAAAAAQAgAAAAKwEAAGRycy9lMm9Eb2MueG1sUEsFBgAA&#10;AAAGAAYAWQEAAGwGAAAAAA==&#10;">
                <o:lock v:ext="edit" aspectratio="f"/>
                <v:shape id="_x0000_s1026" o:spid="_x0000_s1026" o:spt="202" type="#_x0000_t202" style="position:absolute;left:13281;top:949;height:9319;width:1080;" filled="f" stroked="f" coordsize="21600,21600" o:gfxdata="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CGU&#10;wAAAANwAAAAPAAAAAAAAAAEAIAAAACIAAABkcnMvZG93bnJldi54bWxQSwECFAAUAAAACACHTuJA&#10;My8FnjsAAAA5AAAAEAAAAAAAAAABACAAAAAPAQAAZHJzL3NoYXBleG1sLnhtbFBLBQYAAAAABgAG&#10;AFsBAAC5AwAAAAA=&#10;">
                  <v:fill on="f" focussize="0,0"/>
                  <v:stroke on="f"/>
                  <v:imagedata o:title=""/>
                  <o:lock v:ext="edit" aspectratio="f"/>
                  <v:textbox style="layout-flow:vertical-ideographic;">
                    <w:txbxContent>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eastAsia" w:ascii="宋体" w:hAnsi="宋体"/>
                            <w:b/>
                            <w:sz w:val="24"/>
                            <w:szCs w:val="24"/>
                          </w:rPr>
                        </w:pPr>
                        <w:r>
                          <w:rPr>
                            <w:rFonts w:hint="default" w:ascii="华文中宋" w:hAnsi="华文中宋" w:eastAsia="华文中宋" w:cs="Times New Roman"/>
                            <w:b/>
                            <w:sz w:val="24"/>
                            <w:szCs w:val="24"/>
                            <w:lang w:val="en-US" w:eastAsia="zh-CN"/>
                          </w:rPr>
                          <w:t>福鼎市管阳片区农村安全饮水工程</w:t>
                        </w:r>
                        <w:r>
                          <w:rPr>
                            <w:rFonts w:hint="eastAsia" w:ascii="华文中宋" w:hAnsi="华文中宋" w:eastAsia="华文中宋" w:cs="Times New Roman"/>
                            <w:b/>
                            <w:sz w:val="24"/>
                            <w:szCs w:val="24"/>
                            <w:lang w:val="en-US" w:eastAsia="zh-CN"/>
                          </w:rPr>
                          <w:t>管网部分</w:t>
                        </w:r>
                        <w:r>
                          <w:rPr>
                            <w:rFonts w:hint="default" w:ascii="华文中宋" w:hAnsi="华文中宋" w:eastAsia="华文中宋" w:cs="Times New Roman"/>
                            <w:b/>
                            <w:sz w:val="24"/>
                            <w:szCs w:val="24"/>
                            <w:lang w:val="en-US" w:eastAsia="zh-CN"/>
                          </w:rPr>
                          <w:t>（福鼎市城乡供水一体化二期）</w:t>
                        </w:r>
                        <w:r>
                          <w:rPr>
                            <w:rFonts w:hint="eastAsia" w:ascii="华文中宋" w:hAnsi="华文中宋" w:eastAsia="华文中宋"/>
                            <w:b/>
                            <w:sz w:val="24"/>
                            <w:szCs w:val="24"/>
                          </w:rPr>
                          <w:t>（</w:t>
                        </w:r>
                        <w:r>
                          <w:rPr>
                            <w:rFonts w:hint="eastAsia" w:ascii="华文中宋" w:hAnsi="华文中宋" w:eastAsia="华文中宋"/>
                            <w:b/>
                            <w:sz w:val="24"/>
                            <w:szCs w:val="24"/>
                            <w:lang w:val="en-US" w:eastAsia="zh-CN"/>
                          </w:rPr>
                          <w:t>送审本</w:t>
                        </w:r>
                        <w:r>
                          <w:rPr>
                            <w:rFonts w:hint="eastAsia" w:ascii="华文中宋" w:hAnsi="华文中宋" w:eastAsia="华文中宋"/>
                            <w:b/>
                            <w:sz w:val="24"/>
                            <w:szCs w:val="24"/>
                          </w:rPr>
                          <w:t>）</w:t>
                        </w:r>
                      </w:p>
                      <w:p>
                        <w:pPr>
                          <w:rPr>
                            <w:rFonts w:hint="eastAsia"/>
                            <w:sz w:val="24"/>
                            <w:szCs w:val="24"/>
                          </w:rPr>
                        </w:pPr>
                      </w:p>
                    </w:txbxContent>
                  </v:textbox>
                </v:shape>
                <v:shape id="_x0000_s1026" o:spid="_x0000_s1026" o:spt="202" type="#_x0000_t202" style="position:absolute;left:15367;top:2475;height:2132;width:8975;" filled="f" stroked="f" coordsize="21600,21600" o:gfxdata="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IiX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szCs w:val="52"/>
                          </w:rPr>
                        </w:pPr>
                        <w:r>
                          <w:rPr>
                            <w:rFonts w:hint="default" w:ascii="Times New Roman" w:hAnsi="Times New Roman" w:eastAsia="华文中宋" w:cs="Times New Roman"/>
                            <w:b/>
                            <w:sz w:val="52"/>
                            <w:szCs w:val="52"/>
                            <w:lang w:val="en-US" w:eastAsia="zh-CN"/>
                          </w:rPr>
                          <w:t>福鼎市管阳片区农村安全饮水工程</w:t>
                        </w:r>
                        <w:r>
                          <w:rPr>
                            <w:rFonts w:hint="eastAsia" w:ascii="Times New Roman" w:hAnsi="Times New Roman" w:eastAsia="华文中宋" w:cs="Times New Roman"/>
                            <w:b/>
                            <w:sz w:val="52"/>
                            <w:szCs w:val="52"/>
                            <w:lang w:val="en-US" w:eastAsia="zh-CN"/>
                          </w:rPr>
                          <w:t>管网部分</w:t>
                        </w:r>
                        <w:r>
                          <w:rPr>
                            <w:rFonts w:hint="default" w:ascii="Times New Roman" w:hAnsi="Times New Roman" w:eastAsia="华文中宋" w:cs="Times New Roman"/>
                            <w:b/>
                            <w:sz w:val="52"/>
                            <w:szCs w:val="52"/>
                            <w:lang w:val="en-US" w:eastAsia="zh-CN"/>
                          </w:rPr>
                          <w:t>（福鼎市城乡供水一体化二期）</w:t>
                        </w:r>
                      </w:p>
                    </w:txbxContent>
                  </v:textbox>
                </v:shape>
                <v:shape id="_x0000_s1026" o:spid="_x0000_s1026" o:spt="202" type="#_x0000_t202" style="position:absolute;left:13208;top:10499;height:5073;width:1080;" filled="f" stroked="f" coordsize="21600,21600" o:gfxdata="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WSE&#10;D8EAAADcAAAADwAAAAAAAAABACAAAAAiAAAAZHJzL2Rvd25yZXYueG1sUEsBAhQAFAAAAAgAh07i&#10;QDMvBZ47AAAAOQAAABAAAAAAAAAAAQAgAAAAEAEAAGRycy9zaGFwZXhtbC54bWxQSwUGAAAAAAYA&#10;BgBbAQAAugMAAAAA&#10;">
                  <v:fill on="f" focussize="0,0"/>
                  <v:stroke on="f"/>
                  <v:imagedata o:title=""/>
                  <o:lock v:ext="edit" aspectratio="f"/>
                  <v:textbox style="layout-flow:vertical-ideographic;">
                    <w:txbxContent>
                      <w:p>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eastAsia" w:eastAsia="宋体"/>
                            <w:b/>
                            <w:sz w:val="24"/>
                            <w:szCs w:val="24"/>
                            <w:lang w:val="en-US" w:eastAsia="zh-CN"/>
                          </w:rPr>
                        </w:pPr>
                        <w:r>
                          <w:rPr>
                            <w:b/>
                            <w:sz w:val="24"/>
                            <w:szCs w:val="24"/>
                          </w:rPr>
                          <w:t>福建省</w:t>
                        </w:r>
                        <w:r>
                          <w:rPr>
                            <w:rFonts w:hint="eastAsia"/>
                            <w:b/>
                            <w:sz w:val="24"/>
                            <w:szCs w:val="24"/>
                            <w:lang w:eastAsia="zh-CN"/>
                          </w:rPr>
                          <w:t>闽创</w:t>
                        </w:r>
                        <w:r>
                          <w:rPr>
                            <w:b/>
                            <w:sz w:val="24"/>
                            <w:szCs w:val="24"/>
                          </w:rPr>
                          <w:t>环保科技有限公司</w:t>
                        </w:r>
                        <w:r>
                          <w:rPr>
                            <w:rFonts w:hint="eastAsia"/>
                            <w:b/>
                            <w:sz w:val="24"/>
                            <w:szCs w:val="24"/>
                          </w:rPr>
                          <w:t xml:space="preserve">  20</w:t>
                        </w:r>
                        <w:r>
                          <w:rPr>
                            <w:b/>
                            <w:sz w:val="24"/>
                            <w:szCs w:val="24"/>
                          </w:rPr>
                          <w:t>2</w:t>
                        </w:r>
                        <w:r>
                          <w:rPr>
                            <w:rFonts w:hint="eastAsia"/>
                            <w:b/>
                            <w:sz w:val="24"/>
                            <w:szCs w:val="24"/>
                            <w:lang w:val="en-US" w:eastAsia="zh-CN"/>
                          </w:rPr>
                          <w:t>1</w:t>
                        </w:r>
                        <w:r>
                          <w:rPr>
                            <w:rFonts w:hint="eastAsia"/>
                            <w:b/>
                            <w:sz w:val="24"/>
                            <w:szCs w:val="24"/>
                          </w:rPr>
                          <w:t>年</w:t>
                        </w:r>
                        <w:r>
                          <w:rPr>
                            <w:rFonts w:hint="eastAsia"/>
                            <w:b/>
                            <w:sz w:val="24"/>
                            <w:szCs w:val="24"/>
                            <w:lang w:val="en-US" w:eastAsia="zh-CN"/>
                          </w:rPr>
                          <w:t>12月</w:t>
                        </w:r>
                      </w:p>
                    </w:txbxContent>
                  </v:textbox>
                </v:shape>
                <v:shape id="_x0000_s1026" o:spid="_x0000_s1026" o:spt="202" type="#_x0000_t202" style="position:absolute;left:16064;top:4587;height:7799;width:8115;" filled="f" stroked="f" coordsize="21600,21600" o:gfxdata="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prwx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sz w:val="84"/>
                            <w:szCs w:val="84"/>
                          </w:rPr>
                        </w:pPr>
                        <w:r>
                          <w:rPr>
                            <w:rFonts w:hint="eastAsia" w:ascii="华文中宋" w:hAnsi="华文中宋" w:eastAsia="华文中宋"/>
                            <w:sz w:val="84"/>
                            <w:szCs w:val="84"/>
                          </w:rPr>
                          <w:t>环境影响报告书</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sz w:val="44"/>
                            <w:szCs w:val="44"/>
                          </w:rPr>
                        </w:pPr>
                        <w:r>
                          <w:rPr>
                            <w:rFonts w:hint="eastAsia" w:ascii="华文中宋" w:hAnsi="华文中宋" w:eastAsia="华文中宋"/>
                            <w:sz w:val="44"/>
                            <w:szCs w:val="44"/>
                          </w:rPr>
                          <w:t>（</w:t>
                        </w:r>
                        <w:r>
                          <w:rPr>
                            <w:rFonts w:hint="eastAsia" w:ascii="华文中宋" w:hAnsi="华文中宋" w:eastAsia="华文中宋"/>
                            <w:sz w:val="44"/>
                            <w:szCs w:val="44"/>
                            <w:lang w:val="en-US" w:eastAsia="zh-CN"/>
                          </w:rPr>
                          <w:t>送审本</w:t>
                        </w:r>
                        <w:r>
                          <w:rPr>
                            <w:rFonts w:hint="eastAsia" w:ascii="华文中宋" w:hAnsi="华文中宋" w:eastAsia="华文中宋"/>
                            <w:sz w:val="44"/>
                            <w:szCs w:val="44"/>
                          </w:rPr>
                          <w:t>）</w:t>
                        </w:r>
                      </w:p>
                      <w:p>
                        <w:pPr>
                          <w:pStyle w:val="2"/>
                          <w:numPr>
                            <w:ilvl w:val="0"/>
                            <w:numId w:val="0"/>
                          </w:numPr>
                          <w:tabs>
                            <w:tab w:val="left" w:pos="0"/>
                            <w:tab w:val="left" w:pos="1960"/>
                            <w:tab w:val="clear" w:pos="420"/>
                          </w:tabs>
                          <w:rPr>
                            <w:rFonts w:hint="eastAsia"/>
                          </w:rPr>
                        </w:pPr>
                      </w:p>
                      <w:p>
                        <w:pPr>
                          <w:pStyle w:val="2"/>
                          <w:numPr>
                            <w:ilvl w:val="0"/>
                            <w:numId w:val="0"/>
                          </w:numPr>
                          <w:tabs>
                            <w:tab w:val="left" w:pos="0"/>
                            <w:tab w:val="left" w:pos="1960"/>
                            <w:tab w:val="clear" w:pos="420"/>
                          </w:tabs>
                          <w:jc w:val="center"/>
                          <w:rPr>
                            <w:rFonts w:hint="eastAsia"/>
                          </w:rPr>
                        </w:pPr>
                      </w:p>
                    </w:txbxContent>
                  </v:textbox>
                </v:shape>
                <v:shape id="_x0000_s1026" o:spid="_x0000_s1026" o:spt="202" type="#_x0000_t202" style="position:absolute;left:15847;top:13031;height:2194;width:8100;" filled="f" stroked="f" coordsize="21600,21600" o:gfxdata="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WDc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b/>
                            <w:sz w:val="32"/>
                            <w:szCs w:val="32"/>
                            <w:lang w:eastAsia="zh-CN"/>
                          </w:rPr>
                        </w:pPr>
                        <w:r>
                          <w:rPr>
                            <w:rFonts w:hint="eastAsia" w:ascii="华文中宋" w:hAnsi="华文中宋" w:eastAsia="华文中宋"/>
                            <w:b/>
                            <w:sz w:val="32"/>
                            <w:szCs w:val="32"/>
                            <w:lang w:eastAsia="zh-CN"/>
                          </w:rPr>
                          <w:t>建设</w:t>
                        </w:r>
                        <w:r>
                          <w:rPr>
                            <w:rFonts w:hint="eastAsia" w:ascii="华文中宋" w:hAnsi="华文中宋" w:eastAsia="华文中宋" w:cs="Times New Roman"/>
                            <w:b/>
                            <w:sz w:val="32"/>
                            <w:szCs w:val="32"/>
                            <w:lang w:eastAsia="zh-CN"/>
                          </w:rPr>
                          <w:t>单位：</w:t>
                        </w:r>
                        <w:r>
                          <w:rPr>
                            <w:rFonts w:hint="default" w:ascii="华文中宋" w:hAnsi="华文中宋" w:eastAsia="华文中宋" w:cs="Times New Roman"/>
                            <w:b/>
                            <w:sz w:val="32"/>
                            <w:szCs w:val="32"/>
                            <w:lang w:val="en-US" w:eastAsia="zh-CN"/>
                          </w:rPr>
                          <w:t>福建省</w:t>
                        </w:r>
                        <w:r>
                          <w:rPr>
                            <w:rFonts w:hint="eastAsia" w:ascii="华文中宋" w:hAnsi="华文中宋" w:eastAsia="华文中宋" w:cs="Times New Roman"/>
                            <w:b/>
                            <w:sz w:val="32"/>
                            <w:szCs w:val="32"/>
                            <w:lang w:val="en-US" w:eastAsia="zh-CN"/>
                          </w:rPr>
                          <w:t>水务发展</w:t>
                        </w:r>
                        <w:r>
                          <w:rPr>
                            <w:rFonts w:hint="default" w:ascii="华文中宋" w:hAnsi="华文中宋" w:eastAsia="华文中宋" w:cs="Times New Roman"/>
                            <w:b/>
                            <w:sz w:val="32"/>
                            <w:szCs w:val="32"/>
                            <w:lang w:val="en-US" w:eastAsia="zh-CN"/>
                          </w:rPr>
                          <w:t>集团福鼎水务有限公司</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环评单位：福建省闽创环保科技有限公司</w:t>
                        </w:r>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eastAsia" w:ascii="华文中宋" w:hAnsi="华文中宋" w:eastAsia="华文中宋" w:cs="Times New Roman"/>
                            <w:b/>
                            <w:sz w:val="32"/>
                            <w:szCs w:val="32"/>
                            <w:lang w:eastAsia="zh-CN"/>
                          </w:rPr>
                        </w:pPr>
                        <w:r>
                          <w:rPr>
                            <w:rFonts w:hint="eastAsia" w:ascii="华文中宋" w:hAnsi="华文中宋" w:eastAsia="华文中宋" w:cs="Times New Roman"/>
                            <w:b/>
                            <w:sz w:val="32"/>
                            <w:szCs w:val="32"/>
                            <w:lang w:eastAsia="zh-CN"/>
                          </w:rPr>
                          <w:t>二〇二一年</w:t>
                        </w:r>
                        <w:r>
                          <w:rPr>
                            <w:rFonts w:hint="eastAsia" w:ascii="华文中宋" w:hAnsi="华文中宋" w:eastAsia="华文中宋" w:cs="Times New Roman"/>
                            <w:b/>
                            <w:sz w:val="32"/>
                            <w:szCs w:val="32"/>
                            <w:lang w:val="en-US" w:eastAsia="zh-CN"/>
                          </w:rPr>
                          <w:t>十二</w:t>
                        </w:r>
                        <w:r>
                          <w:rPr>
                            <w:rFonts w:hint="eastAsia" w:ascii="华文中宋" w:hAnsi="华文中宋" w:eastAsia="华文中宋" w:cs="Times New Roman"/>
                            <w:b/>
                            <w:sz w:val="32"/>
                            <w:szCs w:val="32"/>
                            <w:lang w:eastAsia="zh-CN"/>
                          </w:rPr>
                          <w:t>月</w:t>
                        </w:r>
                      </w:p>
                    </w:txbxContent>
                  </v:textbox>
                </v:shape>
              </v:group>
            </w:pict>
          </mc:Fallback>
        </mc:AlternateContent>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jc w:val="center"/>
        <w:textAlignment w:val="auto"/>
        <w:rPr>
          <w:rFonts w:hint="default" w:ascii="Times New Roman" w:hAnsi="Times New Roman" w:cs="Times New Roman"/>
          <w:b/>
          <w:bCs/>
          <w:sz w:val="44"/>
          <w:szCs w:val="44"/>
          <w:highlight w:val="none"/>
          <w:lang w:val="en-US" w:eastAsia="zh-CN"/>
        </w:rPr>
      </w:pPr>
      <w:r>
        <w:rPr>
          <w:rFonts w:hint="default" w:ascii="Times New Roman" w:hAnsi="Times New Roman" w:cs="Times New Roman"/>
          <w:b/>
          <w:bCs/>
          <w:sz w:val="44"/>
          <w:szCs w:val="44"/>
          <w:highlight w:val="none"/>
          <w:lang w:val="en-US" w:eastAsia="zh-CN"/>
        </w:rPr>
        <w:t>目  录</w:t>
      </w:r>
    </w:p>
    <w:p>
      <w:pPr>
        <w:rPr>
          <w:rFonts w:hint="default" w:ascii="Times New Roman" w:hAnsi="Times New Roman" w:cs="Times New Roman"/>
          <w:highlight w:val="none"/>
          <w:lang w:val="en-US" w:eastAsia="zh-CN"/>
        </w:rPr>
      </w:pP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TOC \o "1-2" \h \u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_Toc15446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前  言</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_Toc15446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_Toc17486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 xml:space="preserve">1 </w:t>
      </w:r>
      <w:r>
        <w:rPr>
          <w:rFonts w:hint="default" w:ascii="Times New Roman" w:hAnsi="Times New Roman" w:cs="Times New Roman"/>
          <w:highlight w:val="none"/>
        </w:rPr>
        <w:t>项目由来</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_Toc17486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_Toc14363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 xml:space="preserve">2 </w:t>
      </w:r>
      <w:r>
        <w:rPr>
          <w:rFonts w:hint="default" w:ascii="Times New Roman" w:hAnsi="Times New Roman" w:cs="Times New Roman"/>
          <w:highlight w:val="none"/>
        </w:rPr>
        <w:t>编制目的</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_Toc14363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_Toc7171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 xml:space="preserve">3 </w:t>
      </w:r>
      <w:r>
        <w:rPr>
          <w:rFonts w:hint="default" w:ascii="Times New Roman" w:hAnsi="Times New Roman" w:cs="Times New Roman"/>
          <w:highlight w:val="none"/>
        </w:rPr>
        <w:t>评价工作程序</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_Toc7171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_Toc19216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4 分析判定相关情况</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_Toc19216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IV</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_Toc9100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5 关于</w:t>
      </w:r>
      <w:r>
        <w:rPr>
          <w:rFonts w:hint="default" w:ascii="Times New Roman" w:hAnsi="Times New Roman" w:cs="Times New Roman"/>
          <w:highlight w:val="none"/>
        </w:rPr>
        <w:t>主要环境问题</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_Toc9100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VII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_Toc18274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 xml:space="preserve">6 </w:t>
      </w:r>
      <w:r>
        <w:rPr>
          <w:rFonts w:hint="default" w:ascii="Times New Roman" w:hAnsi="Times New Roman" w:cs="Times New Roman"/>
          <w:highlight w:val="none"/>
        </w:rPr>
        <w:t>报告书主要结论</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_Toc18274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VII</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_Toc31088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1 </w:t>
      </w:r>
      <w:r>
        <w:rPr>
          <w:rFonts w:hint="default" w:ascii="Times New Roman" w:hAnsi="Times New Roman" w:cs="Times New Roman"/>
          <w:highlight w:val="none"/>
          <w:lang w:val="en-US" w:eastAsia="zh-CN"/>
        </w:rPr>
        <w:t>总  则</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_Toc31088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_Toc23109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1.1 </w:t>
      </w:r>
      <w:r>
        <w:rPr>
          <w:rFonts w:hint="default" w:ascii="Times New Roman" w:hAnsi="Times New Roman" w:cs="Times New Roman"/>
          <w:highlight w:val="none"/>
          <w:lang w:val="en-US" w:eastAsia="zh-CN"/>
        </w:rPr>
        <w:t>编制依据</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_Toc23109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_Toc9145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1.2 </w:t>
      </w:r>
      <w:r>
        <w:rPr>
          <w:rFonts w:hint="default" w:ascii="Times New Roman" w:hAnsi="Times New Roman" w:cs="Times New Roman"/>
          <w:highlight w:val="none"/>
        </w:rPr>
        <w:t>评价工作原则</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_Toc9145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2</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_Toc20663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1.3 </w:t>
      </w:r>
      <w:r>
        <w:rPr>
          <w:rFonts w:hint="default" w:ascii="Times New Roman" w:hAnsi="Times New Roman" w:cs="Times New Roman"/>
          <w:highlight w:val="none"/>
          <w:lang w:val="en-US" w:eastAsia="zh-CN"/>
        </w:rPr>
        <w:t>评价工作内容及重点</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_Toc20663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_Toc1564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1.4 </w:t>
      </w:r>
      <w:r>
        <w:rPr>
          <w:rFonts w:hint="default" w:ascii="Times New Roman" w:hAnsi="Times New Roman" w:cs="Times New Roman"/>
          <w:highlight w:val="none"/>
          <w:lang w:val="en-US" w:eastAsia="zh-CN"/>
        </w:rPr>
        <w:t>环境影响因素及评价因子识别</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_Toc1564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_Toc26500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1.5 </w:t>
      </w:r>
      <w:r>
        <w:rPr>
          <w:rFonts w:hint="default" w:ascii="Times New Roman" w:hAnsi="Times New Roman" w:cs="Times New Roman"/>
          <w:highlight w:val="none"/>
          <w:lang w:val="en-US" w:eastAsia="zh-CN"/>
        </w:rPr>
        <w:t>评价等级、评价范围及评价时段</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_Toc26500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_Toc23160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1.6 </w:t>
      </w:r>
      <w:r>
        <w:rPr>
          <w:rFonts w:hint="default" w:ascii="Times New Roman" w:hAnsi="Times New Roman" w:cs="Times New Roman"/>
          <w:highlight w:val="none"/>
          <w:lang w:val="en-US" w:eastAsia="zh-CN"/>
        </w:rPr>
        <w:t>评价标准</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_Toc23160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_Toc10308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1.7 </w:t>
      </w:r>
      <w:r>
        <w:rPr>
          <w:rFonts w:hint="default" w:ascii="Times New Roman" w:hAnsi="Times New Roman" w:cs="Times New Roman"/>
          <w:highlight w:val="none"/>
        </w:rPr>
        <w:t>环境保护目标</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_Toc10308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_Toc18007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2 </w:t>
      </w:r>
      <w:r>
        <w:rPr>
          <w:rFonts w:hint="default" w:ascii="Times New Roman" w:hAnsi="Times New Roman" w:cs="Times New Roman"/>
          <w:highlight w:val="none"/>
          <w:lang w:val="en-US" w:eastAsia="zh-CN"/>
        </w:rPr>
        <w:t>工程概况与工程分析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_Toc18007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_Toc9063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2.1 </w:t>
      </w:r>
      <w:r>
        <w:rPr>
          <w:rFonts w:hint="default" w:ascii="Times New Roman" w:hAnsi="Times New Roman" w:cs="Times New Roman"/>
          <w:highlight w:val="none"/>
          <w:lang w:val="en-US" w:eastAsia="zh-CN"/>
        </w:rPr>
        <w:t>工程概况</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_Toc9063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_Toc15692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2.2 </w:t>
      </w:r>
      <w:r>
        <w:rPr>
          <w:rFonts w:hint="default" w:ascii="Times New Roman" w:hAnsi="Times New Roman" w:cs="Times New Roman"/>
          <w:highlight w:val="none"/>
          <w:lang w:val="en-US" w:eastAsia="zh-CN"/>
        </w:rPr>
        <w:t>工程分析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_Toc15692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41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_Toc6032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3 </w:t>
      </w:r>
      <w:r>
        <w:rPr>
          <w:rFonts w:hint="default" w:ascii="Times New Roman" w:hAnsi="Times New Roman" w:cs="Times New Roman"/>
          <w:highlight w:val="none"/>
          <w:lang w:val="en-US" w:eastAsia="zh-CN"/>
        </w:rPr>
        <w:t>环境现状调查与评价</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_Toc6032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_Toc8032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eastAsia="zh-CN"/>
        </w:rPr>
        <w:t xml:space="preserve">3.1 </w:t>
      </w:r>
      <w:r>
        <w:rPr>
          <w:rFonts w:hint="default" w:ascii="Times New Roman" w:hAnsi="Times New Roman" w:cs="Times New Roman"/>
          <w:highlight w:val="none"/>
          <w:lang w:val="en-US" w:eastAsia="zh-CN"/>
        </w:rPr>
        <w:t>地理位置</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_Toc8032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_Toc22727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3.2 </w:t>
      </w:r>
      <w:r>
        <w:rPr>
          <w:rFonts w:hint="default" w:ascii="Times New Roman" w:hAnsi="Times New Roman" w:cs="Times New Roman"/>
          <w:highlight w:val="none"/>
        </w:rPr>
        <w:t>自然环境概况</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_Toc22727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_Toc15357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3.3 </w:t>
      </w:r>
      <w:r>
        <w:rPr>
          <w:rFonts w:hint="default" w:ascii="Times New Roman" w:hAnsi="Times New Roman" w:cs="Times New Roman"/>
          <w:highlight w:val="none"/>
        </w:rPr>
        <w:t>福建省福鼎市水资源配置规划报告</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_Toc15357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_Toc7760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3.4 </w:t>
      </w:r>
      <w:r>
        <w:rPr>
          <w:rFonts w:hint="default" w:ascii="Times New Roman" w:hAnsi="Times New Roman" w:cs="Times New Roman"/>
          <w:highlight w:val="none"/>
        </w:rPr>
        <w:t>环境质量现状</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_Toc7760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64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_Toc25828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rPr>
        <w:t xml:space="preserve">4 </w:t>
      </w:r>
      <w:r>
        <w:rPr>
          <w:rFonts w:hint="default" w:ascii="Times New Roman" w:hAnsi="Times New Roman" w:cs="Times New Roman"/>
          <w:highlight w:val="none"/>
          <w:lang w:val="en-US"/>
        </w:rPr>
        <w:t>环境影响预测与评价</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_Toc25828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_Toc21548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4.1 </w:t>
      </w:r>
      <w:r>
        <w:rPr>
          <w:rFonts w:hint="default" w:ascii="Times New Roman" w:hAnsi="Times New Roman" w:cs="Times New Roman"/>
          <w:highlight w:val="none"/>
        </w:rPr>
        <w:t>生态环境影响评价</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_Toc21548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_Toc23101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4.2 </w:t>
      </w:r>
      <w:r>
        <w:rPr>
          <w:rFonts w:hint="default" w:ascii="Times New Roman" w:hAnsi="Times New Roman" w:cs="Times New Roman"/>
          <w:highlight w:val="none"/>
        </w:rPr>
        <w:t>大气环境预测影响分析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_Toc23101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88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_Toc13697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4.3 </w:t>
      </w:r>
      <w:r>
        <w:rPr>
          <w:rFonts w:hint="default" w:ascii="Times New Roman" w:hAnsi="Times New Roman" w:cs="Times New Roman"/>
          <w:highlight w:val="none"/>
        </w:rPr>
        <w:t>地表水环境影响分析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_Toc13697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90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_Toc24514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4.4 </w:t>
      </w:r>
      <w:r>
        <w:rPr>
          <w:rFonts w:hint="default" w:ascii="Times New Roman" w:hAnsi="Times New Roman" w:cs="Times New Roman"/>
          <w:highlight w:val="none"/>
        </w:rPr>
        <w:t>地下水环境影响分析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_Toc24514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_Toc24455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4.5 </w:t>
      </w:r>
      <w:r>
        <w:rPr>
          <w:rFonts w:hint="default" w:ascii="Times New Roman" w:hAnsi="Times New Roman" w:cs="Times New Roman"/>
          <w:highlight w:val="none"/>
        </w:rPr>
        <w:t>声环境影响分析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_Toc24455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102</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_Toc3211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4.6 </w:t>
      </w:r>
      <w:r>
        <w:rPr>
          <w:rFonts w:hint="default" w:ascii="Times New Roman" w:hAnsi="Times New Roman" w:cs="Times New Roman"/>
          <w:highlight w:val="none"/>
        </w:rPr>
        <w:t>固体废物环境影响分析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_Toc3211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_Toc18611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rPr>
        <w:t xml:space="preserve">5 </w:t>
      </w:r>
      <w:r>
        <w:rPr>
          <w:rFonts w:hint="default" w:ascii="Times New Roman" w:hAnsi="Times New Roman" w:cs="Times New Roman"/>
          <w:highlight w:val="none"/>
          <w:lang w:val="en-US"/>
        </w:rPr>
        <w:t>环境保护措施</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_Toc18611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_Toc12817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rPr>
        <w:t xml:space="preserve">5.1 </w:t>
      </w:r>
      <w:r>
        <w:rPr>
          <w:rFonts w:hint="default" w:ascii="Times New Roman" w:hAnsi="Times New Roman" w:cs="Times New Roman"/>
          <w:highlight w:val="none"/>
          <w:lang w:val="en-US"/>
        </w:rPr>
        <w:t>施工期环境保护措施</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_Toc12817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108</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_Toc9764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lang w:val="en-US"/>
        </w:rPr>
        <w:t xml:space="preserve">5.2 </w:t>
      </w:r>
      <w:r>
        <w:rPr>
          <w:rFonts w:hint="default" w:ascii="Times New Roman" w:hAnsi="Times New Roman" w:cs="Times New Roman"/>
          <w:highlight w:val="none"/>
          <w:lang w:val="en-US" w:eastAsia="zh-CN"/>
        </w:rPr>
        <w:t>运行期</w:t>
      </w:r>
      <w:r>
        <w:rPr>
          <w:rFonts w:hint="default" w:ascii="Times New Roman" w:hAnsi="Times New Roman" w:cs="Times New Roman"/>
          <w:highlight w:val="none"/>
          <w:lang w:val="en-US"/>
        </w:rPr>
        <w:t>环境保护措施</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_Toc9764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111</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_Toc23640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6 </w:t>
      </w:r>
      <w:r>
        <w:rPr>
          <w:rFonts w:hint="default" w:ascii="Times New Roman" w:hAnsi="Times New Roman" w:cs="Times New Roman"/>
          <w:highlight w:val="none"/>
        </w:rPr>
        <w:t>环境经济损益分析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_Toc23640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_Toc22952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6.1 </w:t>
      </w:r>
      <w:r>
        <w:rPr>
          <w:rFonts w:hint="default" w:ascii="Times New Roman" w:hAnsi="Times New Roman" w:cs="Times New Roman"/>
          <w:highlight w:val="none"/>
        </w:rPr>
        <w:t>国民经济效益分析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_Toc22952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_Toc15460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6.2 </w:t>
      </w:r>
      <w:r>
        <w:rPr>
          <w:rFonts w:hint="default" w:ascii="Times New Roman" w:hAnsi="Times New Roman" w:cs="Times New Roman"/>
          <w:highlight w:val="none"/>
        </w:rPr>
        <w:t>社会效益分析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_Toc15460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_Toc5338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6.3 </w:t>
      </w:r>
      <w:r>
        <w:rPr>
          <w:rFonts w:hint="default" w:ascii="Times New Roman" w:hAnsi="Times New Roman" w:cs="Times New Roman"/>
          <w:highlight w:val="none"/>
        </w:rPr>
        <w:t>环保投资估算及其效益分析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_Toc5338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113</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_Toc5992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6.4 </w:t>
      </w:r>
      <w:r>
        <w:rPr>
          <w:rFonts w:hint="default" w:ascii="Times New Roman" w:hAnsi="Times New Roman" w:cs="Times New Roman"/>
          <w:highlight w:val="none"/>
        </w:rPr>
        <w:t>环境影响经济损益分析</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_Toc5992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114</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_Toc541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7 </w:t>
      </w:r>
      <w:r>
        <w:rPr>
          <w:rFonts w:hint="default" w:ascii="Times New Roman" w:hAnsi="Times New Roman" w:cs="Times New Roman"/>
          <w:highlight w:val="none"/>
        </w:rPr>
        <w:t>环境管理和监测计划</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_Toc541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_Toc26700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7.1 </w:t>
      </w:r>
      <w:r>
        <w:rPr>
          <w:rFonts w:hint="default" w:ascii="Times New Roman" w:hAnsi="Times New Roman" w:cs="Times New Roman"/>
          <w:highlight w:val="none"/>
        </w:rPr>
        <w:t>环境管理计划</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_Toc26700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_Toc2693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7.2 </w:t>
      </w:r>
      <w:r>
        <w:rPr>
          <w:rFonts w:hint="default" w:ascii="Times New Roman" w:hAnsi="Times New Roman" w:cs="Times New Roman"/>
          <w:highlight w:val="none"/>
        </w:rPr>
        <w:t>环境监测计划</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_Toc2693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119</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4"/>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_Toc3708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 </w:t>
      </w:r>
      <w:r>
        <w:rPr>
          <w:rFonts w:hint="default" w:ascii="Times New Roman" w:hAnsi="Times New Roman" w:cs="Times New Roman"/>
          <w:highlight w:val="none"/>
          <w:lang w:val="en-US" w:eastAsia="zh-CN"/>
        </w:rPr>
        <w:t>结论</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_Toc3708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_Toc18408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8.1 </w:t>
      </w:r>
      <w:r>
        <w:rPr>
          <w:rFonts w:hint="default" w:ascii="Times New Roman" w:hAnsi="Times New Roman" w:cs="Times New Roman"/>
          <w:highlight w:val="none"/>
        </w:rPr>
        <w:t>工程概况及主要问题</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_Toc18408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_Toc31775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8.2 </w:t>
      </w:r>
      <w:r>
        <w:rPr>
          <w:rFonts w:hint="default" w:ascii="Times New Roman" w:hAnsi="Times New Roman" w:cs="Times New Roman"/>
          <w:highlight w:val="none"/>
        </w:rPr>
        <w:t>工程环境影响</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_Toc31775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_Toc27830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8.3 </w:t>
      </w:r>
      <w:r>
        <w:rPr>
          <w:rFonts w:hint="default" w:ascii="Times New Roman" w:hAnsi="Times New Roman" w:cs="Times New Roman"/>
          <w:highlight w:val="none"/>
        </w:rPr>
        <w:t>工程建设的环境可行性</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_Toc27830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_Toc10030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8.4 </w:t>
      </w:r>
      <w:r>
        <w:rPr>
          <w:rFonts w:hint="default" w:ascii="Times New Roman" w:hAnsi="Times New Roman" w:cs="Times New Roman"/>
          <w:highlight w:val="none"/>
        </w:rPr>
        <w:t>环保措施</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_Toc10030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126</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pStyle w:val="15"/>
        <w:keepNext w:val="0"/>
        <w:keepLines w:val="0"/>
        <w:pageBreakBefore w:val="0"/>
        <w:widowControl w:val="0"/>
        <w:tabs>
          <w:tab w:val="right" w:leader="dot" w:pos="9016"/>
        </w:tabs>
        <w:kinsoku/>
        <w:wordWrap/>
        <w:overflowPunct/>
        <w:topLinePunct w:val="0"/>
        <w:autoSpaceDE w:val="0"/>
        <w:autoSpaceDN w:val="0"/>
        <w:bidi w:val="0"/>
        <w:adjustRightInd w:val="0"/>
        <w:snapToGrid/>
        <w:ind w:firstLine="0" w:firstLineChars="0"/>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HYPERLINK \l _Toc30531 </w:instrText>
      </w:r>
      <w:r>
        <w:rPr>
          <w:rFonts w:hint="default" w:ascii="Times New Roman" w:hAnsi="Times New Roman" w:cs="Times New Roman"/>
          <w:highlight w:val="none"/>
          <w:lang w:val="en-US" w:eastAsia="zh-CN"/>
        </w:rPr>
        <w:fldChar w:fldCharType="separate"/>
      </w:r>
      <w:r>
        <w:rPr>
          <w:rFonts w:hint="default" w:ascii="Times New Roman" w:hAnsi="Times New Roman" w:eastAsia="宋体" w:cs="Times New Roman"/>
          <w:highlight w:val="none"/>
        </w:rPr>
        <w:t xml:space="preserve">8.5 </w:t>
      </w:r>
      <w:r>
        <w:rPr>
          <w:rFonts w:hint="default" w:ascii="Times New Roman" w:hAnsi="Times New Roman" w:cs="Times New Roman"/>
          <w:highlight w:val="none"/>
        </w:rPr>
        <w:t>结论及建议</w:t>
      </w:r>
      <w:r>
        <w:rPr>
          <w:rFonts w:hint="default" w:ascii="Times New Roman" w:hAnsi="Times New Roman" w:cs="Times New Roman"/>
          <w:highlight w:val="none"/>
        </w:rPr>
        <w:tab/>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PAGEREF _Toc30531 \h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130</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fldChar w:fldCharType="end"/>
      </w:r>
    </w:p>
    <w:p>
      <w:pPr>
        <w:bidi w:val="0"/>
        <w:rPr>
          <w:rFonts w:hint="default" w:ascii="Times New Roman" w:hAnsi="Times New Roman" w:cs="Times New Roman"/>
          <w:highlight w:val="none"/>
          <w:lang w:val="en-US" w:eastAsia="zh-CN"/>
        </w:rPr>
        <w:sectPr>
          <w:pgSz w:w="11850" w:h="16783"/>
          <w:pgMar w:top="1417" w:right="1417" w:bottom="1417" w:left="1417" w:header="850" w:footer="992" w:gutter="0"/>
          <w:pgBorders>
            <w:top w:val="none" w:sz="0" w:space="0"/>
            <w:left w:val="none" w:sz="0" w:space="0"/>
            <w:bottom w:val="none" w:sz="0" w:space="0"/>
            <w:right w:val="none" w:sz="0" w:space="0"/>
          </w:pgBorders>
          <w:pgNumType w:fmt="decimal"/>
          <w:cols w:space="720" w:num="1"/>
          <w:rtlGutter w:val="0"/>
          <w:docGrid w:linePitch="1" w:charSpace="0"/>
        </w:sectPr>
      </w:pPr>
      <w:r>
        <w:rPr>
          <w:rFonts w:hint="default" w:ascii="Times New Roman" w:hAnsi="Times New Roman" w:cs="Times New Roman"/>
          <w:highlight w:val="none"/>
          <w:lang w:val="en-US" w:eastAsia="zh-CN"/>
        </w:rPr>
        <w:fldChar w:fldCharType="end"/>
      </w:r>
    </w:p>
    <w:p>
      <w:pPr>
        <w:pStyle w:val="2"/>
        <w:numPr>
          <w:ilvl w:val="0"/>
          <w:numId w:val="0"/>
        </w:numPr>
        <w:bidi w:val="0"/>
        <w:ind w:leftChars="0"/>
        <w:jc w:val="center"/>
        <w:rPr>
          <w:rFonts w:hint="default" w:ascii="Times New Roman" w:hAnsi="Times New Roman" w:cs="Times New Roman"/>
          <w:highlight w:val="none"/>
          <w:lang w:val="en-US" w:eastAsia="zh-CN"/>
        </w:rPr>
      </w:pPr>
      <w:bookmarkStart w:id="0" w:name="_Toc15446"/>
      <w:r>
        <w:rPr>
          <w:rFonts w:hint="default" w:ascii="Times New Roman" w:hAnsi="Times New Roman" w:cs="Times New Roman"/>
          <w:highlight w:val="none"/>
          <w:lang w:val="en-US" w:eastAsia="zh-CN"/>
        </w:rPr>
        <w:t>前  言</w:t>
      </w:r>
      <w:bookmarkEnd w:id="0"/>
    </w:p>
    <w:p>
      <w:pPr>
        <w:pStyle w:val="3"/>
        <w:numPr>
          <w:ilvl w:val="1"/>
          <w:numId w:val="0"/>
        </w:numPr>
        <w:bidi w:val="0"/>
        <w:ind w:leftChars="0"/>
        <w:rPr>
          <w:rFonts w:hint="default" w:ascii="Times New Roman" w:hAnsi="Times New Roman" w:cs="Times New Roman"/>
          <w:highlight w:val="none"/>
          <w:lang w:val="en-US" w:eastAsia="zh-CN"/>
        </w:rPr>
      </w:pPr>
      <w:bookmarkStart w:id="1" w:name="_Toc17486"/>
      <w:bookmarkStart w:id="2" w:name="_Toc2520"/>
      <w:r>
        <w:rPr>
          <w:rFonts w:hint="default" w:ascii="Times New Roman" w:hAnsi="Times New Roman" w:cs="Times New Roman"/>
          <w:highlight w:val="none"/>
          <w:lang w:val="en-US" w:eastAsia="zh-CN"/>
        </w:rPr>
        <w:t xml:space="preserve">1 </w:t>
      </w:r>
      <w:r>
        <w:rPr>
          <w:rFonts w:hint="default" w:ascii="Times New Roman" w:hAnsi="Times New Roman" w:cs="Times New Roman"/>
          <w:highlight w:val="none"/>
        </w:rPr>
        <w:t>项目由来</w:t>
      </w:r>
      <w:bookmarkEnd w:id="1"/>
      <w:bookmarkEnd w:id="2"/>
    </w:p>
    <w:p>
      <w:pPr>
        <w:tabs>
          <w:tab w:val="left" w:pos="0"/>
        </w:tabs>
        <w:bidi w:val="0"/>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福鼎市位于福建省东北沿海，地处闽浙交界山海之间，</w:t>
      </w:r>
      <w:r>
        <w:rPr>
          <w:rFonts w:hint="default" w:ascii="Times New Roman" w:hAnsi="Times New Roman" w:eastAsia="Times New Roman" w:cs="Times New Roman"/>
          <w:spacing w:val="-2"/>
          <w:sz w:val="24"/>
          <w:szCs w:val="24"/>
          <w:highlight w:val="none"/>
        </w:rPr>
        <w:t>“</w:t>
      </w:r>
      <w:r>
        <w:rPr>
          <w:rFonts w:hint="default" w:ascii="Times New Roman" w:hAnsi="Times New Roman" w:eastAsia="宋体" w:cs="Times New Roman"/>
          <w:spacing w:val="-2"/>
          <w:sz w:val="24"/>
          <w:szCs w:val="24"/>
          <w:highlight w:val="none"/>
        </w:rPr>
        <w:t>边界</w:t>
      </w:r>
      <w:r>
        <w:rPr>
          <w:rFonts w:hint="default" w:ascii="Times New Roman" w:hAnsi="Times New Roman" w:eastAsia="Times New Roman" w:cs="Times New Roman"/>
          <w:spacing w:val="-2"/>
          <w:sz w:val="24"/>
          <w:szCs w:val="24"/>
          <w:highlight w:val="none"/>
        </w:rPr>
        <w:t>”</w:t>
      </w:r>
      <w:r>
        <w:rPr>
          <w:rFonts w:hint="default" w:ascii="Times New Roman" w:hAnsi="Times New Roman" w:eastAsia="宋体" w:cs="Times New Roman"/>
          <w:spacing w:val="-2"/>
          <w:sz w:val="24"/>
          <w:szCs w:val="24"/>
          <w:highlight w:val="none"/>
        </w:rPr>
        <w:t>特征明显，具有独特的地理优势。福鼎市北部与浙江苍南、泰顺接壤，西部、南部分别于福建柘荣、霞</w:t>
      </w:r>
      <w:r>
        <w:rPr>
          <w:rFonts w:hint="default" w:ascii="Times New Roman" w:hAnsi="Times New Roman" w:eastAsia="宋体" w:cs="Times New Roman"/>
          <w:spacing w:val="-3"/>
          <w:sz w:val="24"/>
          <w:szCs w:val="24"/>
          <w:highlight w:val="none"/>
        </w:rPr>
        <w:t>浦相邻；东临大海，与台湾相望。全市陆地面积</w:t>
      </w:r>
      <w:r>
        <w:rPr>
          <w:rFonts w:hint="default" w:ascii="Times New Roman" w:hAnsi="Times New Roman" w:eastAsia="Times New Roman" w:cs="Times New Roman"/>
          <w:spacing w:val="-3"/>
          <w:sz w:val="24"/>
          <w:szCs w:val="24"/>
          <w:highlight w:val="none"/>
        </w:rPr>
        <w:t>1526km</w:t>
      </w:r>
      <w:r>
        <w:rPr>
          <w:rFonts w:hint="default" w:ascii="Times New Roman" w:hAnsi="Times New Roman" w:eastAsia="Times New Roman" w:cs="Times New Roman"/>
          <w:spacing w:val="-3"/>
          <w:position w:val="7"/>
          <w:sz w:val="17"/>
          <w:szCs w:val="17"/>
          <w:highlight w:val="none"/>
        </w:rPr>
        <w:t>2</w:t>
      </w:r>
      <w:r>
        <w:rPr>
          <w:rFonts w:hint="default" w:ascii="Times New Roman" w:hAnsi="Times New Roman" w:eastAsia="宋体" w:cs="Times New Roman"/>
          <w:spacing w:val="-3"/>
          <w:sz w:val="24"/>
          <w:szCs w:val="24"/>
          <w:highlight w:val="none"/>
        </w:rPr>
        <w:t>，海域面积</w:t>
      </w:r>
      <w:r>
        <w:rPr>
          <w:rFonts w:hint="default" w:ascii="Times New Roman" w:hAnsi="Times New Roman" w:eastAsia="Times New Roman" w:cs="Times New Roman"/>
          <w:spacing w:val="-3"/>
          <w:sz w:val="24"/>
          <w:szCs w:val="24"/>
          <w:highlight w:val="none"/>
        </w:rPr>
        <w:t>14960km</w:t>
      </w:r>
      <w:r>
        <w:rPr>
          <w:rFonts w:hint="default" w:ascii="Times New Roman" w:hAnsi="Times New Roman" w:eastAsia="Times New Roman" w:cs="Times New Roman"/>
          <w:spacing w:val="-3"/>
          <w:position w:val="7"/>
          <w:sz w:val="17"/>
          <w:szCs w:val="17"/>
          <w:highlight w:val="none"/>
        </w:rPr>
        <w:t>2</w:t>
      </w:r>
      <w:r>
        <w:rPr>
          <w:rFonts w:hint="default" w:ascii="Times New Roman" w:hAnsi="Times New Roman" w:eastAsia="宋体" w:cs="Times New Roman"/>
          <w:spacing w:val="-3"/>
          <w:sz w:val="24"/>
          <w:szCs w:val="24"/>
          <w:highlight w:val="none"/>
        </w:rPr>
        <w:t>，是</w:t>
      </w:r>
      <w:r>
        <w:rPr>
          <w:rFonts w:hint="default" w:ascii="Times New Roman" w:hAnsi="Times New Roman" w:eastAsia="宋体" w:cs="Times New Roman"/>
          <w:sz w:val="24"/>
          <w:szCs w:val="24"/>
          <w:highlight w:val="none"/>
        </w:rPr>
        <w:t>陆地面积的近</w:t>
      </w:r>
      <w:r>
        <w:rPr>
          <w:rFonts w:hint="default" w:ascii="Times New Roman" w:hAnsi="Times New Roman" w:eastAsia="Times New Roman" w:cs="Times New Roman"/>
          <w:sz w:val="24"/>
          <w:szCs w:val="24"/>
          <w:highlight w:val="none"/>
        </w:rPr>
        <w:t>10</w:t>
      </w:r>
      <w:r>
        <w:rPr>
          <w:rFonts w:hint="default" w:ascii="Times New Roman" w:hAnsi="Times New Roman" w:eastAsia="宋体" w:cs="Times New Roman"/>
          <w:sz w:val="24"/>
          <w:szCs w:val="24"/>
          <w:highlight w:val="none"/>
        </w:rPr>
        <w:t>倍。</w:t>
      </w:r>
    </w:p>
    <w:p>
      <w:pPr>
        <w:tabs>
          <w:tab w:val="left" w:pos="0"/>
        </w:tabs>
        <w:bidi w:val="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福鼎市</w:t>
      </w:r>
      <w:r>
        <w:rPr>
          <w:rFonts w:hint="default" w:ascii="Times New Roman" w:hAnsi="Times New Roman" w:eastAsia="宋体" w:cs="Times New Roman"/>
          <w:spacing w:val="-6"/>
          <w:sz w:val="24"/>
          <w:szCs w:val="24"/>
          <w:highlight w:val="none"/>
        </w:rPr>
        <w:t>辖</w:t>
      </w:r>
      <w:r>
        <w:rPr>
          <w:rFonts w:hint="default" w:ascii="Times New Roman" w:hAnsi="Times New Roman" w:eastAsia="Times New Roman" w:cs="Times New Roman"/>
          <w:spacing w:val="-6"/>
          <w:sz w:val="24"/>
          <w:szCs w:val="24"/>
          <w:highlight w:val="none"/>
        </w:rPr>
        <w:t>3</w:t>
      </w:r>
      <w:r>
        <w:rPr>
          <w:rFonts w:hint="default" w:ascii="Times New Roman" w:hAnsi="Times New Roman" w:eastAsia="宋体" w:cs="Times New Roman"/>
          <w:spacing w:val="-6"/>
          <w:sz w:val="24"/>
          <w:szCs w:val="24"/>
          <w:highlight w:val="none"/>
        </w:rPr>
        <w:t>个街道、</w:t>
      </w:r>
      <w:r>
        <w:rPr>
          <w:rFonts w:hint="default" w:ascii="Times New Roman" w:hAnsi="Times New Roman" w:eastAsia="Times New Roman" w:cs="Times New Roman"/>
          <w:spacing w:val="-6"/>
          <w:sz w:val="24"/>
          <w:szCs w:val="24"/>
          <w:highlight w:val="none"/>
        </w:rPr>
        <w:t>10</w:t>
      </w:r>
      <w:r>
        <w:rPr>
          <w:rFonts w:hint="default" w:ascii="Times New Roman" w:hAnsi="Times New Roman" w:eastAsia="宋体" w:cs="Times New Roman"/>
          <w:spacing w:val="-6"/>
          <w:sz w:val="24"/>
          <w:szCs w:val="24"/>
          <w:highlight w:val="none"/>
        </w:rPr>
        <w:t>个建制镇、</w:t>
      </w:r>
      <w:r>
        <w:rPr>
          <w:rFonts w:hint="default" w:ascii="Times New Roman" w:hAnsi="Times New Roman" w:eastAsia="Times New Roman" w:cs="Times New Roman"/>
          <w:spacing w:val="-6"/>
          <w:sz w:val="24"/>
          <w:szCs w:val="24"/>
          <w:highlight w:val="none"/>
        </w:rPr>
        <w:t>3</w:t>
      </w:r>
      <w:r>
        <w:rPr>
          <w:rFonts w:hint="default" w:ascii="Times New Roman" w:hAnsi="Times New Roman" w:eastAsia="宋体" w:cs="Times New Roman"/>
          <w:spacing w:val="-6"/>
          <w:sz w:val="24"/>
          <w:szCs w:val="24"/>
          <w:highlight w:val="none"/>
        </w:rPr>
        <w:t>个建制乡以及</w:t>
      </w:r>
      <w:r>
        <w:rPr>
          <w:rFonts w:hint="default" w:ascii="Times New Roman" w:hAnsi="Times New Roman" w:eastAsia="Times New Roman" w:cs="Times New Roman"/>
          <w:spacing w:val="-6"/>
          <w:sz w:val="24"/>
          <w:szCs w:val="24"/>
          <w:highlight w:val="none"/>
        </w:rPr>
        <w:t>1</w:t>
      </w:r>
      <w:r>
        <w:rPr>
          <w:rFonts w:hint="default" w:ascii="Times New Roman" w:hAnsi="Times New Roman" w:eastAsia="宋体" w:cs="Times New Roman"/>
          <w:spacing w:val="-6"/>
          <w:sz w:val="24"/>
          <w:szCs w:val="24"/>
          <w:highlight w:val="none"/>
        </w:rPr>
        <w:t>个开发区，总人口约</w:t>
      </w:r>
      <w:r>
        <w:rPr>
          <w:rFonts w:hint="default" w:ascii="Times New Roman" w:hAnsi="Times New Roman" w:eastAsia="Times New Roman" w:cs="Times New Roman"/>
          <w:spacing w:val="-6"/>
          <w:sz w:val="24"/>
          <w:szCs w:val="24"/>
          <w:highlight w:val="none"/>
        </w:rPr>
        <w:t>53</w:t>
      </w:r>
      <w:r>
        <w:rPr>
          <w:rFonts w:hint="default" w:ascii="Times New Roman" w:hAnsi="Times New Roman" w:eastAsia="宋体" w:cs="Times New Roman"/>
          <w:spacing w:val="-6"/>
          <w:sz w:val="24"/>
          <w:szCs w:val="24"/>
          <w:highlight w:val="none"/>
        </w:rPr>
        <w:t>万人。</w:t>
      </w:r>
      <w:r>
        <w:rPr>
          <w:rFonts w:hint="default" w:ascii="Times New Roman" w:hAnsi="Times New Roman" w:eastAsia="宋体" w:cs="Times New Roman"/>
          <w:spacing w:val="-1"/>
          <w:sz w:val="24"/>
          <w:szCs w:val="24"/>
          <w:highlight w:val="none"/>
        </w:rPr>
        <w:t>进入新世纪以来，福鼎市经济社会呈现较快发展态势，福鼎市发展总体定位为</w:t>
      </w:r>
      <w:r>
        <w:rPr>
          <w:rFonts w:hint="default" w:ascii="Times New Roman" w:hAnsi="Times New Roman" w:eastAsia="宋体" w:cs="Times New Roman"/>
          <w:spacing w:val="-1"/>
          <w:sz w:val="24"/>
          <w:szCs w:val="24"/>
          <w:highlight w:val="none"/>
          <w:lang w:eastAsia="zh-CN"/>
        </w:rPr>
        <w:t>：“</w:t>
      </w:r>
      <w:r>
        <w:rPr>
          <w:rFonts w:hint="default" w:ascii="Times New Roman" w:hAnsi="Times New Roman" w:eastAsia="宋体" w:cs="Times New Roman"/>
          <w:spacing w:val="-1"/>
          <w:sz w:val="24"/>
          <w:szCs w:val="24"/>
          <w:highlight w:val="none"/>
        </w:rPr>
        <w:t>海西</w:t>
      </w:r>
      <w:r>
        <w:rPr>
          <w:rFonts w:hint="default" w:ascii="Times New Roman" w:hAnsi="Times New Roman" w:eastAsia="宋体" w:cs="Times New Roman"/>
          <w:spacing w:val="-3"/>
          <w:sz w:val="24"/>
          <w:szCs w:val="24"/>
          <w:highlight w:val="none"/>
        </w:rPr>
        <w:t>经济区和闽浙区域联动的重要节点城市，闽东以港航、新兴产业和旅游为主导的次中</w:t>
      </w:r>
      <w:r>
        <w:rPr>
          <w:rFonts w:hint="default" w:ascii="Times New Roman" w:hAnsi="Times New Roman" w:eastAsia="宋体" w:cs="Times New Roman"/>
          <w:spacing w:val="-2"/>
          <w:sz w:val="24"/>
          <w:szCs w:val="24"/>
          <w:highlight w:val="none"/>
        </w:rPr>
        <w:t>心城市，富有山水特色的滨海宜居城市</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。以</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工业兴市</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港航强市</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旅游优市</w:t>
      </w:r>
      <w:r>
        <w:rPr>
          <w:rFonts w:hint="default" w:ascii="Times New Roman" w:hAnsi="Times New Roman" w:eastAsia="宋体" w:cs="Times New Roman"/>
          <w:spacing w:val="-2"/>
          <w:sz w:val="24"/>
          <w:szCs w:val="24"/>
          <w:highlight w:val="none"/>
          <w:lang w:eastAsia="zh-CN"/>
        </w:rPr>
        <w:t>”</w:t>
      </w:r>
      <w:r>
        <w:rPr>
          <w:rFonts w:hint="default" w:ascii="Times New Roman" w:hAnsi="Times New Roman" w:eastAsia="宋体" w:cs="Times New Roman"/>
          <w:spacing w:val="-2"/>
          <w:sz w:val="24"/>
          <w:szCs w:val="24"/>
          <w:highlight w:val="none"/>
        </w:rPr>
        <w:t>为</w:t>
      </w:r>
      <w:r>
        <w:rPr>
          <w:rFonts w:hint="default" w:ascii="Times New Roman" w:hAnsi="Times New Roman" w:eastAsia="宋体" w:cs="Times New Roman"/>
          <w:spacing w:val="-1"/>
          <w:sz w:val="24"/>
          <w:szCs w:val="24"/>
          <w:highlight w:val="none"/>
        </w:rPr>
        <w:t>支柱，推动福鼎市可持续发展。</w:t>
      </w:r>
    </w:p>
    <w:p>
      <w:pPr>
        <w:tabs>
          <w:tab w:val="left" w:pos="0"/>
        </w:tabs>
        <w:bidi w:val="0"/>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3"/>
          <w:sz w:val="24"/>
          <w:szCs w:val="24"/>
          <w:highlight w:val="none"/>
        </w:rPr>
        <w:t>为了助力</w:t>
      </w:r>
      <w:r>
        <w:rPr>
          <w:rFonts w:hint="default" w:ascii="Times New Roman" w:hAnsi="Times New Roman" w:cs="Times New Roman"/>
          <w:spacing w:val="3"/>
          <w:sz w:val="24"/>
          <w:szCs w:val="24"/>
          <w:highlight w:val="none"/>
          <w:lang w:val="en-US" w:eastAsia="zh-CN"/>
        </w:rPr>
        <w:t>福建</w:t>
      </w:r>
      <w:r>
        <w:rPr>
          <w:rFonts w:hint="default" w:ascii="Times New Roman" w:hAnsi="Times New Roman" w:eastAsia="宋体" w:cs="Times New Roman"/>
          <w:spacing w:val="3"/>
          <w:sz w:val="24"/>
          <w:szCs w:val="24"/>
          <w:highlight w:val="none"/>
        </w:rPr>
        <w:t>省全面建成小康社会、实施乡村振兴战略和加快新型城镇化步伐，</w:t>
      </w:r>
      <w:r>
        <w:rPr>
          <w:rFonts w:hint="default" w:ascii="Times New Roman" w:hAnsi="Times New Roman" w:eastAsia="Times New Roman" w:cs="Times New Roman"/>
          <w:spacing w:val="-4"/>
          <w:sz w:val="24"/>
          <w:szCs w:val="24"/>
          <w:highlight w:val="none"/>
        </w:rPr>
        <w:t>2018</w:t>
      </w:r>
      <w:r>
        <w:rPr>
          <w:rFonts w:hint="default" w:ascii="Times New Roman" w:hAnsi="Times New Roman" w:eastAsia="宋体" w:cs="Times New Roman"/>
          <w:spacing w:val="-4"/>
          <w:sz w:val="24"/>
          <w:szCs w:val="24"/>
          <w:highlight w:val="none"/>
        </w:rPr>
        <w:t>年初，</w:t>
      </w:r>
      <w:r>
        <w:rPr>
          <w:rFonts w:hint="default" w:ascii="Times New Roman" w:hAnsi="Times New Roman" w:cs="Times New Roman"/>
          <w:spacing w:val="-4"/>
          <w:sz w:val="24"/>
          <w:szCs w:val="24"/>
          <w:highlight w:val="none"/>
          <w:lang w:val="en-US" w:eastAsia="zh-CN"/>
        </w:rPr>
        <w:t>福建</w:t>
      </w:r>
      <w:r>
        <w:rPr>
          <w:rFonts w:hint="default" w:ascii="Times New Roman" w:hAnsi="Times New Roman" w:eastAsia="宋体" w:cs="Times New Roman"/>
          <w:spacing w:val="-4"/>
          <w:sz w:val="24"/>
          <w:szCs w:val="24"/>
          <w:highlight w:val="none"/>
        </w:rPr>
        <w:t>省水利</w:t>
      </w:r>
      <w:r>
        <w:rPr>
          <w:rFonts w:hint="default" w:ascii="Times New Roman" w:hAnsi="Times New Roman" w:eastAsia="宋体" w:cs="Times New Roman"/>
          <w:spacing w:val="-4"/>
          <w:sz w:val="24"/>
          <w:szCs w:val="24"/>
          <w:highlight w:val="none"/>
          <w:lang w:val="en-US" w:eastAsia="zh-CN"/>
        </w:rPr>
        <w:t>主管部门</w:t>
      </w:r>
      <w:r>
        <w:rPr>
          <w:rFonts w:hint="default" w:ascii="Times New Roman" w:hAnsi="Times New Roman" w:eastAsia="宋体" w:cs="Times New Roman"/>
          <w:spacing w:val="-4"/>
          <w:sz w:val="24"/>
          <w:szCs w:val="24"/>
          <w:highlight w:val="none"/>
        </w:rPr>
        <w:t>提出在有条件的县（市、区</w:t>
      </w:r>
      <w:r>
        <w:rPr>
          <w:rFonts w:hint="default" w:ascii="Times New Roman" w:hAnsi="Times New Roman" w:eastAsia="宋体" w:cs="Times New Roman"/>
          <w:spacing w:val="7"/>
          <w:sz w:val="24"/>
          <w:szCs w:val="24"/>
          <w:highlight w:val="none"/>
        </w:rPr>
        <w:t>），</w:t>
      </w:r>
      <w:r>
        <w:rPr>
          <w:rFonts w:hint="default" w:ascii="Times New Roman" w:hAnsi="Times New Roman" w:eastAsia="宋体" w:cs="Times New Roman"/>
          <w:spacing w:val="-4"/>
          <w:sz w:val="24"/>
          <w:szCs w:val="24"/>
          <w:highlight w:val="none"/>
        </w:rPr>
        <w:t>开展城乡供水一体化试点。</w:t>
      </w:r>
      <w:r>
        <w:rPr>
          <w:rFonts w:hint="default" w:ascii="Times New Roman" w:hAnsi="Times New Roman" w:cs="Times New Roman"/>
          <w:spacing w:val="-4"/>
          <w:sz w:val="24"/>
          <w:szCs w:val="24"/>
          <w:highlight w:val="none"/>
          <w:lang w:eastAsia="zh-CN"/>
        </w:rPr>
        <w:t>福建省水务发展集团福鼎水务有限公司</w:t>
      </w:r>
      <w:r>
        <w:rPr>
          <w:rFonts w:hint="default" w:ascii="Times New Roman" w:hAnsi="Times New Roman" w:eastAsia="宋体" w:cs="Times New Roman"/>
          <w:spacing w:val="-3"/>
          <w:sz w:val="24"/>
          <w:szCs w:val="24"/>
          <w:highlight w:val="none"/>
        </w:rPr>
        <w:t>在前期水资源配置工程规划和项目建设基础上，积</w:t>
      </w:r>
      <w:r>
        <w:rPr>
          <w:rFonts w:hint="default" w:ascii="Times New Roman" w:hAnsi="Times New Roman" w:eastAsia="宋体" w:cs="Times New Roman"/>
          <w:spacing w:val="-5"/>
          <w:sz w:val="24"/>
          <w:szCs w:val="24"/>
          <w:highlight w:val="none"/>
        </w:rPr>
        <w:t>极响应试点工作，提出福鼎市城乡供水一体化规划，分沿海片和山区片，构建</w:t>
      </w:r>
      <w:r>
        <w:rPr>
          <w:rFonts w:hint="default" w:ascii="Times New Roman" w:hAnsi="Times New Roman" w:eastAsia="宋体" w:cs="Times New Roman"/>
          <w:spacing w:val="-5"/>
          <w:sz w:val="24"/>
          <w:szCs w:val="24"/>
          <w:highlight w:val="none"/>
          <w:lang w:eastAsia="zh-CN"/>
        </w:rPr>
        <w:t>“</w:t>
      </w:r>
      <w:r>
        <w:rPr>
          <w:rFonts w:hint="default" w:ascii="Times New Roman" w:hAnsi="Times New Roman" w:eastAsia="宋体" w:cs="Times New Roman"/>
          <w:spacing w:val="-5"/>
          <w:sz w:val="24"/>
          <w:szCs w:val="24"/>
          <w:highlight w:val="none"/>
        </w:rPr>
        <w:t>两</w:t>
      </w:r>
      <w:r>
        <w:rPr>
          <w:rFonts w:hint="default" w:ascii="Times New Roman" w:hAnsi="Times New Roman" w:eastAsia="宋体" w:cs="Times New Roman"/>
          <w:sz w:val="24"/>
          <w:szCs w:val="24"/>
          <w:highlight w:val="none"/>
        </w:rPr>
        <w:t>库三线、环网互补</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的大水网优势，集中连片解决全市乡村安全供水和提质供水。</w:t>
      </w:r>
      <w:r>
        <w:rPr>
          <w:rFonts w:hint="default" w:ascii="Times New Roman" w:hAnsi="Times New Roman" w:eastAsia="宋体" w:cs="Times New Roman"/>
          <w:color w:val="000000"/>
          <w:kern w:val="0"/>
          <w:sz w:val="24"/>
          <w:szCs w:val="24"/>
          <w:highlight w:val="none"/>
          <w:lang w:val="en-US" w:eastAsia="zh-CN" w:bidi="ar"/>
        </w:rPr>
        <w:t>本工程分为取水工程、输水工程和配水工程三个部分，分别从</w:t>
      </w:r>
      <w:r>
        <w:rPr>
          <w:rFonts w:hint="default" w:ascii="Times New Roman" w:hAnsi="Times New Roman" w:cs="Times New Roman"/>
          <w:highlight w:val="none"/>
          <w:u w:val="single"/>
          <w:lang w:val="en-US" w:eastAsia="zh-CN"/>
        </w:rPr>
        <w:t>上安水库（</w:t>
      </w:r>
      <w:r>
        <w:rPr>
          <w:rFonts w:hint="default" w:ascii="Times New Roman" w:hAnsi="Times New Roman" w:cs="Times New Roman"/>
          <w:highlight w:val="none"/>
          <w:u w:val="single"/>
          <w:lang w:val="en-US" w:eastAsia="zh-CN"/>
        </w:rPr>
        <w:t>上安水库</w:t>
      </w:r>
      <w:r>
        <w:rPr>
          <w:rFonts w:hint="default" w:ascii="Times New Roman" w:hAnsi="Times New Roman" w:cs="Times New Roman"/>
          <w:highlight w:val="none"/>
          <w:u w:val="single"/>
          <w:lang w:val="en-US" w:eastAsia="zh-CN"/>
        </w:rPr>
        <w:t>又名</w:t>
      </w:r>
      <w:r>
        <w:rPr>
          <w:rFonts w:hint="default" w:ascii="Times New Roman" w:hAnsi="Times New Roman" w:cs="Times New Roman"/>
          <w:highlight w:val="none"/>
          <w:u w:val="single"/>
          <w:lang w:val="en-US" w:eastAsia="zh-CN"/>
        </w:rPr>
        <w:t>章边</w:t>
      </w:r>
      <w:r>
        <w:rPr>
          <w:rFonts w:hint="default" w:ascii="Times New Roman" w:hAnsi="Times New Roman" w:cs="Times New Roman"/>
          <w:highlight w:val="none"/>
          <w:u w:val="single"/>
          <w:lang w:val="en-US" w:eastAsia="zh-CN"/>
        </w:rPr>
        <w:t>水库，于2007年划定为水源保护区</w:t>
      </w:r>
      <w:r>
        <w:rPr>
          <w:rFonts w:hint="default" w:ascii="Times New Roman" w:hAnsi="Times New Roman" w:cs="Times New Roman"/>
          <w:highlight w:val="none"/>
          <w:u w:val="single"/>
          <w:lang w:val="en-US" w:eastAsia="zh-CN"/>
        </w:rPr>
        <w:t>，本文以“上安水库”描述</w:t>
      </w:r>
      <w:r>
        <w:rPr>
          <w:rFonts w:hint="default" w:ascii="Times New Roman" w:hAnsi="Times New Roman" w:cs="Times New Roman"/>
          <w:highlight w:val="none"/>
          <w:u w:val="single"/>
          <w:lang w:val="en-US" w:eastAsia="zh-CN"/>
        </w:rPr>
        <w:t>）</w:t>
      </w:r>
      <w:r>
        <w:rPr>
          <w:rFonts w:hint="default" w:ascii="Times New Roman" w:hAnsi="Times New Roman" w:cs="Times New Roman"/>
          <w:highlight w:val="none"/>
          <w:lang w:val="en-US" w:eastAsia="zh-CN"/>
        </w:rPr>
        <w:t>和</w:t>
      </w:r>
      <w:r>
        <w:rPr>
          <w:rFonts w:hint="default" w:ascii="Times New Roman" w:hAnsi="Times New Roman" w:eastAsia="宋体" w:cs="Times New Roman"/>
          <w:spacing w:val="-11"/>
          <w:sz w:val="24"/>
          <w:szCs w:val="24"/>
          <w:highlight w:val="none"/>
          <w:lang w:eastAsia="zh-CN"/>
        </w:rPr>
        <w:t>龙井溪山涧水</w:t>
      </w:r>
      <w:r>
        <w:rPr>
          <w:rFonts w:hint="default" w:ascii="Times New Roman" w:hAnsi="Times New Roman" w:cs="Times New Roman"/>
          <w:spacing w:val="-11"/>
          <w:sz w:val="24"/>
          <w:szCs w:val="24"/>
          <w:highlight w:val="none"/>
          <w:lang w:val="en-US" w:eastAsia="zh-CN"/>
        </w:rPr>
        <w:t>取水，</w:t>
      </w:r>
      <w:r>
        <w:rPr>
          <w:rFonts w:hint="default" w:ascii="Times New Roman" w:hAnsi="Times New Roman" w:cs="Times New Roman"/>
          <w:highlight w:val="none"/>
          <w:lang w:val="en-US" w:eastAsia="zh-CN"/>
        </w:rPr>
        <w:t>天竹水库作为补充</w:t>
      </w:r>
      <w:r>
        <w:rPr>
          <w:rFonts w:hint="default" w:ascii="Times New Roman" w:hAnsi="Times New Roman" w:cs="Times New Roman"/>
          <w:spacing w:val="-11"/>
          <w:sz w:val="24"/>
          <w:szCs w:val="24"/>
          <w:highlight w:val="none"/>
          <w:lang w:eastAsia="zh-CN"/>
        </w:rPr>
        <w:t>，</w:t>
      </w:r>
      <w:r>
        <w:rPr>
          <w:rFonts w:hint="default" w:ascii="Times New Roman" w:hAnsi="Times New Roman" w:cs="Times New Roman"/>
          <w:highlight w:val="none"/>
        </w:rPr>
        <w:t>管阳水厂</w:t>
      </w:r>
      <w:r>
        <w:rPr>
          <w:rFonts w:hint="default" w:ascii="Times New Roman" w:hAnsi="Times New Roman" w:cs="Times New Roman"/>
          <w:highlight w:val="none"/>
          <w:lang w:val="en-US" w:eastAsia="zh-CN"/>
        </w:rPr>
        <w:t>和西阳水厂取水管道的部分管段</w:t>
      </w:r>
      <w:r>
        <w:rPr>
          <w:rFonts w:hint="default" w:ascii="Times New Roman" w:hAnsi="Times New Roman" w:cs="Times New Roman"/>
          <w:highlight w:val="none"/>
        </w:rPr>
        <w:t>利用现有取水管道，</w:t>
      </w:r>
      <w:r>
        <w:rPr>
          <w:rFonts w:hint="default" w:ascii="Times New Roman" w:hAnsi="Times New Roman" w:cs="Times New Roman"/>
          <w:highlight w:val="none"/>
          <w:lang w:val="en-US" w:eastAsia="zh-CN"/>
        </w:rPr>
        <w:t>现有</w:t>
      </w:r>
      <w:r>
        <w:rPr>
          <w:rFonts w:hint="default" w:ascii="Times New Roman" w:hAnsi="Times New Roman" w:cs="Times New Roman"/>
          <w:highlight w:val="none"/>
        </w:rPr>
        <w:t>取水管道服务于管阳镇现有供水，本工程</w:t>
      </w:r>
      <w:r>
        <w:rPr>
          <w:rFonts w:hint="default" w:ascii="Times New Roman" w:hAnsi="Times New Roman" w:cs="Times New Roman"/>
          <w:highlight w:val="none"/>
          <w:lang w:val="en-US" w:eastAsia="zh-CN"/>
        </w:rPr>
        <w:t>建成</w:t>
      </w:r>
      <w:r>
        <w:rPr>
          <w:rFonts w:hint="default" w:ascii="Times New Roman" w:hAnsi="Times New Roman" w:cs="Times New Roman"/>
          <w:highlight w:val="none"/>
        </w:rPr>
        <w:t>投入使用后，现有取水管道专管服务于</w:t>
      </w:r>
      <w:r>
        <w:rPr>
          <w:rFonts w:hint="default" w:ascii="Times New Roman" w:hAnsi="Times New Roman" w:cs="Times New Roman"/>
          <w:highlight w:val="none"/>
          <w:lang w:val="en-US" w:eastAsia="zh-CN"/>
        </w:rPr>
        <w:t>本项目</w:t>
      </w:r>
      <w:r>
        <w:rPr>
          <w:rFonts w:hint="default" w:ascii="Times New Roman" w:hAnsi="Times New Roman" w:cs="Times New Roman"/>
          <w:highlight w:val="none"/>
        </w:rPr>
        <w:t>，不做其他用途</w:t>
      </w:r>
      <w:r>
        <w:rPr>
          <w:rFonts w:hint="default" w:ascii="Times New Roman" w:hAnsi="Times New Roman" w:cs="Times New Roman"/>
          <w:highlight w:val="none"/>
          <w:lang w:eastAsia="zh-CN"/>
        </w:rPr>
        <w:t>，</w:t>
      </w:r>
      <w:r>
        <w:rPr>
          <w:rFonts w:hint="default" w:ascii="Times New Roman" w:hAnsi="Times New Roman" w:cs="Times New Roman"/>
          <w:b/>
          <w:bCs/>
          <w:highlight w:val="none"/>
          <w:lang w:val="en-US" w:eastAsia="zh-CN"/>
        </w:rPr>
        <w:t>管阳水厂和西阳水厂不在本次评价范围，</w:t>
      </w:r>
      <w:r>
        <w:rPr>
          <w:rFonts w:hint="default" w:ascii="Times New Roman" w:hAnsi="Times New Roman" w:eastAsia="宋体" w:cs="Times New Roman"/>
          <w:color w:val="auto"/>
          <w:kern w:val="0"/>
          <w:sz w:val="24"/>
          <w:szCs w:val="24"/>
          <w:highlight w:val="none"/>
          <w:lang w:val="en-US" w:eastAsia="zh-CN" w:bidi="ar"/>
        </w:rPr>
        <w:t>工程建成将</w:t>
      </w:r>
      <w:r>
        <w:rPr>
          <w:rFonts w:hint="default" w:ascii="Times New Roman" w:hAnsi="Times New Roman" w:eastAsia="宋体" w:cs="Times New Roman"/>
          <w:color w:val="auto"/>
          <w:sz w:val="24"/>
          <w:szCs w:val="24"/>
          <w:highlight w:val="none"/>
        </w:rPr>
        <w:t>解决管阳镇33</w:t>
      </w:r>
      <w:r>
        <w:rPr>
          <w:rFonts w:hint="default" w:ascii="Times New Roman" w:hAnsi="Times New Roman" w:eastAsia="宋体" w:cs="Times New Roman"/>
          <w:sz w:val="24"/>
          <w:szCs w:val="24"/>
          <w:highlight w:val="none"/>
        </w:rPr>
        <w:t>765人的城乡供水问题，保障城乡供水安全，促进城乡统筹发展。</w:t>
      </w:r>
    </w:p>
    <w:p>
      <w:pPr>
        <w:bidi w:val="0"/>
        <w:rPr>
          <w:rFonts w:hint="default" w:ascii="Times New Roman" w:hAnsi="Times New Roman" w:cs="Times New Roman"/>
          <w:highlight w:val="none"/>
        </w:rPr>
      </w:pPr>
      <w:r>
        <w:rPr>
          <w:rFonts w:hint="default" w:ascii="Times New Roman" w:hAnsi="Times New Roman" w:eastAsia="宋体" w:cs="Times New Roman"/>
          <w:highlight w:val="none"/>
          <w:lang w:val="en-US" w:eastAsia="zh-CN"/>
        </w:rPr>
        <w:t>根据</w:t>
      </w:r>
      <w:r>
        <w:rPr>
          <w:rFonts w:hint="default" w:ascii="Times New Roman" w:hAnsi="Times New Roman" w:eastAsia="宋体" w:cs="Times New Roman"/>
          <w:highlight w:val="none"/>
          <w:lang w:val="en-US" w:eastAsia="zh-CN"/>
        </w:rPr>
        <w:fldChar w:fldCharType="begin"/>
      </w:r>
      <w:r>
        <w:rPr>
          <w:rFonts w:hint="default" w:ascii="Times New Roman" w:hAnsi="Times New Roman" w:eastAsia="宋体" w:cs="Times New Roman"/>
          <w:highlight w:val="none"/>
          <w:lang w:val="en-US" w:eastAsia="zh-CN"/>
        </w:rPr>
        <w:instrText xml:space="preserve"> HYPERLINK "https://www.eiacloud.com/hpyzs/lawsRegulations/searchDetail?id=11790cd1ed7141e590ad9d52c800f594" \t "https://www.eiacloud.com/hpyzs/category/_blank" </w:instrText>
      </w:r>
      <w:r>
        <w:rPr>
          <w:rFonts w:hint="default" w:ascii="Times New Roman" w:hAnsi="Times New Roman" w:eastAsia="宋体" w:cs="Times New Roman"/>
          <w:highlight w:val="none"/>
          <w:lang w:val="en-US" w:eastAsia="zh-CN"/>
        </w:rPr>
        <w:fldChar w:fldCharType="separate"/>
      </w:r>
      <w:r>
        <w:rPr>
          <w:rFonts w:hint="default" w:ascii="Times New Roman" w:hAnsi="Times New Roman" w:eastAsia="宋体" w:cs="Times New Roman"/>
          <w:highlight w:val="none"/>
          <w:lang w:val="en-US" w:eastAsia="zh-CN"/>
        </w:rPr>
        <w:t>《建设项目环境影响评价分类管理名录</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t>2021年版</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t>》</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t>部令第16号</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fldChar w:fldCharType="end"/>
      </w:r>
      <w:r>
        <w:rPr>
          <w:rFonts w:hint="default" w:ascii="Times New Roman" w:hAnsi="Times New Roman" w:eastAsia="宋体" w:cs="Times New Roman"/>
          <w:highlight w:val="none"/>
          <w:lang w:val="en-US" w:eastAsia="zh-CN"/>
        </w:rPr>
        <w:t>，本项目引水属</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t>五十一、水利—126.引水工程</w:t>
      </w:r>
      <w:r>
        <w:rPr>
          <w:rFonts w:hint="default" w:ascii="Times New Roman" w:hAnsi="Times New Roman" w:cs="Times New Roman"/>
          <w:highlight w:val="none"/>
          <w:lang w:val="en-US" w:eastAsia="zh-CN"/>
        </w:rPr>
        <w:t>”</w:t>
      </w:r>
      <w:r>
        <w:rPr>
          <w:rFonts w:hint="default" w:ascii="Times New Roman" w:hAnsi="Times New Roman" w:eastAsia="宋体" w:cs="Times New Roman"/>
          <w:highlight w:val="none"/>
          <w:lang w:val="en-US" w:eastAsia="zh-CN"/>
        </w:rPr>
        <w:t>中小型河流年总引水量占引水断面天然年径流量1/4及以上类别，应编制环评报告书。为此</w:t>
      </w:r>
      <w:r>
        <w:rPr>
          <w:rFonts w:hint="default" w:ascii="Times New Roman" w:hAnsi="Times New Roman" w:cs="Times New Roman"/>
          <w:spacing w:val="-4"/>
          <w:sz w:val="24"/>
          <w:szCs w:val="24"/>
          <w:highlight w:val="none"/>
          <w:lang w:eastAsia="zh-CN"/>
        </w:rPr>
        <w:t>福建省水务发展集团福鼎水务有限公司</w:t>
      </w:r>
      <w:r>
        <w:rPr>
          <w:rFonts w:hint="default" w:ascii="Times New Roman" w:hAnsi="Times New Roman" w:eastAsia="宋体" w:cs="Times New Roman"/>
          <w:highlight w:val="none"/>
          <w:lang w:val="en-US" w:eastAsia="zh-CN"/>
        </w:rPr>
        <w:t>委托福建省闽创环保科技有限公司开展该项目的环境影响评价工作。</w:t>
      </w:r>
      <w:r>
        <w:rPr>
          <w:rFonts w:hint="default" w:ascii="Times New Roman" w:hAnsi="Times New Roman" w:cs="Times New Roman"/>
          <w:highlight w:val="none"/>
        </w:rPr>
        <w:t>评价单位</w:t>
      </w:r>
      <w:r>
        <w:rPr>
          <w:rFonts w:hint="default" w:ascii="Times New Roman" w:hAnsi="Times New Roman" w:cs="Times New Roman"/>
          <w:highlight w:val="none"/>
          <w:lang w:val="en-US"/>
        </w:rPr>
        <w:t>接受委托后，</w:t>
      </w:r>
      <w:r>
        <w:rPr>
          <w:rFonts w:hint="default" w:ascii="Times New Roman" w:hAnsi="Times New Roman" w:cs="Times New Roman"/>
          <w:highlight w:val="none"/>
        </w:rPr>
        <w:t>按照环境影响评价有关技术规范和要求，</w:t>
      </w:r>
      <w:r>
        <w:rPr>
          <w:rFonts w:hint="default" w:ascii="Times New Roman" w:hAnsi="Times New Roman" w:eastAsia="宋体" w:cs="Times New Roman"/>
          <w:highlight w:val="none"/>
          <w:lang w:val="en-US" w:eastAsia="zh-CN"/>
        </w:rPr>
        <w:t>对工程前期工作进行认真分析研究</w:t>
      </w:r>
      <w:r>
        <w:rPr>
          <w:rFonts w:hint="default" w:ascii="Times New Roman" w:hAnsi="Times New Roman" w:cs="Times New Roman"/>
          <w:highlight w:val="none"/>
          <w:lang w:val="en-US" w:eastAsia="zh-CN"/>
        </w:rPr>
        <w:t>，</w:t>
      </w:r>
      <w:r>
        <w:rPr>
          <w:rFonts w:hint="default" w:ascii="Times New Roman" w:hAnsi="Times New Roman" w:cs="Times New Roman"/>
          <w:highlight w:val="none"/>
          <w:lang w:val="en-US"/>
        </w:rPr>
        <w:t>组织有关人员进行现场踏勘，</w:t>
      </w:r>
      <w:r>
        <w:rPr>
          <w:rFonts w:hint="default" w:ascii="Times New Roman" w:hAnsi="Times New Roman" w:cs="Times New Roman"/>
          <w:highlight w:val="none"/>
        </w:rPr>
        <w:t>编</w:t>
      </w:r>
      <w:r>
        <w:rPr>
          <w:rFonts w:hint="default" w:ascii="Times New Roman" w:hAnsi="Times New Roman" w:cs="Times New Roman"/>
          <w:szCs w:val="22"/>
          <w:highlight w:val="none"/>
        </w:rPr>
        <w:t>制完成《</w:t>
      </w:r>
      <w:r>
        <w:rPr>
          <w:rFonts w:hint="default" w:ascii="Times New Roman" w:hAnsi="Times New Roman" w:cs="Times New Roman"/>
          <w:sz w:val="24"/>
          <w:szCs w:val="24"/>
          <w:highlight w:val="none"/>
          <w:lang w:eastAsia="zh-CN"/>
        </w:rPr>
        <w:t>福鼎市管阳片区农村安全饮水工程管网部分（福鼎市城乡供水一体化二期）</w:t>
      </w:r>
      <w:r>
        <w:rPr>
          <w:rFonts w:hint="default" w:ascii="Times New Roman" w:hAnsi="Times New Roman" w:eastAsia="宋体" w:cs="Times New Roman"/>
          <w:sz w:val="24"/>
          <w:szCs w:val="24"/>
          <w:highlight w:val="none"/>
        </w:rPr>
        <w:t>项目环境影响报告书</w:t>
      </w:r>
      <w:r>
        <w:rPr>
          <w:rFonts w:hint="default" w:ascii="Times New Roman" w:hAnsi="Times New Roman" w:cs="Times New Roman"/>
          <w:highlight w:val="none"/>
        </w:rPr>
        <w:t>》</w:t>
      </w:r>
      <w:r>
        <w:rPr>
          <w:rFonts w:hint="default" w:ascii="Times New Roman" w:hAnsi="Times New Roman" w:cs="Times New Roman"/>
          <w:snapToGrid w:val="0"/>
          <w:highlight w:val="none"/>
        </w:rPr>
        <w:t>，</w:t>
      </w:r>
      <w:r>
        <w:rPr>
          <w:rFonts w:hint="default" w:ascii="Times New Roman" w:hAnsi="Times New Roman" w:cs="Times New Roman"/>
          <w:highlight w:val="none"/>
        </w:rPr>
        <w:t>供建设单位报</w:t>
      </w:r>
      <w:r>
        <w:rPr>
          <w:rFonts w:hint="default" w:ascii="Times New Roman" w:hAnsi="Times New Roman" w:cs="Times New Roman"/>
          <w:highlight w:val="none"/>
          <w:lang w:val="en-US"/>
        </w:rPr>
        <w:t>宁德市福鼎生态环境局</w:t>
      </w:r>
      <w:r>
        <w:rPr>
          <w:rFonts w:hint="default" w:ascii="Times New Roman" w:hAnsi="Times New Roman" w:cs="Times New Roman"/>
          <w:highlight w:val="none"/>
        </w:rPr>
        <w:t>审</w:t>
      </w:r>
      <w:r>
        <w:rPr>
          <w:rFonts w:hint="default" w:ascii="Times New Roman" w:hAnsi="Times New Roman" w:cs="Times New Roman"/>
          <w:highlight w:val="none"/>
          <w:lang w:val="en-US" w:eastAsia="zh-CN"/>
        </w:rPr>
        <w:t>查</w:t>
      </w:r>
      <w:r>
        <w:rPr>
          <w:rFonts w:hint="default" w:ascii="Times New Roman" w:hAnsi="Times New Roman" w:cs="Times New Roman"/>
          <w:highlight w:val="none"/>
        </w:rPr>
        <w:t>。</w:t>
      </w:r>
    </w:p>
    <w:p>
      <w:pPr>
        <w:pStyle w:val="3"/>
        <w:numPr>
          <w:ilvl w:val="1"/>
          <w:numId w:val="0"/>
        </w:numPr>
        <w:bidi w:val="0"/>
        <w:ind w:leftChars="0"/>
        <w:rPr>
          <w:rFonts w:hint="default" w:ascii="Times New Roman" w:hAnsi="Times New Roman" w:cs="Times New Roman"/>
          <w:highlight w:val="none"/>
        </w:rPr>
      </w:pPr>
      <w:bookmarkStart w:id="3" w:name="_Toc14363"/>
      <w:bookmarkStart w:id="4" w:name="_Toc7469"/>
      <w:r>
        <w:rPr>
          <w:rFonts w:hint="default" w:ascii="Times New Roman" w:hAnsi="Times New Roman" w:cs="Times New Roman"/>
          <w:highlight w:val="none"/>
          <w:lang w:val="en-US" w:eastAsia="zh-CN"/>
        </w:rPr>
        <w:t xml:space="preserve">2 </w:t>
      </w:r>
      <w:r>
        <w:rPr>
          <w:rFonts w:hint="default" w:ascii="Times New Roman" w:hAnsi="Times New Roman" w:cs="Times New Roman"/>
          <w:highlight w:val="none"/>
        </w:rPr>
        <w:t>编制目的</w:t>
      </w:r>
      <w:bookmarkEnd w:id="3"/>
      <w:bookmarkEnd w:id="4"/>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通过实地考察，对本次环境影响评价区范围内的自然环境、社会环境进行调查与评述，以及对评价区内的环境质量现状及现有污染源进行调查与评价。</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结合拟建工程所在地的区域规划、环境质量现状及拟建工程建成后所排污染物对周围环境影响程度等论述拟建工程的环境可行性。</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通过工程分析，确定拟建工程污染源的种类、源强、排放方式</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开展</w:t>
      </w:r>
      <w:r>
        <w:rPr>
          <w:rFonts w:hint="default" w:ascii="Times New Roman" w:hAnsi="Times New Roman" w:cs="Times New Roman"/>
          <w:highlight w:val="none"/>
        </w:rPr>
        <w:t>环境影响预测等系统工作，分析并评价该项目在建设期、营运期环境影响的特点以及影响范围、程度等。</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rPr>
        <w:t>针对拟建工程各污染源的排放情况，提出切实可行的污染防治措施，并进行技术、经济可行性论证，为拟建工程的设汁、建设及环境监督管理提供科学依据。</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通过上述工作，</w:t>
      </w:r>
      <w:r>
        <w:rPr>
          <w:rFonts w:hint="default" w:ascii="Times New Roman" w:hAnsi="Times New Roman" w:cs="Times New Roman"/>
          <w:highlight w:val="none"/>
          <w:lang w:val="en-US" w:eastAsia="zh-CN"/>
        </w:rPr>
        <w:t>使</w:t>
      </w:r>
      <w:r>
        <w:rPr>
          <w:rFonts w:hint="default" w:ascii="Times New Roman" w:hAnsi="Times New Roman" w:cs="Times New Roman"/>
          <w:highlight w:val="none"/>
        </w:rPr>
        <w:t>建设单位更加明确其应承担的环境责任，并有效落实各项环保措施，同时为环境管理提供依据。</w:t>
      </w:r>
    </w:p>
    <w:p>
      <w:pPr>
        <w:pStyle w:val="3"/>
        <w:numPr>
          <w:ilvl w:val="1"/>
          <w:numId w:val="0"/>
        </w:numPr>
        <w:bidi w:val="0"/>
        <w:ind w:leftChars="0"/>
        <w:rPr>
          <w:rFonts w:hint="default" w:ascii="Times New Roman" w:hAnsi="Times New Roman" w:cs="Times New Roman"/>
          <w:highlight w:val="none"/>
        </w:rPr>
      </w:pPr>
      <w:bookmarkStart w:id="5" w:name="_Toc6349"/>
      <w:bookmarkStart w:id="6" w:name="_Toc7171"/>
      <w:r>
        <w:rPr>
          <w:rFonts w:hint="default" w:ascii="Times New Roman" w:hAnsi="Times New Roman" w:cs="Times New Roman"/>
          <w:highlight w:val="none"/>
          <w:lang w:val="en-US" w:eastAsia="zh-CN"/>
        </w:rPr>
        <w:t xml:space="preserve">3 </w:t>
      </w:r>
      <w:r>
        <w:rPr>
          <w:rFonts w:hint="default" w:ascii="Times New Roman" w:hAnsi="Times New Roman" w:cs="Times New Roman"/>
          <w:highlight w:val="none"/>
        </w:rPr>
        <w:t>评价工作程序</w:t>
      </w:r>
      <w:bookmarkEnd w:id="5"/>
      <w:bookmarkEnd w:id="6"/>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福建省水务发展集团福鼎水务有限公司</w:t>
      </w:r>
      <w:r>
        <w:rPr>
          <w:rFonts w:hint="default" w:ascii="Times New Roman" w:hAnsi="Times New Roman" w:cs="Times New Roman"/>
          <w:highlight w:val="none"/>
          <w:lang w:val="en-US"/>
        </w:rPr>
        <w:t>根据《中华人民共和国环境保护法》、《中华人民共和国环境影响评价法》、《建设项目环境保护管理条例》等文件的有关规定，委托福建省闽创环保科技有限公司开展</w:t>
      </w:r>
      <w:r>
        <w:rPr>
          <w:rFonts w:hint="default" w:ascii="Times New Roman" w:hAnsi="Times New Roman" w:cs="Times New Roman"/>
          <w:highlight w:val="none"/>
          <w:lang w:val="en-US" w:eastAsia="zh-CN"/>
        </w:rPr>
        <w:t>项目</w:t>
      </w:r>
      <w:r>
        <w:rPr>
          <w:rFonts w:hint="default" w:ascii="Times New Roman" w:hAnsi="Times New Roman" w:cs="Times New Roman"/>
          <w:highlight w:val="none"/>
          <w:lang w:val="en-US"/>
        </w:rPr>
        <w:t>环境影响评价工作，编制该项目环境影响报告书。根据《建设项目环境影响评价分类管理名录》（20</w:t>
      </w:r>
      <w:r>
        <w:rPr>
          <w:rFonts w:hint="default" w:ascii="Times New Roman" w:hAnsi="Times New Roman" w:cs="Times New Roman"/>
          <w:highlight w:val="none"/>
          <w:lang w:val="en-US" w:eastAsia="zh-CN"/>
        </w:rPr>
        <w:t>21</w:t>
      </w:r>
      <w:r>
        <w:rPr>
          <w:rFonts w:hint="default" w:ascii="Times New Roman" w:hAnsi="Times New Roman" w:cs="Times New Roman"/>
          <w:highlight w:val="none"/>
          <w:lang w:val="en-US"/>
        </w:rPr>
        <w:t>年），并结合本项目特点，编制单位随即成立项目组并前往工程所在地进行现场踏勘、资料收集与调研，开展初步工程分析和环境现状调查，根据项目特点及区域环境特征，进行环境影响识别和评价因子筛选，明确评价重点和环境保护目标，确定评价工作等级、评价范围和评价标准，随后制定工作方案。</w:t>
      </w:r>
      <w:r>
        <w:rPr>
          <w:rFonts w:hint="default" w:ascii="Times New Roman" w:hAnsi="Times New Roman" w:cs="Times New Roman"/>
          <w:highlight w:val="none"/>
          <w:lang w:eastAsia="zh-CN"/>
        </w:rPr>
        <w:t>福鼎市管阳片区农村安全饮水工程管网部分（福鼎市城乡供水一体化二期）</w:t>
      </w:r>
      <w:r>
        <w:rPr>
          <w:rFonts w:hint="default" w:ascii="Times New Roman" w:hAnsi="Times New Roman" w:cs="Times New Roman"/>
          <w:highlight w:val="none"/>
          <w:lang w:val="en-US"/>
        </w:rPr>
        <w:t>的环境影响评价</w:t>
      </w:r>
      <w:r>
        <w:rPr>
          <w:rFonts w:hint="default" w:ascii="Times New Roman" w:hAnsi="Times New Roman" w:cs="Times New Roman"/>
          <w:highlight w:val="none"/>
        </w:rPr>
        <w:t>工作分三个阶段：</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前期准备、调研和工作方案制定阶段</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评价单位</w:t>
      </w:r>
      <w:r>
        <w:rPr>
          <w:rFonts w:hint="default" w:ascii="Times New Roman" w:hAnsi="Times New Roman" w:cs="Times New Roman"/>
          <w:highlight w:val="none"/>
        </w:rPr>
        <w:t>接受委托后，收集及研究工程相关资料，进行初步工程分析，开展环境状况调查，进行环境影响因素识别、评价因子筛选、明确评价重点和环境保护目标，确定评价等级、评价范围及评价标准，制定环评工作方案。</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分析论证和预测评价阶段</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对项目进行工程分析，并同时对评价范围内的环境状况进行调查、监测和评价，各环境要素进行环境影响预测与评价。重点关注施工期及营运期各污染因素对周边环境产生的影响。</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环境影响评价文件编制阶段</w:t>
      </w:r>
    </w:p>
    <w:p>
      <w:pPr>
        <w:bidi w:val="0"/>
        <w:rPr>
          <w:rFonts w:hint="default" w:ascii="Times New Roman" w:hAnsi="Times New Roman" w:cs="Times New Roman"/>
          <w:highlight w:val="none"/>
        </w:rPr>
      </w:pPr>
      <w:r>
        <w:rPr>
          <w:rFonts w:hint="default" w:ascii="Times New Roman" w:hAnsi="Times New Roman" w:cs="Times New Roman"/>
          <w:highlight w:val="none"/>
        </w:rPr>
        <w:t>根据建设项目对环境的影响程度和范围，提出切实可行的环保措施，并进行技术经济论证，给出建设项目环境可行性的评价结论，编制环境影响评价文件。</w:t>
      </w:r>
    </w:p>
    <w:p>
      <w:pPr>
        <w:bidi w:val="0"/>
        <w:rPr>
          <w:rFonts w:hint="default" w:ascii="Times New Roman" w:hAnsi="Times New Roman" w:cs="Times New Roman"/>
          <w:highlight w:val="none"/>
        </w:rPr>
      </w:pPr>
      <w:r>
        <w:rPr>
          <w:rFonts w:hint="default" w:ascii="Times New Roman" w:hAnsi="Times New Roman" w:cs="Times New Roman"/>
          <w:highlight w:val="none"/>
        </w:rPr>
        <w:t>项目评价工作流程图如下。</w:t>
      </w:r>
    </w:p>
    <w:p>
      <w:pPr>
        <w:numPr>
          <w:ilvl w:val="7"/>
          <w:numId w:val="0"/>
        </w:numPr>
        <w:tabs>
          <w:tab w:val="left" w:pos="0"/>
        </w:tabs>
        <w:bidi w:val="0"/>
        <w:ind w:leftChars="0"/>
        <w:jc w:val="center"/>
        <w:outlineLvl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0" distR="0">
            <wp:extent cx="5544820" cy="5299710"/>
            <wp:effectExtent l="0" t="0" r="2540" b="3810"/>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jpeg"/>
                    <pic:cNvPicPr>
                      <a:picLocks noChangeAspect="1"/>
                    </pic:cNvPicPr>
                  </pic:nvPicPr>
                  <pic:blipFill>
                    <a:blip r:embed="rId24" cstate="print"/>
                    <a:stretch>
                      <a:fillRect/>
                    </a:stretch>
                  </pic:blipFill>
                  <pic:spPr>
                    <a:xfrm>
                      <a:off x="0" y="0"/>
                      <a:ext cx="5544820" cy="5299710"/>
                    </a:xfrm>
                    <a:prstGeom prst="rect">
                      <a:avLst/>
                    </a:prstGeom>
                  </pic:spPr>
                </pic:pic>
              </a:graphicData>
            </a:graphic>
          </wp:inline>
        </w:drawing>
      </w:r>
    </w:p>
    <w:p>
      <w:pPr>
        <w:pStyle w:val="22"/>
        <w:numPr>
          <w:ilvl w:val="8"/>
          <w:numId w:val="0"/>
        </w:numPr>
        <w:bidi w:val="0"/>
        <w:ind w:left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图1  </w:t>
      </w:r>
      <w:r>
        <w:rPr>
          <w:rFonts w:hint="default" w:ascii="Times New Roman" w:hAnsi="Times New Roman" w:cs="Times New Roman"/>
          <w:highlight w:val="none"/>
        </w:rPr>
        <w:t>环境影响评价工作程序图</w:t>
      </w:r>
    </w:p>
    <w:p>
      <w:pPr>
        <w:rPr>
          <w:rFonts w:hint="default" w:ascii="Times New Roman" w:hAnsi="Times New Roman" w:cs="Times New Roman"/>
          <w:highlight w:val="none"/>
        </w:rPr>
      </w:pPr>
    </w:p>
    <w:p>
      <w:pPr>
        <w:rPr>
          <w:rFonts w:hint="default" w:ascii="Times New Roman" w:hAnsi="Times New Roman" w:cs="Times New Roman"/>
          <w:highlight w:val="none"/>
        </w:rPr>
      </w:pPr>
    </w:p>
    <w:p>
      <w:pPr>
        <w:pStyle w:val="3"/>
        <w:numPr>
          <w:ilvl w:val="1"/>
          <w:numId w:val="0"/>
        </w:numPr>
        <w:bidi w:val="0"/>
        <w:ind w:leftChars="0"/>
        <w:rPr>
          <w:rFonts w:hint="default" w:ascii="Times New Roman" w:hAnsi="Times New Roman" w:cs="Times New Roman"/>
          <w:highlight w:val="none"/>
          <w:lang w:val="en-US" w:eastAsia="zh-CN"/>
        </w:rPr>
      </w:pPr>
      <w:bookmarkStart w:id="7" w:name="_Toc10626"/>
      <w:bookmarkStart w:id="8" w:name="_Toc19216"/>
      <w:bookmarkStart w:id="9" w:name="_Toc2297"/>
      <w:bookmarkStart w:id="10" w:name="_Toc9772"/>
      <w:bookmarkStart w:id="11" w:name="_Toc6046"/>
      <w:bookmarkStart w:id="12" w:name="_Toc11125"/>
      <w:r>
        <w:rPr>
          <w:rFonts w:hint="default" w:ascii="Times New Roman" w:hAnsi="Times New Roman" w:cs="Times New Roman"/>
          <w:highlight w:val="none"/>
          <w:lang w:val="en-US" w:eastAsia="zh-CN"/>
        </w:rPr>
        <w:t>4 分析判定相关情况</w:t>
      </w:r>
      <w:bookmarkEnd w:id="7"/>
      <w:bookmarkEnd w:id="8"/>
    </w:p>
    <w:p>
      <w:pPr>
        <w:pStyle w:val="4"/>
        <w:numPr>
          <w:ilvl w:val="2"/>
          <w:numId w:val="0"/>
        </w:numPr>
        <w:bidi w:val="0"/>
        <w:ind w:lef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 产业政策符合性分析</w:t>
      </w:r>
      <w:bookmarkEnd w:id="9"/>
      <w:bookmarkEnd w:id="10"/>
      <w:bookmarkEnd w:id="11"/>
      <w:bookmarkEnd w:id="12"/>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国家发展和改革委员会发布的</w:t>
      </w:r>
      <w:r>
        <w:rPr>
          <w:rFonts w:hint="default" w:ascii="Times New Roman" w:hAnsi="Times New Roman" w:cs="Times New Roman"/>
          <w:color w:val="auto"/>
          <w:sz w:val="24"/>
          <w:highlight w:val="none"/>
        </w:rPr>
        <w:t>《产业结构调整指导目录》</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2019年本</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default" w:ascii="Times New Roman" w:hAnsi="Times New Roman" w:cs="Times New Roman"/>
          <w:color w:val="000000"/>
          <w:highlight w:val="none"/>
          <w:lang w:val="en-US" w:eastAsia="zh-CN"/>
        </w:rPr>
        <w:t>本工程</w:t>
      </w:r>
      <w:r>
        <w:rPr>
          <w:rFonts w:hint="default" w:ascii="Times New Roman" w:hAnsi="Times New Roman" w:cs="Times New Roman"/>
          <w:color w:val="000000"/>
          <w:sz w:val="24"/>
          <w:highlight w:val="none"/>
        </w:rPr>
        <w:t>属于</w:t>
      </w:r>
      <w:r>
        <w:rPr>
          <w:rFonts w:hint="default" w:ascii="Times New Roman" w:hAnsi="Times New Roman" w:cs="Times New Roman"/>
          <w:color w:val="000000"/>
          <w:sz w:val="24"/>
          <w:highlight w:val="none"/>
          <w:lang w:val="en-US" w:eastAsia="zh-CN"/>
        </w:rPr>
        <w:t>目录规定的“第一类 鼓励类”中“二十二、城镇基础设施7、“城镇安全饮水工程、供水水源及净水厂工程”，项目取得了福鼎市发展和改革局《关于福鼎市管阳片区农村安全饮水工程管网部分（福鼎市城乡供水一体化二期）可行性研究报告的批复》（鼎发改审批【2021】156号）文件</w:t>
      </w:r>
      <w:r>
        <w:rPr>
          <w:rFonts w:hint="default" w:ascii="Times New Roman" w:hAnsi="Times New Roman" w:cs="Times New Roman"/>
          <w:color w:val="auto"/>
          <w:highlight w:val="none"/>
          <w:lang w:val="en-US" w:eastAsia="zh-CN"/>
        </w:rPr>
        <w:t>，</w:t>
      </w:r>
      <w:r>
        <w:rPr>
          <w:rFonts w:hint="default" w:ascii="Times New Roman" w:hAnsi="Times New Roman" w:cs="Times New Roman"/>
          <w:color w:val="000000"/>
          <w:sz w:val="24"/>
          <w:highlight w:val="none"/>
          <w:lang w:val="en-US" w:eastAsia="zh-CN"/>
        </w:rPr>
        <w:t>因此该工程的建设符合国家产业政策。</w:t>
      </w:r>
    </w:p>
    <w:p>
      <w:pPr>
        <w:pStyle w:val="4"/>
        <w:numPr>
          <w:ilvl w:val="2"/>
          <w:numId w:val="0"/>
        </w:numPr>
        <w:bidi w:val="0"/>
        <w:ind w:leftChars="0"/>
        <w:rPr>
          <w:rFonts w:hint="default" w:ascii="Times New Roman" w:hAnsi="Times New Roman" w:cs="Times New Roman"/>
          <w:highlight w:val="none"/>
          <w:lang w:val="en-US" w:eastAsia="zh-CN"/>
        </w:rPr>
      </w:pPr>
      <w:bookmarkStart w:id="13" w:name="_Toc32577"/>
      <w:bookmarkStart w:id="14" w:name="_Toc23963"/>
      <w:bookmarkStart w:id="15" w:name="_Toc13035"/>
      <w:bookmarkStart w:id="16" w:name="_Toc13444"/>
      <w:r>
        <w:rPr>
          <w:rFonts w:hint="default" w:ascii="Times New Roman" w:hAnsi="Times New Roman" w:cs="Times New Roman"/>
          <w:highlight w:val="none"/>
          <w:lang w:val="en-US" w:eastAsia="zh-CN"/>
        </w:rPr>
        <w:t>4.2 环境功能区划符合性分析</w:t>
      </w:r>
      <w:bookmarkEnd w:id="13"/>
      <w:bookmarkEnd w:id="14"/>
      <w:bookmarkEnd w:id="15"/>
      <w:bookmarkEnd w:id="16"/>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福鼎市</w:t>
      </w:r>
      <w:r>
        <w:rPr>
          <w:rFonts w:hint="default" w:ascii="Times New Roman" w:hAnsi="Times New Roman" w:cs="Times New Roman"/>
          <w:color w:val="auto"/>
          <w:highlight w:val="none"/>
          <w:lang w:val="en-US" w:eastAsia="zh-CN"/>
        </w:rPr>
        <w:t>环境功能区划，项目区域环境空气功能区划为2类区，附近水体</w:t>
      </w:r>
      <w:r>
        <w:rPr>
          <w:rFonts w:hint="default" w:ascii="Times New Roman" w:hAnsi="Times New Roman" w:cs="Times New Roman"/>
          <w:highlight w:val="none"/>
          <w:lang w:val="en-US" w:eastAsia="zh-CN"/>
        </w:rPr>
        <w:t>上安水库为划定饮用水水源地保护区，一级保护区执行II类地表水环境质量标准，二级保护区执行III类地表水环境质量标准</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其它区域</w:t>
      </w:r>
      <w:r>
        <w:rPr>
          <w:rFonts w:hint="default" w:ascii="Times New Roman" w:hAnsi="Times New Roman" w:cs="Times New Roman"/>
          <w:highlight w:val="none"/>
        </w:rPr>
        <w:t>根据福建省人民政府关于《宁德市地表水环境功能区划分方案的批复》（闽政文[2012]187号），</w:t>
      </w:r>
      <w:r>
        <w:rPr>
          <w:rFonts w:hint="default" w:ascii="Times New Roman" w:hAnsi="Times New Roman" w:cs="Times New Roman"/>
          <w:highlight w:val="none"/>
          <w:lang w:val="en-US" w:eastAsia="zh-CN"/>
        </w:rPr>
        <w:t>划</w:t>
      </w:r>
      <w:r>
        <w:rPr>
          <w:rFonts w:hint="default" w:ascii="Times New Roman" w:hAnsi="Times New Roman" w:cs="Times New Roman"/>
          <w:highlight w:val="none"/>
        </w:rPr>
        <w:t>为Ⅲ类水环境功能区</w:t>
      </w:r>
      <w:r>
        <w:rPr>
          <w:rFonts w:hint="default" w:ascii="Times New Roman" w:hAnsi="Times New Roman" w:cs="Times New Roman"/>
          <w:color w:val="auto"/>
          <w:highlight w:val="none"/>
          <w:lang w:val="en-US" w:eastAsia="zh-CN"/>
        </w:rPr>
        <w:t>，声环境功能区划属于2类区。</w:t>
      </w:r>
      <w:r>
        <w:rPr>
          <w:rFonts w:hint="default" w:ascii="Times New Roman" w:hAnsi="Times New Roman" w:cs="Times New Roman"/>
          <w:color w:val="auto"/>
          <w:highlight w:val="none"/>
        </w:rPr>
        <w:t>本项目废气、废水、噪声通过治理可实现达标排放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基本符合环境功能区</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highlight w:val="none"/>
        </w:rPr>
        <w:t>环境保护要求。</w:t>
      </w:r>
    </w:p>
    <w:p>
      <w:pPr>
        <w:pStyle w:val="4"/>
        <w:numPr>
          <w:ilvl w:val="2"/>
          <w:numId w:val="0"/>
        </w:numPr>
        <w:bidi w:val="0"/>
        <w:ind w:leftChars="0"/>
        <w:rPr>
          <w:rFonts w:hint="default" w:ascii="Times New Roman" w:hAnsi="Times New Roman" w:cs="Times New Roman"/>
          <w:highlight w:val="none"/>
          <w:lang w:val="en-US" w:eastAsia="zh-CN"/>
        </w:rPr>
      </w:pPr>
      <w:bookmarkStart w:id="17" w:name="_Toc18197"/>
      <w:bookmarkStart w:id="18" w:name="_Toc10492"/>
      <w:bookmarkStart w:id="19" w:name="_Toc10515"/>
      <w:bookmarkStart w:id="20" w:name="_Toc3746"/>
      <w:r>
        <w:rPr>
          <w:rFonts w:hint="default" w:ascii="Times New Roman" w:hAnsi="Times New Roman" w:cs="Times New Roman"/>
          <w:highlight w:val="none"/>
          <w:lang w:val="en-US" w:eastAsia="zh-CN"/>
        </w:rPr>
        <w:t>4.3 规划符合性分析</w:t>
      </w:r>
      <w:bookmarkEnd w:id="17"/>
      <w:bookmarkEnd w:id="18"/>
      <w:bookmarkEnd w:id="19"/>
      <w:bookmarkEnd w:id="20"/>
    </w:p>
    <w:p>
      <w:pPr>
        <w:pStyle w:val="5"/>
        <w:numPr>
          <w:ilvl w:val="3"/>
          <w:numId w:val="0"/>
        </w:numPr>
        <w:bidi w:val="0"/>
        <w:ind w:lef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4.3.1 《福鼎市城乡总体规划》（2014-2030）符合性分析</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福鼎市城乡总体规划》（2014-2030），福鼎市城乡基础设施规划中城乡供水将市域划分为三个供水分区，其中北片连片供水区规划水厂5座，分别为福鼎市第二水厂（原岙里水厂）、福鼎市第三水厂、前岐水厂、佳阳水厂及沙埕水厂；南片连片供水区规划水厂3座，分别为白琳水厂、太姥山水厂及龙安水厂；分散供水区规划水厂5座，分别为贯岭水厂、管阳水厂、磻溪水厂、嵛山水厂及叠石水厂。水厂依托城市主干道路，形成环状给水管主干网，有条件时，沿海湾大道布设联络管，连通南北连片供水区。本项目位于管阳镇，主要</w:t>
      </w:r>
      <w:r>
        <w:rPr>
          <w:rFonts w:hint="default" w:ascii="Times New Roman" w:hAnsi="Times New Roman" w:cs="Times New Roman"/>
          <w:color w:val="000000"/>
          <w:sz w:val="24"/>
          <w:highlight w:val="none"/>
          <w:lang w:val="en-US" w:eastAsia="zh-CN"/>
        </w:rPr>
        <w:t>为管阳镇城乡供水提供保障。因此项目的建设符合</w:t>
      </w:r>
      <w:r>
        <w:rPr>
          <w:rFonts w:hint="default" w:ascii="Times New Roman" w:hAnsi="Times New Roman" w:cs="Times New Roman"/>
          <w:highlight w:val="none"/>
          <w:lang w:val="en-US" w:eastAsia="zh-CN"/>
        </w:rPr>
        <w:t>《福鼎市城乡总体规划》（2014-2030）中城乡基础设施规划要求。</w:t>
      </w:r>
    </w:p>
    <w:p>
      <w:pPr>
        <w:pStyle w:val="5"/>
        <w:numPr>
          <w:ilvl w:val="3"/>
          <w:numId w:val="0"/>
        </w:numPr>
        <w:bidi w:val="0"/>
        <w:ind w:left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4.3.2 水源规划</w:t>
      </w:r>
    </w:p>
    <w:p>
      <w:pPr>
        <w:bidi w:val="0"/>
        <w:rPr>
          <w:rFonts w:hint="default" w:ascii="Times New Roman" w:hAnsi="Times New Roman" w:cs="Times New Roman"/>
          <w:highlight w:val="none"/>
          <w:lang w:val="en-US" w:eastAsia="zh-CN"/>
        </w:rPr>
      </w:pPr>
      <w:r>
        <w:rPr>
          <w:rFonts w:hint="default" w:ascii="Times New Roman" w:hAnsi="Times New Roman" w:cs="Times New Roman"/>
          <w:color w:val="auto"/>
          <w:sz w:val="24"/>
          <w:highlight w:val="none"/>
          <w:lang w:val="en-US" w:eastAsia="zh-CN"/>
        </w:rPr>
        <w:t>本项目</w:t>
      </w:r>
      <w:r>
        <w:rPr>
          <w:rFonts w:hint="default" w:ascii="Times New Roman" w:hAnsi="Times New Roman" w:cs="Times New Roman"/>
          <w:highlight w:val="none"/>
          <w:lang w:val="en-US" w:eastAsia="zh-CN"/>
        </w:rPr>
        <w:t>管阳水厂水源为上安水库取水，</w:t>
      </w:r>
      <w:r>
        <w:rPr>
          <w:rFonts w:hint="default" w:ascii="Times New Roman" w:hAnsi="Times New Roman" w:cs="Times New Roman"/>
          <w:kern w:val="0"/>
          <w:highlight w:val="none"/>
          <w:lang w:val="en-US" w:eastAsia="zh-CN"/>
        </w:rPr>
        <w:t>西阳水厂水源为天竹水库和龙井溪山涧水，水资源</w:t>
      </w:r>
      <w:r>
        <w:rPr>
          <w:rFonts w:hint="default" w:ascii="Times New Roman" w:hAnsi="Times New Roman" w:cs="Times New Roman"/>
          <w:color w:val="auto"/>
          <w:sz w:val="24"/>
          <w:highlight w:val="none"/>
          <w:lang w:val="en-US" w:eastAsia="zh-CN"/>
        </w:rPr>
        <w:t>符合</w:t>
      </w:r>
      <w:r>
        <w:rPr>
          <w:rFonts w:hint="default" w:ascii="Times New Roman" w:hAnsi="Times New Roman" w:eastAsia="宋体" w:cs="Times New Roman"/>
          <w:color w:val="auto"/>
          <w:kern w:val="0"/>
          <w:sz w:val="24"/>
          <w:szCs w:val="24"/>
          <w:highlight w:val="none"/>
          <w:lang w:val="en-US" w:eastAsia="zh-CN"/>
        </w:rPr>
        <w:t>《福建省福鼎市水资源配置规划报告》（2013年10月）。</w:t>
      </w:r>
    </w:p>
    <w:p>
      <w:pPr>
        <w:pStyle w:val="4"/>
        <w:keepNext w:val="0"/>
        <w:keepLines w:val="0"/>
        <w:pageBreakBefore w:val="0"/>
        <w:widowControl/>
        <w:numPr>
          <w:ilvl w:val="2"/>
          <w:numId w:val="0"/>
        </w:numPr>
        <w:kinsoku/>
        <w:wordWrap/>
        <w:overflowPunct/>
        <w:topLinePunct w:val="0"/>
        <w:autoSpaceDE w:val="0"/>
        <w:autoSpaceDN w:val="0"/>
        <w:bidi w:val="0"/>
        <w:adjustRightInd/>
        <w:snapToGrid/>
        <w:ind w:leftChars="0"/>
        <w:textAlignment w:val="auto"/>
        <w:rPr>
          <w:rFonts w:hint="default" w:ascii="Times New Roman" w:hAnsi="Times New Roman" w:cs="Times New Roman"/>
          <w:highlight w:val="none"/>
          <w:lang w:val="en-US" w:eastAsia="zh-CN"/>
        </w:rPr>
      </w:pPr>
      <w:bookmarkStart w:id="21" w:name="_Toc14651"/>
      <w:bookmarkStart w:id="22" w:name="_Toc13159"/>
      <w:bookmarkStart w:id="23" w:name="_Toc17940"/>
      <w:bookmarkStart w:id="24" w:name="_Toc130"/>
      <w:r>
        <w:rPr>
          <w:rFonts w:hint="default" w:ascii="Times New Roman" w:hAnsi="Times New Roman" w:cs="Times New Roman"/>
          <w:highlight w:val="none"/>
          <w:lang w:val="en-US" w:eastAsia="zh-CN"/>
        </w:rPr>
        <w:t>4.4 “三线一单”符合性分析</w:t>
      </w:r>
      <w:bookmarkEnd w:id="21"/>
      <w:bookmarkEnd w:id="22"/>
      <w:bookmarkEnd w:id="23"/>
      <w:bookmarkEnd w:id="24"/>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1</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生态保护红线</w:t>
      </w:r>
    </w:p>
    <w:p>
      <w:pPr>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根据《宁德市人民政府关于印发宁德市“三线一单”生态环境分区管控方案的通知》（宁政﹝2021﹞11号），宁德市生态保护红线为全市生态空间范围内具有特殊重要生态功能、必须强制性严格保护的区域，包括水源涵养、生物多样性维护、水土保持、海岸防护等生态功能极重要区域，水土流失、海岸侵蚀及沙源流失等生态极脆弱区域，以及其他具有潜在重要生态价值的区域。宁德市生态保护红线最终范围和面积以省政府发布结果为准。本项目部分管段位于划定的生态保护红线内，但本项目属于中共中央办公厅 国务院办公厅印发《关于在国土空间规划中统筹划定落实三条控制线的指导意见》中“</w:t>
      </w:r>
      <w:r>
        <w:rPr>
          <w:rFonts w:hint="default" w:ascii="Times New Roman" w:hAnsi="Times New Roman" w:cs="Times New Roman"/>
          <w:highlight w:val="none"/>
        </w:rPr>
        <w:t>必须且无法避让、符合县级以上国土空间规划的线性基础设施建设、防洪和供水设施建设与运行维护</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类别</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因此本项目符合生态保护红线要求。</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2</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环境质量底线</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①地表水环境质量底线</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根据</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宁德市人民政府关于印发宁德市“三线一单”生态环境分区管控方案的通知</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宁政﹝2021﹞11号</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，到202</w:t>
      </w:r>
      <w:r>
        <w:rPr>
          <w:rFonts w:hint="default" w:ascii="Times New Roman" w:hAnsi="Times New Roman" w:cs="Times New Roman"/>
          <w:color w:val="FF0000"/>
          <w:highlight w:val="none"/>
          <w:lang w:val="en-US" w:eastAsia="zh-CN"/>
        </w:rPr>
        <w:t>5</w:t>
      </w:r>
      <w:r>
        <w:rPr>
          <w:rFonts w:hint="default" w:ascii="Times New Roman" w:hAnsi="Times New Roman" w:cs="Times New Roman"/>
          <w:color w:val="FF0000"/>
          <w:highlight w:val="none"/>
        </w:rPr>
        <w:t>年，全市主要流域国、省控断面水质优良（达到或优于Ⅲ类）比例总体达100%，县级以上集中式饮用水水源水质达标率达100%。到2030年，全市主要流域国、省控断面水质优良（达到或优于Ⅲ类）比例总体达100%，县级以上城市建成区黑臭水体总体得到消除，县级以上集中式饮用水水源水质稳定达标。到2035年，全市主要流域国、省控断面水质优良（达到或优于Ⅲ类）比例总体达100%，水生态系统实现良性循环。</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②近岸海域环境质量底线</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根据</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宁德市人民政府关于印发宁德市“三线一单”生态环境分区管控方案的通知</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宁政﹝2021﹞11号</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到2025年，全市近岸海域水质持续改善，重要河口海湾劣四类水质面积比例有所下降，近岸海域优良水质面积比例不低于国家和省的考核要求。到2030年，近岸海域水质进一步提升，重要河口海湾水质持续改善，近岸海域优良水质面积比例不低于国家和省的考核要求。到2035年，海洋生态环境显著改善，重要河口海湾水质大幅提升，近岸海域优良水质面积比例不低于国家和省的考核要求。</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③大气环境质量底线</w:t>
      </w:r>
    </w:p>
    <w:p>
      <w:pPr>
        <w:bidi w:val="0"/>
        <w:rPr>
          <w:rFonts w:hint="default" w:ascii="Times New Roman" w:hAnsi="Times New Roman" w:cs="Times New Roman"/>
          <w:color w:val="FF0000"/>
          <w:highlight w:val="none"/>
          <w:lang w:eastAsia="zh-CN"/>
        </w:rPr>
      </w:pPr>
      <w:r>
        <w:rPr>
          <w:rFonts w:hint="default" w:ascii="Times New Roman" w:hAnsi="Times New Roman" w:cs="Times New Roman"/>
          <w:color w:val="FF0000"/>
          <w:highlight w:val="none"/>
          <w:lang w:val="en-US" w:eastAsia="zh-CN"/>
        </w:rPr>
        <w:t>根据</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宁德市人民政府关于印发宁德市“三线一单”生态环境分区管控方案的通知</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宁政﹝2021﹞11号</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到2025年，中心城区PM</w:t>
      </w:r>
      <w:r>
        <w:rPr>
          <w:rFonts w:hint="default" w:ascii="Times New Roman" w:hAnsi="Times New Roman" w:cs="Times New Roman"/>
          <w:color w:val="FF0000"/>
          <w:highlight w:val="none"/>
          <w:vertAlign w:val="subscript"/>
          <w:lang w:val="en-US" w:eastAsia="zh-CN"/>
        </w:rPr>
        <w:t>2.5</w:t>
      </w:r>
      <w:r>
        <w:rPr>
          <w:rFonts w:hint="default" w:ascii="Times New Roman" w:hAnsi="Times New Roman" w:cs="Times New Roman"/>
          <w:color w:val="FF0000"/>
          <w:highlight w:val="none"/>
          <w:lang w:val="en-US" w:eastAsia="zh-CN"/>
        </w:rPr>
        <w:t>年平均浓度不高于23 μg/m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。到2035年，县级以上地区空气质量PM</w:t>
      </w:r>
      <w:r>
        <w:rPr>
          <w:rFonts w:hint="default" w:ascii="Times New Roman" w:hAnsi="Times New Roman" w:cs="Times New Roman"/>
          <w:color w:val="FF0000"/>
          <w:highlight w:val="none"/>
          <w:vertAlign w:val="subscript"/>
          <w:lang w:val="en-US" w:eastAsia="zh-CN"/>
        </w:rPr>
        <w:t>2.5</w:t>
      </w:r>
      <w:r>
        <w:rPr>
          <w:rFonts w:hint="default" w:ascii="Times New Roman" w:hAnsi="Times New Roman" w:cs="Times New Roman"/>
          <w:color w:val="FF0000"/>
          <w:highlight w:val="none"/>
          <w:lang w:val="en-US" w:eastAsia="zh-CN"/>
        </w:rPr>
        <w:t>年平均浓度不高于18 μg/m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vertAlign w:val="baseline"/>
          <w:lang w:val="en-US" w:eastAsia="zh-CN"/>
        </w:rPr>
        <w:t>。</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④</w:t>
      </w:r>
      <w:r>
        <w:rPr>
          <w:rFonts w:hint="default" w:ascii="Times New Roman" w:hAnsi="Times New Roman" w:cs="Times New Roman"/>
          <w:color w:val="FF0000"/>
          <w:highlight w:val="none"/>
        </w:rPr>
        <w:t>土壤环境风险管控底线</w:t>
      </w:r>
    </w:p>
    <w:p>
      <w:pPr>
        <w:bidi w:val="0"/>
        <w:rPr>
          <w:rFonts w:hint="default" w:ascii="Times New Roman" w:hAnsi="Times New Roman" w:cs="Times New Roman"/>
          <w:color w:val="FF0000"/>
          <w:highlight w:val="none"/>
          <w:lang w:eastAsia="zh-CN"/>
        </w:rPr>
      </w:pPr>
      <w:r>
        <w:rPr>
          <w:rFonts w:hint="default" w:ascii="Times New Roman" w:hAnsi="Times New Roman" w:cs="Times New Roman"/>
          <w:color w:val="FF0000"/>
          <w:highlight w:val="none"/>
          <w:lang w:val="en-US" w:eastAsia="zh-CN"/>
        </w:rPr>
        <w:t>根据</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宁德市人民政府关于印发宁德市“三线一单”生态环境分区管控方案的通知</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宁政﹝2021﹞11号</w:t>
      </w:r>
      <w:r>
        <w:rPr>
          <w:rFonts w:hint="default" w:ascii="Times New Roman" w:hAnsi="Times New Roman" w:cs="Times New Roman"/>
          <w:color w:val="FF0000"/>
          <w:highlight w:val="none"/>
          <w:lang w:eastAsia="zh-CN"/>
        </w:rPr>
        <w:t>），到2025年，全市土壤环境质量保持稳定，土壤环境风险得到管控，受污染耕地和污染地块安全利用率达93％以上。到2035年，全市土壤环境质量稳中向好，土壤环境风险得到全面管控，受污染耕地和污染地块安全利用率达95％以上。</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本项目施工期对环境可能有短暂的、可逆的较小影响，运行期结束后，环境质量较易恢复，运行期不会对环境质量底线造成冲击，符合环境质量底线要求。</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3</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资源利用上线</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①</w:t>
      </w:r>
      <w:r>
        <w:rPr>
          <w:rFonts w:hint="default" w:ascii="Times New Roman" w:hAnsi="Times New Roman" w:cs="Times New Roman"/>
          <w:color w:val="FF0000"/>
          <w:highlight w:val="none"/>
        </w:rPr>
        <w:t>水资源利用上线的符合性</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根据《福建省人民政府关于下达</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十三五</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期间</w:t>
      </w:r>
      <w:r>
        <w:rPr>
          <w:rFonts w:hint="default" w:ascii="Times New Roman" w:hAnsi="Times New Roman" w:cs="Times New Roman"/>
          <w:color w:val="FF0000"/>
          <w:highlight w:val="none"/>
        </w:rPr>
        <w:t>水资源管理“三条红线”各地控制目标的通知》（闽政文[201</w:t>
      </w:r>
      <w:r>
        <w:rPr>
          <w:rFonts w:hint="default" w:ascii="Times New Roman" w:hAnsi="Times New Roman" w:cs="Times New Roman"/>
          <w:color w:val="FF0000"/>
          <w:highlight w:val="none"/>
          <w:lang w:val="en-US" w:eastAsia="zh-CN"/>
        </w:rPr>
        <w:t>7</w:t>
      </w:r>
      <w:r>
        <w:rPr>
          <w:rFonts w:hint="default" w:ascii="Times New Roman" w:hAnsi="Times New Roman" w:cs="Times New Roman"/>
          <w:color w:val="FF0000"/>
          <w:highlight w:val="none"/>
        </w:rPr>
        <w:t>]</w:t>
      </w:r>
      <w:r>
        <w:rPr>
          <w:rFonts w:hint="default" w:ascii="Times New Roman" w:hAnsi="Times New Roman" w:cs="Times New Roman"/>
          <w:color w:val="FF0000"/>
          <w:highlight w:val="none"/>
          <w:lang w:val="en-US" w:eastAsia="zh-CN"/>
        </w:rPr>
        <w:t xml:space="preserve"> 114</w:t>
      </w:r>
      <w:r>
        <w:rPr>
          <w:rFonts w:hint="default" w:ascii="Times New Roman" w:hAnsi="Times New Roman" w:cs="Times New Roman"/>
          <w:color w:val="FF0000"/>
          <w:highlight w:val="none"/>
        </w:rPr>
        <w:t>号），宁德市2020年</w:t>
      </w:r>
      <w:r>
        <w:rPr>
          <w:rFonts w:hint="default" w:ascii="Times New Roman" w:hAnsi="Times New Roman" w:cs="Times New Roman"/>
          <w:color w:val="FF0000"/>
          <w:highlight w:val="none"/>
          <w:lang w:val="en-US" w:eastAsia="zh-CN"/>
        </w:rPr>
        <w:t>用水总量管控指标</w:t>
      </w:r>
      <w:r>
        <w:rPr>
          <w:rFonts w:hint="default" w:ascii="Times New Roman" w:hAnsi="Times New Roman" w:cs="Times New Roman"/>
          <w:color w:val="FF0000"/>
          <w:highlight w:val="none"/>
        </w:rPr>
        <w:t>为17.00亿m</w:t>
      </w:r>
      <w:r>
        <w:rPr>
          <w:rFonts w:hint="default" w:ascii="Times New Roman" w:hAnsi="Times New Roman" w:cs="Times New Roman"/>
          <w:color w:val="FF0000"/>
          <w:highlight w:val="none"/>
          <w:vertAlign w:val="superscript"/>
        </w:rPr>
        <w:t>3</w:t>
      </w:r>
      <w:r>
        <w:rPr>
          <w:rFonts w:hint="default" w:ascii="Times New Roman" w:hAnsi="Times New Roman" w:cs="Times New Roman"/>
          <w:color w:val="FF0000"/>
          <w:highlight w:val="none"/>
          <w:vertAlign w:val="baseline"/>
          <w:lang w:eastAsia="zh-CN"/>
        </w:rPr>
        <w:t>，</w:t>
      </w:r>
      <w:r>
        <w:rPr>
          <w:rFonts w:hint="default" w:ascii="Times New Roman" w:hAnsi="Times New Roman" w:cs="Times New Roman"/>
          <w:color w:val="FF0000"/>
          <w:highlight w:val="none"/>
          <w:vertAlign w:val="baseline"/>
          <w:lang w:val="en-US" w:eastAsia="zh-CN"/>
        </w:rPr>
        <w:t>2025年和2035年用水总量管控指标以国家下达为准</w:t>
      </w:r>
      <w:r>
        <w:rPr>
          <w:rFonts w:hint="default" w:ascii="Times New Roman" w:hAnsi="Times New Roman" w:cs="Times New Roman"/>
          <w:color w:val="FF0000"/>
          <w:highlight w:val="none"/>
        </w:rPr>
        <w:t>。</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本项目</w:t>
      </w:r>
      <w:r>
        <w:rPr>
          <w:rFonts w:hint="default" w:ascii="Times New Roman" w:hAnsi="Times New Roman" w:cs="Times New Roman"/>
          <w:color w:val="FF0000"/>
          <w:highlight w:val="none"/>
          <w:lang w:val="en-US" w:eastAsia="zh-CN"/>
        </w:rPr>
        <w:t>取水用于改善城镇居民民生</w:t>
      </w:r>
      <w:r>
        <w:rPr>
          <w:rFonts w:hint="default" w:ascii="Times New Roman" w:hAnsi="Times New Roman" w:cs="Times New Roman"/>
          <w:color w:val="FF0000"/>
          <w:highlight w:val="none"/>
        </w:rPr>
        <w:t>，</w:t>
      </w:r>
      <w:r>
        <w:rPr>
          <w:rFonts w:hint="default" w:ascii="Times New Roman" w:hAnsi="Times New Roman" w:cs="Times New Roman"/>
          <w:color w:val="FF0000"/>
          <w:highlight w:val="none"/>
          <w:lang w:val="en-US" w:eastAsia="zh-CN"/>
        </w:rPr>
        <w:t>同时保留生态流量，</w:t>
      </w:r>
      <w:r>
        <w:rPr>
          <w:rFonts w:hint="default" w:ascii="Times New Roman" w:hAnsi="Times New Roman" w:cs="Times New Roman"/>
          <w:color w:val="FF0000"/>
          <w:highlight w:val="none"/>
        </w:rPr>
        <w:t>不会突破水资源资源利用上线。</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②</w:t>
      </w:r>
      <w:r>
        <w:rPr>
          <w:rFonts w:hint="default" w:ascii="Times New Roman" w:hAnsi="Times New Roman" w:cs="Times New Roman"/>
          <w:color w:val="FF0000"/>
          <w:highlight w:val="none"/>
        </w:rPr>
        <w:t>土地资源利用上线的符合性</w:t>
      </w:r>
    </w:p>
    <w:p>
      <w:pPr>
        <w:bidi w:val="0"/>
        <w:rPr>
          <w:rFonts w:hint="default" w:ascii="Times New Roman" w:hAnsi="Times New Roman" w:cs="Times New Roman"/>
          <w:highlight w:val="none"/>
        </w:rPr>
      </w:pPr>
      <w:r>
        <w:rPr>
          <w:rFonts w:hint="default" w:ascii="Times New Roman" w:hAnsi="Times New Roman" w:cs="Times New Roman"/>
          <w:highlight w:val="none"/>
        </w:rPr>
        <w:t>根据《关于福建省土地利用总体规划（2006-2020年）有关指标调整的函》（国土资函〔2017〕356号）、《关于调整设区市、平潭综合实验区现行土地利用总体规划有关指标的批复》（闽政文〔2017〕299号），全面推进国土开发、保护与整治，打造山清水秀、碧海蓝天的美丽家园；加快形成绿色发展方式和生活方式，推动经济社会发展再上新台阶，努力建设“机制活、产业优、百姓富、生态美”的新福建，构建富有竞争力、可持续、安全、开放的“清新福建，美丽国土”，规划期内努力实现以下土地利用目标：至2020年全省建设用地总规模达88万公顷，至2020年宁德市建设用地总规模6.32万公顷。</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本项目为线性工程</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且主要管段埋地布设，占地面积较少，</w:t>
      </w:r>
      <w:r>
        <w:rPr>
          <w:rFonts w:hint="default" w:ascii="Times New Roman" w:hAnsi="Times New Roman" w:cs="Times New Roman"/>
          <w:color w:val="FF0000"/>
          <w:highlight w:val="none"/>
        </w:rPr>
        <w:t>不会突破当地土地资源利用上限。</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③</w:t>
      </w:r>
      <w:r>
        <w:rPr>
          <w:rFonts w:hint="default" w:ascii="Times New Roman" w:hAnsi="Times New Roman" w:cs="Times New Roman"/>
          <w:color w:val="FF0000"/>
          <w:highlight w:val="none"/>
        </w:rPr>
        <w:t>与能源资源利用上线的符合性分析</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根据《宁德市“十三五”节能减排综合工作实施方案》（宁政〔2018〕19号），未来宁德市能源消费管控主要目标，到2020年，全市万元GDP能耗比2015年下降10%，能耗增量控制在170万吨标准煤</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其中霞浦县能耗强度降低目标为6%，能耗增量控制目标为8</w:t>
      </w:r>
      <w:r>
        <w:rPr>
          <w:rFonts w:hint="default" w:ascii="Times New Roman" w:hAnsi="Times New Roman" w:cs="Times New Roman"/>
          <w:color w:val="FF0000"/>
          <w:highlight w:val="none"/>
        </w:rPr>
        <w:t>万吨标准煤。2025年及2035能源利用上线以国家最终下达目标以及省能源发展专项规划、节能减排综合方案等文件要求为准，实施能源消耗总量和强度双控。</w:t>
      </w:r>
    </w:p>
    <w:p>
      <w:pPr>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lang w:val="en-US" w:eastAsia="zh-CN"/>
        </w:rPr>
        <w:t>本项目不产生能耗</w:t>
      </w:r>
      <w:r>
        <w:rPr>
          <w:rFonts w:hint="default" w:ascii="Times New Roman" w:hAnsi="Times New Roman" w:cs="Times New Roman"/>
          <w:color w:val="FF0000"/>
          <w:highlight w:val="none"/>
        </w:rPr>
        <w:t>。</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4</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lang w:val="en-US" w:eastAsia="zh-CN"/>
        </w:rPr>
        <w:t>生态环境准入清单</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宁德市人民政府关于印发宁德市“三线一单”生态环境分区管控方案的通知</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中仅发布了不涉及生态保护红线的 26 个主要工业园区管控单元的准入要求，其余 219 个管控单元的准入要求待新调整的生态红线正式发布后再进行衔接、发布。本项目不在工业园区管控单元内，而宁德市其余管控单位准入要求暂未发布，因此</w:t>
      </w:r>
      <w:r>
        <w:rPr>
          <w:rFonts w:hint="default" w:ascii="Times New Roman" w:hAnsi="Times New Roman" w:cs="Times New Roman"/>
          <w:highlight w:val="none"/>
        </w:rPr>
        <w:t>建设</w:t>
      </w:r>
      <w:r>
        <w:rPr>
          <w:rFonts w:hint="default" w:ascii="Times New Roman" w:hAnsi="Times New Roman" w:cs="Times New Roman"/>
          <w:highlight w:val="none"/>
          <w:lang w:val="en-US" w:eastAsia="zh-CN"/>
        </w:rPr>
        <w:t>与宁德市生态环境总体准入要求相符</w:t>
      </w:r>
      <w:r>
        <w:rPr>
          <w:rFonts w:hint="default" w:ascii="Times New Roman" w:hAnsi="Times New Roman" w:cs="Times New Roman"/>
          <w:highlight w:val="none"/>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FF0000"/>
          <w:highlight w:val="none"/>
          <w:lang w:val="en-US" w:eastAsia="zh-CN"/>
        </w:rPr>
        <w:t>综上所述，</w:t>
      </w:r>
      <w:r>
        <w:rPr>
          <w:rFonts w:hint="default" w:ascii="Times New Roman" w:hAnsi="Times New Roman" w:cs="Times New Roman"/>
          <w:color w:val="FF0000"/>
          <w:highlight w:val="none"/>
        </w:rPr>
        <w:t>本项目选址和建设符合“三线一单”控制要求</w:t>
      </w:r>
      <w:r>
        <w:rPr>
          <w:rFonts w:hint="default" w:ascii="Times New Roman" w:hAnsi="Times New Roman" w:cs="Times New Roman"/>
          <w:color w:val="FF0000"/>
          <w:highlight w:val="none"/>
          <w:lang w:val="en-US" w:eastAsia="zh-CN"/>
        </w:rPr>
        <w:t>。</w:t>
      </w:r>
    </w:p>
    <w:p>
      <w:pPr>
        <w:pStyle w:val="3"/>
        <w:numPr>
          <w:ilvl w:val="1"/>
          <w:numId w:val="0"/>
        </w:numPr>
        <w:bidi w:val="0"/>
        <w:ind w:leftChars="0"/>
        <w:rPr>
          <w:rFonts w:hint="default" w:ascii="Times New Roman" w:hAnsi="Times New Roman" w:cs="Times New Roman"/>
          <w:highlight w:val="none"/>
        </w:rPr>
      </w:pPr>
      <w:bookmarkStart w:id="25" w:name="_Toc9100"/>
      <w:bookmarkStart w:id="26" w:name="_Toc16214"/>
      <w:r>
        <w:rPr>
          <w:rFonts w:hint="default" w:ascii="Times New Roman" w:hAnsi="Times New Roman" w:cs="Times New Roman"/>
          <w:highlight w:val="none"/>
          <w:lang w:val="en-US" w:eastAsia="zh-CN"/>
        </w:rPr>
        <w:t>5 关于</w:t>
      </w:r>
      <w:r>
        <w:rPr>
          <w:rFonts w:hint="default" w:ascii="Times New Roman" w:hAnsi="Times New Roman" w:cs="Times New Roman"/>
          <w:highlight w:val="none"/>
        </w:rPr>
        <w:t>主要环境问题</w:t>
      </w:r>
      <w:bookmarkEnd w:id="25"/>
      <w:bookmarkEnd w:id="26"/>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（1）项目作为服务于周边的民生工程，当与水资源配制产生冲突时，优先满足群众生活民生用水，但项目建成后将对坝下减水段产生影响，造成下游生态系统发生改变。</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（2）项目建成后设备噪声、固体废物对外环境的影响。</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项目在施工期</w:t>
      </w:r>
      <w:r>
        <w:rPr>
          <w:rFonts w:hint="default" w:ascii="Times New Roman" w:hAnsi="Times New Roman" w:cs="Times New Roman"/>
          <w:highlight w:val="none"/>
          <w:lang w:val="en-US" w:eastAsia="zh-CN"/>
        </w:rPr>
        <w:t>临时占地、永久占地</w:t>
      </w:r>
      <w:r>
        <w:rPr>
          <w:rFonts w:hint="default" w:ascii="Times New Roman" w:hAnsi="Times New Roman" w:cs="Times New Roman"/>
          <w:highlight w:val="none"/>
        </w:rPr>
        <w:t>对周边生态环境</w:t>
      </w:r>
      <w:r>
        <w:rPr>
          <w:rFonts w:hint="default" w:ascii="Times New Roman" w:hAnsi="Times New Roman" w:cs="Times New Roman"/>
          <w:highlight w:val="none"/>
          <w:lang w:val="en-US" w:eastAsia="zh-CN"/>
        </w:rPr>
        <w:t>产生的</w:t>
      </w:r>
      <w:r>
        <w:rPr>
          <w:rFonts w:hint="default" w:ascii="Times New Roman" w:hAnsi="Times New Roman" w:cs="Times New Roman"/>
          <w:highlight w:val="none"/>
        </w:rPr>
        <w:t>影响</w:t>
      </w:r>
      <w:r>
        <w:rPr>
          <w:rFonts w:hint="default" w:ascii="Times New Roman" w:hAnsi="Times New Roman" w:cs="Times New Roman"/>
          <w:highlight w:val="none"/>
          <w:lang w:val="en-US" w:eastAsia="zh-CN"/>
        </w:rPr>
        <w:t>。</w:t>
      </w:r>
    </w:p>
    <w:p>
      <w:pPr>
        <w:pStyle w:val="3"/>
        <w:numPr>
          <w:ilvl w:val="1"/>
          <w:numId w:val="0"/>
        </w:numPr>
        <w:bidi w:val="0"/>
        <w:ind w:leftChars="0"/>
        <w:rPr>
          <w:rFonts w:hint="default" w:ascii="Times New Roman" w:hAnsi="Times New Roman" w:cs="Times New Roman"/>
          <w:highlight w:val="none"/>
        </w:rPr>
      </w:pPr>
      <w:bookmarkStart w:id="27" w:name="_Toc18274"/>
      <w:bookmarkStart w:id="28" w:name="_Toc28150"/>
      <w:r>
        <w:rPr>
          <w:rFonts w:hint="default" w:ascii="Times New Roman" w:hAnsi="Times New Roman" w:cs="Times New Roman"/>
          <w:highlight w:val="none"/>
          <w:lang w:val="en-US" w:eastAsia="zh-CN"/>
        </w:rPr>
        <w:t xml:space="preserve">6 </w:t>
      </w:r>
      <w:r>
        <w:rPr>
          <w:rFonts w:hint="default" w:ascii="Times New Roman" w:hAnsi="Times New Roman" w:cs="Times New Roman"/>
          <w:highlight w:val="none"/>
        </w:rPr>
        <w:t>报告书主要结论</w:t>
      </w:r>
      <w:bookmarkEnd w:id="27"/>
      <w:bookmarkEnd w:id="28"/>
    </w:p>
    <w:p>
      <w:pPr>
        <w:bidi w:val="0"/>
        <w:rPr>
          <w:rFonts w:hint="default" w:ascii="Times New Roman" w:hAnsi="Times New Roman" w:cs="Times New Roman"/>
          <w:highlight w:val="none"/>
        </w:rPr>
      </w:pPr>
      <w:r>
        <w:rPr>
          <w:rFonts w:hint="default" w:ascii="Times New Roman" w:hAnsi="Times New Roman" w:cs="Times New Roman"/>
          <w:sz w:val="24"/>
          <w:szCs w:val="24"/>
          <w:highlight w:val="none"/>
          <w:lang w:eastAsia="zh-CN"/>
        </w:rPr>
        <w:t>福鼎市管阳片区农村安全饮水工程管网部分（福鼎市城乡供水一体化二期）</w:t>
      </w:r>
      <w:r>
        <w:rPr>
          <w:rFonts w:hint="default" w:ascii="Times New Roman" w:hAnsi="Times New Roman" w:cs="Times New Roman"/>
          <w:highlight w:val="none"/>
        </w:rPr>
        <w:t>建设符合国家及地方产业政策，选址符合相关规划，管线布置合理，施工期</w:t>
      </w:r>
      <w:r>
        <w:rPr>
          <w:rFonts w:hint="default" w:ascii="Times New Roman" w:hAnsi="Times New Roman" w:cs="Times New Roman"/>
          <w:highlight w:val="none"/>
          <w:lang w:val="en-US" w:eastAsia="zh-CN"/>
        </w:rPr>
        <w:t>及运行期</w:t>
      </w:r>
      <w:r>
        <w:rPr>
          <w:rFonts w:hint="default" w:ascii="Times New Roman" w:hAnsi="Times New Roman" w:cs="Times New Roman"/>
          <w:highlight w:val="none"/>
        </w:rPr>
        <w:t>采取相应的环保措施处理后，对</w:t>
      </w:r>
      <w:r>
        <w:rPr>
          <w:rFonts w:hint="default" w:ascii="Times New Roman" w:hAnsi="Times New Roman" w:cs="Times New Roman"/>
          <w:highlight w:val="none"/>
          <w:lang w:val="en-US" w:eastAsia="zh-CN"/>
        </w:rPr>
        <w:t>环境</w:t>
      </w:r>
      <w:r>
        <w:rPr>
          <w:rFonts w:hint="default" w:ascii="Times New Roman" w:hAnsi="Times New Roman" w:cs="Times New Roman"/>
          <w:highlight w:val="none"/>
        </w:rPr>
        <w:t>影响较小。建设单位</w:t>
      </w:r>
      <w:r>
        <w:rPr>
          <w:rFonts w:hint="default" w:ascii="Times New Roman" w:hAnsi="Times New Roman" w:cs="Times New Roman"/>
          <w:highlight w:val="none"/>
          <w:lang w:val="en-US" w:eastAsia="zh-CN"/>
        </w:rPr>
        <w:t>应认真</w:t>
      </w:r>
      <w:r>
        <w:rPr>
          <w:rFonts w:hint="default" w:ascii="Times New Roman" w:hAnsi="Times New Roman" w:cs="Times New Roman"/>
          <w:highlight w:val="none"/>
        </w:rPr>
        <w:t>遵守“三同时”管理制度，加强生产管理和环境管理，防止污染事故的发生，严格按有关法律法规及本评价所提出的要求落实污染防治措施，项目建设所产生的负面影响是可以得到有效控制。从环境</w:t>
      </w:r>
      <w:r>
        <w:rPr>
          <w:rFonts w:hint="default" w:ascii="Times New Roman" w:hAnsi="Times New Roman" w:cs="Times New Roman"/>
          <w:highlight w:val="none"/>
          <w:lang w:val="en-US" w:eastAsia="zh-CN"/>
        </w:rPr>
        <w:t>影响</w:t>
      </w:r>
      <w:r>
        <w:rPr>
          <w:rFonts w:hint="default" w:ascii="Times New Roman" w:hAnsi="Times New Roman" w:cs="Times New Roman"/>
          <w:highlight w:val="none"/>
        </w:rPr>
        <w:t>角度分析，本项目的建设是可行的。</w:t>
      </w:r>
    </w:p>
    <w:p>
      <w:pPr>
        <w:rPr>
          <w:rFonts w:hint="default" w:ascii="Times New Roman" w:hAnsi="Times New Roman" w:cs="Times New Roman"/>
          <w:highlight w:val="none"/>
        </w:rPr>
        <w:sectPr>
          <w:footerReference r:id="rId7" w:type="default"/>
          <w:pgSz w:w="11850" w:h="16783"/>
          <w:pgMar w:top="1417" w:right="1417" w:bottom="1417" w:left="1417" w:header="850" w:footer="992" w:gutter="0"/>
          <w:pgBorders>
            <w:top w:val="none" w:sz="0" w:space="0"/>
            <w:left w:val="none" w:sz="0" w:space="0"/>
            <w:bottom w:val="none" w:sz="0" w:space="0"/>
            <w:right w:val="none" w:sz="0" w:space="0"/>
          </w:pgBorders>
          <w:pgNumType w:fmt="upperRoman" w:start="1"/>
          <w:cols w:space="720" w:num="1"/>
          <w:rtlGutter w:val="0"/>
          <w:docGrid w:linePitch="1" w:charSpace="0"/>
        </w:sectPr>
      </w:pPr>
    </w:p>
    <w:p>
      <w:pPr>
        <w:pStyle w:val="2"/>
        <w:bidi w:val="0"/>
        <w:rPr>
          <w:rFonts w:hint="default" w:ascii="Times New Roman" w:hAnsi="Times New Roman" w:cs="Times New Roman"/>
          <w:highlight w:val="none"/>
          <w:lang w:val="en-US" w:eastAsia="zh-CN"/>
        </w:rPr>
      </w:pPr>
      <w:bookmarkStart w:id="29" w:name="_Toc31215"/>
      <w:bookmarkStart w:id="30" w:name="_Toc31088"/>
      <w:r>
        <w:rPr>
          <w:rFonts w:hint="default" w:ascii="Times New Roman" w:hAnsi="Times New Roman" w:cs="Times New Roman"/>
          <w:highlight w:val="none"/>
          <w:lang w:val="en-US" w:eastAsia="zh-CN"/>
        </w:rPr>
        <w:t>总  则</w:t>
      </w:r>
      <w:bookmarkEnd w:id="29"/>
      <w:bookmarkEnd w:id="30"/>
    </w:p>
    <w:p>
      <w:pPr>
        <w:pStyle w:val="3"/>
        <w:bidi w:val="0"/>
        <w:rPr>
          <w:rFonts w:hint="default" w:ascii="Times New Roman" w:hAnsi="Times New Roman" w:cs="Times New Roman"/>
          <w:highlight w:val="none"/>
        </w:rPr>
      </w:pPr>
      <w:bookmarkStart w:id="31" w:name="_Toc23109"/>
      <w:bookmarkStart w:id="32" w:name="_Toc5603"/>
      <w:r>
        <w:rPr>
          <w:rFonts w:hint="default" w:ascii="Times New Roman" w:hAnsi="Times New Roman" w:cs="Times New Roman"/>
          <w:highlight w:val="none"/>
          <w:lang w:val="en-US" w:eastAsia="zh-CN"/>
        </w:rPr>
        <w:t>编制依据</w:t>
      </w:r>
      <w:bookmarkEnd w:id="31"/>
      <w:bookmarkEnd w:id="32"/>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国家法律法规</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（1）《中华人民共和国环境保护法》2015年1月1日；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《中华人民共和国环境影响评价法》2018年12月29日修订；</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《中华人民共和国水污染防治法》2018年1月1日起施行；</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《中华人民共和国大气污染防治法》2018年10月26日修订；</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5</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《中华人民共和国环境噪声污染防治法》2018年12月29日修订；</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6</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《中华人民共和国固体废物污染环境防治法》2020年9月1日修正；</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7</w:t>
      </w:r>
      <w:r>
        <w:rPr>
          <w:rFonts w:hint="default" w:ascii="Times New Roman" w:hAnsi="Times New Roman" w:cs="Times New Roman"/>
          <w:highlight w:val="none"/>
          <w:lang w:eastAsia="zh-CN"/>
        </w:rPr>
        <w:t>）</w:t>
      </w:r>
      <w:r>
        <w:rPr>
          <w:rFonts w:hint="default" w:ascii="Times New Roman" w:hAnsi="Times New Roman" w:cs="Times New Roman"/>
          <w:highlight w:val="none"/>
        </w:rPr>
        <w:t>《中华人民共和国土壤污染防治法》2019年1月1日起施行；</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8</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《中华人民共和国突发事件应对法》2007年8月；</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9</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《中华人民共和国土地管理法》2004年8月第二次修订；</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10</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《中华人民共和国水土保持法》（修正）2011年3月1日；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11</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《中华人民共和国矿产资源法》2009.8.29修订；</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12</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《中华人民共和国清洁生产促进法（2012年修正）》2012.2.29；</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13</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《中华人民共和国防洪法》1998年1月；</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14</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《中华人民共和国城乡规划法（修订）》2015年4月24日；</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15</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《中华人民共和国森林法（修正）》2009.8.27；</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16</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《中华人民共和国野生动物保护法（修正）》2016.7.2。</w:t>
      </w:r>
    </w:p>
    <w:p>
      <w:pPr>
        <w:pStyle w:val="4"/>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部门规章</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《中华人民共和国陆生野生动物保护实施条例（修正）》国务院令588号，2011.1.8；</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《中华人民共和国水生野生动物保护实施条例（修正）》国务院令645号，2013.12.7；</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《国家湿地公园管理办法》2018年1月1日；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《风景名胜区管理条例》国务院令474号，2006年12月1日；</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5</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《中华人民共和国自然保护区条例》国务院令第167号，1994.10.9；</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6</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《建设项目环境保护管理条例》国务院682号令，2017年7月16日；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7</w:t>
      </w:r>
      <w:r>
        <w:rPr>
          <w:rFonts w:hint="default" w:ascii="Times New Roman" w:hAnsi="Times New Roman" w:cs="Times New Roman"/>
          <w:highlight w:val="none"/>
          <w:lang w:eastAsia="zh-CN"/>
        </w:rPr>
        <w:t>）</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"https://www.eiacloud.com/hpyzs/lawsRegulations/searchDetail?id=11790cd1ed7141e590ad9d52c800f594&amp;modelName=%E7%8E%AF%E8%AF%84%E5%90%8D%E5%BD%95" \t "https://www.eiacloud.com/hpyzs/category/_blank"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《建设项目环境影响评价分类管理名录(2021年版)》(部令第16号)</w:t>
      </w:r>
      <w:r>
        <w:rPr>
          <w:rFonts w:hint="default" w:ascii="Times New Roman" w:hAnsi="Times New Roman" w:cs="Times New Roman"/>
          <w:highlight w:val="none"/>
        </w:rPr>
        <w:fldChar w:fldCharType="end"/>
      </w:r>
      <w:r>
        <w:rPr>
          <w:rFonts w:hint="default" w:ascii="Times New Roman" w:hAnsi="Times New Roman" w:cs="Times New Roman"/>
          <w:highlight w:val="none"/>
          <w:lang w:val="en-US"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8</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w:t>
      </w:r>
      <w:r>
        <w:rPr>
          <w:rFonts w:hint="default" w:ascii="Times New Roman" w:hAnsi="Times New Roman" w:cs="Times New Roman"/>
          <w:highlight w:val="none"/>
          <w:lang w:eastAsia="zh-CN"/>
        </w:rPr>
        <w:t>产业结构调整指导目录（</w:t>
      </w:r>
      <w:r>
        <w:rPr>
          <w:rFonts w:hint="default" w:ascii="Times New Roman" w:hAnsi="Times New Roman" w:cs="Times New Roman"/>
          <w:highlight w:val="none"/>
          <w:lang w:val="en-US"/>
        </w:rPr>
        <w:t>2019</w:t>
      </w:r>
      <w:r>
        <w:rPr>
          <w:rFonts w:hint="default" w:ascii="Times New Roman" w:hAnsi="Times New Roman" w:cs="Times New Roman"/>
          <w:highlight w:val="none"/>
          <w:lang w:eastAsia="zh-CN"/>
        </w:rPr>
        <w:t>年本）</w:t>
      </w:r>
      <w:r>
        <w:rPr>
          <w:rFonts w:hint="default" w:ascii="Times New Roman" w:hAnsi="Times New Roman" w:cs="Times New Roman"/>
          <w:highlight w:val="none"/>
          <w:lang w:val="en-US" w:eastAsia="zh-CN"/>
        </w:rPr>
        <w:t>》国家发展和改革委员会，2019年10月30日；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9</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《国务院关于加强环境保护重点工作的意见》国发[2011]35号，2011年10 月 17 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10</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关于发布《环境影响评价公众参与办法》配套文件的公告（公告[2018]48号，2018年10月12日）；</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11</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国务院国发[2015]17号《国务院关于印发水污染防治行动计划的通知》2015年4月2日；</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12</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国务院国发[2013]37 号《国务院关于印发大气污染防治行动计划的通知》2013年9月10日；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13</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国务院国发[2016]31 号《国务院关于印发土壤污染防治行动计划的通知》2016年5月28日；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14</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《全国生态功能区划(修编版)》(2015年11月23日)；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15</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《国家重点保护野生动物名录》(林业部、农业部令第1号)；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16</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w:t>
      </w:r>
      <w:r>
        <w:rPr>
          <w:rFonts w:hint="default" w:ascii="Times New Roman" w:hAnsi="Times New Roman" w:cs="Times New Roman"/>
          <w:highlight w:val="none"/>
          <w:lang w:val="en-US"/>
        </w:rPr>
        <w:t>国家重点保护野生植物名录</w:t>
      </w:r>
      <w:r>
        <w:rPr>
          <w:rFonts w:hint="default" w:ascii="Times New Roman" w:hAnsi="Times New Roman" w:cs="Times New Roman"/>
          <w:highlight w:val="none"/>
          <w:lang w:val="en-US" w:eastAsia="zh-CN"/>
        </w:rPr>
        <w:t>》（</w:t>
      </w:r>
      <w:r>
        <w:rPr>
          <w:rFonts w:hint="default" w:ascii="Times New Roman" w:hAnsi="Times New Roman" w:cs="Times New Roman"/>
          <w:highlight w:val="none"/>
          <w:lang w:val="en-US"/>
        </w:rPr>
        <w:t>国家林业和草原局农业农村部公告2021年第15号</w:t>
      </w:r>
      <w:r>
        <w:rPr>
          <w:rFonts w:hint="default" w:ascii="Times New Roman" w:hAnsi="Times New Roman" w:cs="Times New Roman"/>
          <w:highlight w:val="none"/>
          <w:lang w:val="en-US"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17</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《国家重点野生动物名录的调整种类公布》(林业局令第 7 号)； </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18</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《国务院关于修改和废止部分行政法规的决定》（中华人民共和国国务院令第698号）修改了《中华人民共和国森林法实施条例》，自2018年3月19日起实施；</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19</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《国家级公益林管理办法》（林资发〔2013〕71号）。</w:t>
      </w:r>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项目技术文件</w:t>
      </w:r>
    </w:p>
    <w:p>
      <w:pPr>
        <w:bidi w:val="0"/>
        <w:rPr>
          <w:rFonts w:hint="default" w:ascii="Times New Roman" w:hAnsi="Times New Roman" w:cs="Times New Roman"/>
          <w:highlight w:val="none"/>
        </w:rPr>
      </w:pPr>
      <w:bookmarkStart w:id="33" w:name="_Toc912"/>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）福鼎市管阳片区农村安全饮水工程管网部分（福鼎市城乡供水一体化二期）</w:t>
      </w:r>
      <w:r>
        <w:rPr>
          <w:rFonts w:hint="default" w:ascii="Times New Roman" w:hAnsi="Times New Roman" w:cs="Times New Roman"/>
          <w:highlight w:val="none"/>
          <w:lang w:val="en-US" w:eastAsia="zh-CN"/>
        </w:rPr>
        <w:t>可行性研究报告及其批复（批复号：鼎发改审批[2021] 156号）；</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）福鼎市管阳片区农村安全饮水工程管网部分（福鼎市城乡供水一体化二期）</w:t>
      </w:r>
      <w:r>
        <w:rPr>
          <w:rFonts w:hint="default" w:ascii="Times New Roman" w:hAnsi="Times New Roman" w:cs="Times New Roman"/>
          <w:highlight w:val="none"/>
          <w:lang w:val="en-US" w:eastAsia="zh-CN"/>
        </w:rPr>
        <w:t>初步设计报告及其批复（批复号：鼎水审批[2021] 216号）。</w:t>
      </w:r>
    </w:p>
    <w:bookmarkEnd w:id="33"/>
    <w:p>
      <w:pPr>
        <w:pStyle w:val="3"/>
        <w:bidi w:val="0"/>
        <w:rPr>
          <w:rFonts w:hint="default" w:ascii="Times New Roman" w:hAnsi="Times New Roman" w:cs="Times New Roman"/>
          <w:highlight w:val="none"/>
        </w:rPr>
      </w:pPr>
      <w:bookmarkStart w:id="34" w:name="_Toc11293"/>
      <w:bookmarkStart w:id="35" w:name="_Toc9145"/>
      <w:r>
        <w:rPr>
          <w:rFonts w:hint="default" w:ascii="Times New Roman" w:hAnsi="Times New Roman" w:cs="Times New Roman"/>
          <w:highlight w:val="none"/>
        </w:rPr>
        <w:t>评价工作原则</w:t>
      </w:r>
      <w:bookmarkEnd w:id="34"/>
      <w:bookmarkEnd w:id="35"/>
    </w:p>
    <w:p>
      <w:pPr>
        <w:bidi w:val="0"/>
        <w:rPr>
          <w:rFonts w:hint="default" w:ascii="Times New Roman" w:hAnsi="Times New Roman" w:cs="Times New Roman"/>
          <w:highlight w:val="none"/>
        </w:rPr>
      </w:pPr>
      <w:r>
        <w:rPr>
          <w:rFonts w:hint="default" w:ascii="Times New Roman" w:hAnsi="Times New Roman" w:cs="Times New Roman"/>
          <w:highlight w:val="none"/>
        </w:rPr>
        <w:t>突出环境影响评价的源头预防作用，坚持保护和改善环境质量。</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rPr>
        <w:t>依法评价</w:t>
      </w:r>
    </w:p>
    <w:p>
      <w:pPr>
        <w:bidi w:val="0"/>
        <w:rPr>
          <w:rFonts w:hint="default" w:ascii="Times New Roman" w:hAnsi="Times New Roman" w:cs="Times New Roman"/>
          <w:highlight w:val="none"/>
        </w:rPr>
      </w:pPr>
      <w:r>
        <w:rPr>
          <w:rFonts w:hint="default" w:ascii="Times New Roman" w:hAnsi="Times New Roman" w:cs="Times New Roman"/>
          <w:highlight w:val="none"/>
        </w:rPr>
        <w:t>贯彻执行我国环境保护相关法律法规、标准、政策和规划等，优化项目建设，服务环境管理。</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科学评价</w:t>
      </w:r>
    </w:p>
    <w:p>
      <w:pPr>
        <w:bidi w:val="0"/>
        <w:rPr>
          <w:rFonts w:hint="default" w:ascii="Times New Roman" w:hAnsi="Times New Roman" w:cs="Times New Roman"/>
          <w:highlight w:val="none"/>
        </w:rPr>
      </w:pPr>
      <w:r>
        <w:rPr>
          <w:rFonts w:hint="default" w:ascii="Times New Roman" w:hAnsi="Times New Roman" w:cs="Times New Roman"/>
          <w:highlight w:val="none"/>
        </w:rPr>
        <w:t>规范环境影响评价方法，科学分析项目建设对环境质量的影响。</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突出重点</w:t>
      </w:r>
    </w:p>
    <w:p>
      <w:pPr>
        <w:bidi w:val="0"/>
        <w:rPr>
          <w:rFonts w:hint="default" w:ascii="Times New Roman" w:hAnsi="Times New Roman" w:cs="Times New Roman"/>
          <w:highlight w:val="none"/>
        </w:rPr>
      </w:pPr>
      <w:r>
        <w:rPr>
          <w:rFonts w:hint="default" w:ascii="Times New Roman" w:hAnsi="Times New Roman" w:cs="Times New Roman"/>
          <w:highlight w:val="none"/>
        </w:rPr>
        <w:t>根据建设项目的工程内容及其特点，明确与环境要素间的作用效应关系，根据规划结论，充分利用符合时效的数据资料及成果，对建设项目主要环境影响予以重点分析和评价。</w:t>
      </w:r>
    </w:p>
    <w:p>
      <w:pPr>
        <w:pStyle w:val="3"/>
        <w:bidi w:val="0"/>
        <w:rPr>
          <w:rFonts w:hint="default" w:ascii="Times New Roman" w:hAnsi="Times New Roman" w:cs="Times New Roman"/>
          <w:highlight w:val="none"/>
        </w:rPr>
      </w:pPr>
      <w:bookmarkStart w:id="36" w:name="_Toc28193"/>
      <w:bookmarkStart w:id="37" w:name="_Toc20663"/>
      <w:r>
        <w:rPr>
          <w:rFonts w:hint="default" w:ascii="Times New Roman" w:hAnsi="Times New Roman" w:cs="Times New Roman"/>
          <w:highlight w:val="none"/>
          <w:lang w:val="en-US" w:eastAsia="zh-CN"/>
        </w:rPr>
        <w:t>评价工作内容及重点</w:t>
      </w:r>
      <w:bookmarkEnd w:id="36"/>
      <w:bookmarkEnd w:id="37"/>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评价工作内容</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根据拟建项目的工程特点、实地调查及收集资料，确定本项目的环境影响评价工作的主要内容如下：</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（1）工程分析</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根据主体工程前期工作研究成果综述工程概况，进行工程环境影响因素分析，并对施工期及营运期主要环境污染排放源强进行分析。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环境质量现状调查 </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在收集资料和现状监测的基础上，对项目周边环境质量进行调查。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环境影响评价 </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分析、预测项目建设对周边环境产生的影响。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4</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 xml:space="preserve">项目建设可行性分析 </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从项目建设产业政策、选址及平面布置等方面分析项目建设可行性。</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5</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环境保护措施及技术经济论证</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针对产生的污染提出可行的环境保护措施，并分析其技术经济可行性。 </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6</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环境保护管理及监测计划</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通过以上各项预测分析与评价，并参考项目可行性研究报告研究成果，对项目选址、环保措施进行分析和比选，并提出优化建议。</w:t>
      </w:r>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评价重点</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根据工程产生污染的特点，区域环境现状及相关环保政策、标准以及项目的性质确定环评工作重点为：工程分析、生态环境现状调查、环境影响预测与评价、生态保护防治措施等为评价重点。</w:t>
      </w:r>
    </w:p>
    <w:p>
      <w:pPr>
        <w:pStyle w:val="3"/>
        <w:bidi w:val="0"/>
        <w:rPr>
          <w:rFonts w:hint="default" w:ascii="Times New Roman" w:hAnsi="Times New Roman" w:cs="Times New Roman"/>
          <w:highlight w:val="none"/>
        </w:rPr>
      </w:pPr>
      <w:bookmarkStart w:id="38" w:name="_Toc1564"/>
      <w:bookmarkStart w:id="39" w:name="_Toc4393"/>
      <w:r>
        <w:rPr>
          <w:rFonts w:hint="default" w:ascii="Times New Roman" w:hAnsi="Times New Roman" w:cs="Times New Roman"/>
          <w:highlight w:val="none"/>
          <w:lang w:val="en-US" w:eastAsia="zh-CN"/>
        </w:rPr>
        <w:t>环境影响因素及评价因子识别</w:t>
      </w:r>
      <w:bookmarkEnd w:id="38"/>
      <w:bookmarkEnd w:id="39"/>
    </w:p>
    <w:p>
      <w:pPr>
        <w:pStyle w:val="4"/>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环境影响因素识别</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本项目的主要环境问题采用矩阵法进行筛选，见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 REF _Ref32083 \n \h </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表1.4-1</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和</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_Ref17375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表1.4-2</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rPr>
        <w:t>。</w:t>
      </w:r>
    </w:p>
    <w:p>
      <w:pPr>
        <w:pStyle w:val="21"/>
        <w:bidi w:val="0"/>
        <w:rPr>
          <w:rFonts w:hint="default" w:ascii="Times New Roman" w:hAnsi="Times New Roman" w:cs="Times New Roman"/>
          <w:highlight w:val="none"/>
        </w:rPr>
      </w:pPr>
      <w:bookmarkStart w:id="40" w:name="_Ref32083"/>
      <w:r>
        <w:rPr>
          <w:rFonts w:hint="default" w:ascii="Times New Roman" w:hAnsi="Times New Roman" w:cs="Times New Roman"/>
          <w:highlight w:val="none"/>
        </w:rPr>
        <w:t>施工期主要环境影响识别矩阵</w:t>
      </w:r>
      <w:bookmarkEnd w:id="40"/>
    </w:p>
    <w:tbl>
      <w:tblPr>
        <w:tblStyle w:val="16"/>
        <w:tblW w:w="9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2"/>
        <w:gridCol w:w="1206"/>
        <w:gridCol w:w="569"/>
        <w:gridCol w:w="569"/>
        <w:gridCol w:w="645"/>
        <w:gridCol w:w="493"/>
        <w:gridCol w:w="569"/>
        <w:gridCol w:w="569"/>
        <w:gridCol w:w="569"/>
        <w:gridCol w:w="815"/>
        <w:gridCol w:w="615"/>
        <w:gridCol w:w="660"/>
        <w:gridCol w:w="570"/>
        <w:gridCol w:w="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828" w:type="dxa"/>
            <w:gridSpan w:val="2"/>
            <w:vMerge w:val="restart"/>
            <w:tcBorders>
              <w:top w:val="single" w:color="auto" w:sz="18" w:space="0"/>
              <w:left w:val="nil"/>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r>
              <w:rPr>
                <w:rFonts w:hint="default" w:ascii="Times New Roman" w:hAnsi="Times New Roman" w:cs="Times New Roman"/>
                <w:highlight w:val="none"/>
                <w:lang w:val="zh-TW" w:eastAsia="zh-TW"/>
              </w:rPr>
              <w:t>影响因子</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环境要素</w:t>
            </w:r>
          </w:p>
        </w:tc>
        <w:tc>
          <w:tcPr>
            <w:tcW w:w="4798" w:type="dxa"/>
            <w:gridSpan w:val="8"/>
            <w:tcBorders>
              <w:top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不利影响</w:t>
            </w:r>
          </w:p>
        </w:tc>
        <w:tc>
          <w:tcPr>
            <w:tcW w:w="2456" w:type="dxa"/>
            <w:gridSpan w:val="4"/>
            <w:tcBorders>
              <w:top w:val="single" w:color="auto" w:sz="18" w:space="0"/>
              <w:righ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有利影响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828" w:type="dxa"/>
            <w:gridSpan w:val="2"/>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长期</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短期</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不可逆</w:t>
            </w: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可逆</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直接</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rPr>
              <w:t>间接</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累积</w:t>
            </w: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rPr>
            </w:pPr>
            <w:r>
              <w:rPr>
                <w:rFonts w:hint="default" w:ascii="Times New Roman" w:hAnsi="Times New Roman" w:cs="Times New Roman"/>
                <w:highlight w:val="none"/>
                <w:lang w:val="zh-TW"/>
              </w:rPr>
              <w:t>非累积</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长期</w:t>
            </w: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短期</w:t>
            </w: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直接</w:t>
            </w: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间接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质量</w:t>
            </w: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空气质量</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水环境</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声环境</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固体废物</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生态</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w:t>
            </w: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自然景观</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植被</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动植物生境</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水土流失</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w:t>
            </w: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w:t>
            </w: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w:t>
            </w: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社会</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经济</w:t>
            </w: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农业生产</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交通运输</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经济发展</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人群健康</w:t>
            </w: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660"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611"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2" w:type="dxa"/>
            <w:vMerge w:val="continue"/>
            <w:tcBorders>
              <w:left w:val="nil"/>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1206"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生活质量</w:t>
            </w:r>
          </w:p>
        </w:tc>
        <w:tc>
          <w:tcPr>
            <w:tcW w:w="569"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45"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493"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bottom w:val="single" w:color="auto" w:sz="18" w:space="0"/>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9" w:type="dxa"/>
            <w:tcBorders>
              <w:left w:val="single" w:color="000000" w:sz="4" w:space="0"/>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9" w:type="dxa"/>
            <w:tcBorders>
              <w:bottom w:val="single" w:color="auto" w:sz="18" w:space="0"/>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5" w:type="dxa"/>
            <w:tcBorders>
              <w:left w:val="single" w:color="000000" w:sz="4" w:space="0"/>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60"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1" w:type="dxa"/>
            <w:tcBorders>
              <w:bottom w:val="single" w:color="auto" w:sz="18" w:space="0"/>
              <w:right w:val="nil"/>
              <w:tl2br w:val="nil"/>
              <w:tr2bl w:val="nil"/>
            </w:tcBorders>
            <w:noWrap w:val="0"/>
            <w:vAlign w:val="center"/>
          </w:tcPr>
          <w:p>
            <w:pPr>
              <w:pStyle w:val="19"/>
              <w:bidi w:val="0"/>
              <w:jc w:val="center"/>
              <w:rPr>
                <w:rFonts w:hint="default" w:ascii="Times New Roman" w:hAnsi="Times New Roman" w:cs="Times New Roman"/>
                <w:highlight w:val="none"/>
              </w:rPr>
            </w:pPr>
          </w:p>
        </w:tc>
      </w:tr>
    </w:tbl>
    <w:p>
      <w:pPr>
        <w:bidi w:val="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注：▲中度影响，△轻度影响，空白为影响很小或无影响。</w:t>
      </w:r>
    </w:p>
    <w:p>
      <w:pPr>
        <w:rPr>
          <w:rFonts w:hint="default" w:ascii="Times New Roman" w:hAnsi="Times New Roman" w:cs="Times New Roman"/>
          <w:color w:val="auto"/>
          <w:highlight w:val="none"/>
        </w:rPr>
      </w:pPr>
      <w:bookmarkStart w:id="41" w:name="_Ref32087"/>
      <w:r>
        <w:rPr>
          <w:rFonts w:hint="default" w:ascii="Times New Roman" w:hAnsi="Times New Roman" w:cs="Times New Roman"/>
          <w:color w:val="auto"/>
          <w:highlight w:val="none"/>
        </w:rPr>
        <w:br w:type="page"/>
      </w:r>
    </w:p>
    <w:p>
      <w:pPr>
        <w:pStyle w:val="21"/>
        <w:bidi w:val="0"/>
        <w:rPr>
          <w:rFonts w:hint="default" w:ascii="Times New Roman" w:hAnsi="Times New Roman" w:cs="Times New Roman"/>
          <w:highlight w:val="none"/>
        </w:rPr>
      </w:pPr>
      <w:bookmarkStart w:id="42" w:name="_Ref17375"/>
      <w:r>
        <w:rPr>
          <w:rFonts w:hint="default" w:ascii="Times New Roman" w:hAnsi="Times New Roman" w:cs="Times New Roman"/>
          <w:highlight w:val="none"/>
        </w:rPr>
        <w:t>运行期主要环境影响识别矩阵</w:t>
      </w:r>
      <w:bookmarkEnd w:id="41"/>
      <w:bookmarkEnd w:id="42"/>
    </w:p>
    <w:tbl>
      <w:tblPr>
        <w:tblStyle w:val="16"/>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0"/>
        <w:gridCol w:w="1204"/>
        <w:gridCol w:w="568"/>
        <w:gridCol w:w="568"/>
        <w:gridCol w:w="644"/>
        <w:gridCol w:w="492"/>
        <w:gridCol w:w="568"/>
        <w:gridCol w:w="568"/>
        <w:gridCol w:w="568"/>
        <w:gridCol w:w="817"/>
        <w:gridCol w:w="615"/>
        <w:gridCol w:w="659"/>
        <w:gridCol w:w="570"/>
        <w:gridCol w:w="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824" w:type="dxa"/>
            <w:gridSpan w:val="2"/>
            <w:vMerge w:val="restart"/>
            <w:tcBorders>
              <w:top w:val="single" w:color="auto" w:sz="18" w:space="0"/>
              <w:left w:val="nil"/>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r>
              <w:rPr>
                <w:rFonts w:hint="default" w:ascii="Times New Roman" w:hAnsi="Times New Roman" w:cs="Times New Roman"/>
                <w:highlight w:val="none"/>
                <w:lang w:val="zh-TW" w:eastAsia="zh-TW"/>
              </w:rPr>
              <w:t>影响因子</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环境要素</w:t>
            </w:r>
          </w:p>
        </w:tc>
        <w:tc>
          <w:tcPr>
            <w:tcW w:w="4793" w:type="dxa"/>
            <w:gridSpan w:val="8"/>
            <w:tcBorders>
              <w:top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不利影响</w:t>
            </w:r>
          </w:p>
        </w:tc>
        <w:tc>
          <w:tcPr>
            <w:tcW w:w="2456" w:type="dxa"/>
            <w:gridSpan w:val="4"/>
            <w:tcBorders>
              <w:top w:val="single" w:color="auto" w:sz="18" w:space="0"/>
              <w:righ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有利影响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824" w:type="dxa"/>
            <w:gridSpan w:val="2"/>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长期</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短期</w:t>
            </w: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不可逆</w:t>
            </w: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可逆</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直接</w:t>
            </w: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rPr>
              <w:t>间接</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累积</w:t>
            </w: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rPr>
            </w:pPr>
            <w:r>
              <w:rPr>
                <w:rFonts w:hint="default" w:ascii="Times New Roman" w:hAnsi="Times New Roman" w:cs="Times New Roman"/>
                <w:highlight w:val="none"/>
                <w:lang w:val="zh-TW"/>
              </w:rPr>
              <w:t>非累积</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长期</w:t>
            </w: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短期</w:t>
            </w: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直接</w:t>
            </w: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间接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质量</w:t>
            </w: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空气质量</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水环境</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声环境</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固体废物</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生态</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环境</w:t>
            </w: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自然景观</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植被</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r>
              <w:rPr>
                <w:rFonts w:hint="default" w:ascii="Times New Roman" w:hAnsi="Times New Roman" w:cs="Times New Roman"/>
                <w:highlight w:val="none"/>
              </w:rPr>
              <w:t>△</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动植物生境</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r>
              <w:rPr>
                <w:rFonts w:hint="default" w:ascii="Times New Roman" w:hAnsi="Times New Roman" w:cs="Times New Roman"/>
                <w:highlight w:val="none"/>
              </w:rPr>
              <w:t>△</w:t>
            </w: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水土流失</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restart"/>
            <w:tcBorders>
              <w:left w:val="nil"/>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社会</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经济</w:t>
            </w: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农业生产</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交通运输</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经济发展</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人群健康</w:t>
            </w: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59" w:type="dxa"/>
            <w:tcBorders>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2" w:type="dxa"/>
            <w:tcBorders>
              <w:right w:val="nil"/>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0" w:type="dxa"/>
            <w:vMerge w:val="continue"/>
            <w:tcBorders>
              <w:left w:val="nil"/>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1204"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zh-TW" w:eastAsia="zh-TW"/>
              </w:rPr>
              <w:t>生活质量</w:t>
            </w:r>
          </w:p>
        </w:tc>
        <w:tc>
          <w:tcPr>
            <w:tcW w:w="568"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44"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492"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bottom w:val="single" w:color="auto" w:sz="18" w:space="0"/>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68" w:type="dxa"/>
            <w:tcBorders>
              <w:left w:val="single" w:color="000000" w:sz="4" w:space="0"/>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lang w:val="zh-TW" w:eastAsia="zh-TW"/>
              </w:rPr>
            </w:pPr>
          </w:p>
        </w:tc>
        <w:tc>
          <w:tcPr>
            <w:tcW w:w="568" w:type="dxa"/>
            <w:tcBorders>
              <w:bottom w:val="single" w:color="auto" w:sz="18" w:space="0"/>
              <w:right w:val="single" w:color="000000" w:sz="4"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817" w:type="dxa"/>
            <w:tcBorders>
              <w:left w:val="single" w:color="000000" w:sz="4" w:space="0"/>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615"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59"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p>
        </w:tc>
        <w:tc>
          <w:tcPr>
            <w:tcW w:w="570" w:type="dxa"/>
            <w:tcBorders>
              <w:bottom w:val="single" w:color="auto" w:sz="18" w:space="0"/>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612" w:type="dxa"/>
            <w:tcBorders>
              <w:bottom w:val="single" w:color="auto" w:sz="18" w:space="0"/>
              <w:right w:val="nil"/>
              <w:tl2br w:val="nil"/>
              <w:tr2bl w:val="nil"/>
            </w:tcBorders>
            <w:noWrap w:val="0"/>
            <w:vAlign w:val="center"/>
          </w:tcPr>
          <w:p>
            <w:pPr>
              <w:pStyle w:val="19"/>
              <w:bidi w:val="0"/>
              <w:jc w:val="center"/>
              <w:rPr>
                <w:rFonts w:hint="default" w:ascii="Times New Roman" w:hAnsi="Times New Roman" w:cs="Times New Roman"/>
                <w:highlight w:val="none"/>
              </w:rPr>
            </w:pPr>
          </w:p>
        </w:tc>
      </w:tr>
    </w:tbl>
    <w:p>
      <w:pPr>
        <w:keepNext w:val="0"/>
        <w:keepLines w:val="0"/>
        <w:widowControl/>
        <w:suppressLineNumbers w:val="0"/>
        <w:ind w:firstLine="420" w:firstLineChars="200"/>
        <w:jc w:val="left"/>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auto"/>
          <w:sz w:val="21"/>
          <w:szCs w:val="20"/>
          <w:highlight w:val="none"/>
        </w:rPr>
        <w:t>注：▲中度影响，△轻度影响，空白为影响很小或无影响。</w:t>
      </w:r>
    </w:p>
    <w:p>
      <w:pPr>
        <w:pStyle w:val="4"/>
        <w:bidi w:val="0"/>
        <w:rPr>
          <w:rFonts w:hint="default" w:ascii="Times New Roman" w:hAnsi="Times New Roman" w:cs="Times New Roman"/>
          <w:highlight w:val="none"/>
          <w:lang w:val="en-US"/>
        </w:rPr>
      </w:pPr>
      <w:r>
        <w:rPr>
          <w:rFonts w:hint="default" w:ascii="Times New Roman" w:hAnsi="Times New Roman" w:cs="Times New Roman"/>
          <w:highlight w:val="none"/>
          <w:lang w:val="en-US"/>
        </w:rPr>
        <w:t>评价因子筛选</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根据项目现场调查及同类型调查分析，确定各环境影响要素的评价因子识别及筛选见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_Ref32338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表1.4-3</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和</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_Ref12786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表1.4-4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rPr>
      </w:pPr>
      <w:bookmarkStart w:id="43" w:name="_Ref32338"/>
      <w:r>
        <w:rPr>
          <w:rFonts w:hint="default" w:ascii="Times New Roman" w:hAnsi="Times New Roman" w:cs="Times New Roman"/>
          <w:highlight w:val="none"/>
          <w:lang w:val="en-US" w:eastAsia="zh-CN"/>
        </w:rPr>
        <w:t>本项目环境影响评价因子识别</w:t>
      </w:r>
      <w:bookmarkEnd w:id="43"/>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5"/>
        <w:gridCol w:w="1845"/>
        <w:gridCol w:w="1846"/>
        <w:gridCol w:w="1846"/>
        <w:gridCol w:w="1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1999"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施工期</w:t>
            </w:r>
          </w:p>
        </w:tc>
        <w:tc>
          <w:tcPr>
            <w:tcW w:w="2000"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运行期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污染类别</w:t>
            </w:r>
          </w:p>
        </w:tc>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污染物</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污染因子</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污染物</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大气环境</w:t>
            </w:r>
          </w:p>
        </w:tc>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施工扬尘</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颗粒物</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restar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废水</w:t>
            </w:r>
          </w:p>
        </w:tc>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施工废水</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SS、石油类</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生活污水</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COD、氨氮</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噪声</w:t>
            </w:r>
          </w:p>
        </w:tc>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施工机械</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等效连续A声级</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c>
          <w:tcPr>
            <w:tcW w:w="100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restar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固体废物</w:t>
            </w:r>
          </w:p>
        </w:tc>
        <w:tc>
          <w:tcPr>
            <w:tcW w:w="1999"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生活垃圾</w:t>
            </w:r>
          </w:p>
        </w:tc>
        <w:tc>
          <w:tcPr>
            <w:tcW w:w="2000" w:type="pct"/>
            <w:gridSpan w:val="2"/>
            <w:vMerge w:val="restar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1999"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建筑垃圾</w:t>
            </w:r>
          </w:p>
        </w:tc>
        <w:tc>
          <w:tcPr>
            <w:tcW w:w="2000" w:type="pct"/>
            <w:gridSpan w:val="2"/>
            <w:vMerge w:val="continue"/>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地下水</w:t>
            </w:r>
          </w:p>
        </w:tc>
        <w:tc>
          <w:tcPr>
            <w:tcW w:w="1999"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c>
          <w:tcPr>
            <w:tcW w:w="2000"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地下水位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生态</w:t>
            </w:r>
          </w:p>
        </w:tc>
        <w:tc>
          <w:tcPr>
            <w:tcW w:w="1999"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管线沿线林地、动植物、水库和下游水生生态</w:t>
            </w:r>
          </w:p>
        </w:tc>
        <w:tc>
          <w:tcPr>
            <w:tcW w:w="2000" w:type="pct"/>
            <w:gridSpan w:val="2"/>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管线沿线林地、动植物、水库和下游水生生态</w:t>
            </w:r>
          </w:p>
        </w:tc>
      </w:tr>
    </w:tbl>
    <w:p>
      <w:pPr>
        <w:rPr>
          <w:rFonts w:hint="default" w:ascii="Times New Roman" w:hAnsi="Times New Roman" w:cs="Times New Roman"/>
          <w:highlight w:val="none"/>
        </w:rPr>
      </w:pPr>
      <w:bookmarkStart w:id="44" w:name="_Ref32345"/>
      <w:r>
        <w:rPr>
          <w:rFonts w:hint="default" w:ascii="Times New Roman" w:hAnsi="Times New Roman" w:cs="Times New Roman"/>
          <w:highlight w:val="none"/>
        </w:rPr>
        <w:br w:type="page"/>
      </w:r>
    </w:p>
    <w:p>
      <w:pPr>
        <w:pStyle w:val="21"/>
        <w:bidi w:val="0"/>
        <w:rPr>
          <w:rFonts w:hint="default" w:ascii="Times New Roman" w:hAnsi="Times New Roman" w:cs="Times New Roman"/>
          <w:highlight w:val="none"/>
        </w:rPr>
      </w:pPr>
      <w:bookmarkStart w:id="45" w:name="_Ref12786"/>
      <w:r>
        <w:rPr>
          <w:rFonts w:hint="default" w:ascii="Times New Roman" w:hAnsi="Times New Roman" w:cs="Times New Roman"/>
          <w:highlight w:val="none"/>
        </w:rPr>
        <w:t>本项目环境影响评价因子筛选</w:t>
      </w:r>
      <w:bookmarkEnd w:id="44"/>
      <w:bookmarkEnd w:id="45"/>
    </w:p>
    <w:tbl>
      <w:tblPr>
        <w:tblStyle w:val="1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1454"/>
        <w:gridCol w:w="4005"/>
        <w:gridCol w:w="35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环境要素</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现状评价因子</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影响预测因子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大气环境</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en-US"/>
              </w:rPr>
              <w:t>PM</w:t>
            </w:r>
            <w:r>
              <w:rPr>
                <w:rFonts w:hint="default" w:ascii="Times New Roman" w:hAnsi="Times New Roman" w:cs="Times New Roman"/>
                <w:highlight w:val="none"/>
                <w:vertAlign w:val="subscript"/>
                <w:lang w:val="en-US" w:eastAsia="en-US"/>
              </w:rPr>
              <w:t>10</w:t>
            </w:r>
            <w:r>
              <w:rPr>
                <w:rFonts w:hint="default" w:ascii="Times New Roman" w:hAnsi="Times New Roman" w:cs="Times New Roman"/>
                <w:highlight w:val="none"/>
                <w:lang w:val="en-US" w:eastAsia="en-US"/>
              </w:rPr>
              <w:t>、PM</w:t>
            </w:r>
            <w:r>
              <w:rPr>
                <w:rFonts w:hint="default" w:ascii="Times New Roman" w:hAnsi="Times New Roman" w:cs="Times New Roman"/>
                <w:highlight w:val="none"/>
                <w:vertAlign w:val="subscript"/>
                <w:lang w:val="en-US" w:eastAsia="en-US"/>
              </w:rPr>
              <w:t>2</w:t>
            </w:r>
            <w:r>
              <w:rPr>
                <w:rFonts w:hint="default" w:ascii="Times New Roman" w:hAnsi="Times New Roman" w:cs="Times New Roman"/>
                <w:highlight w:val="none"/>
                <w:vertAlign w:val="subscript"/>
                <w:lang w:val="en-US" w:eastAsia="zh-CN"/>
              </w:rPr>
              <w:t>.</w:t>
            </w:r>
            <w:r>
              <w:rPr>
                <w:rFonts w:hint="default" w:ascii="Times New Roman" w:hAnsi="Times New Roman" w:cs="Times New Roman"/>
                <w:highlight w:val="none"/>
                <w:vertAlign w:val="subscript"/>
                <w:lang w:val="en-US" w:eastAsia="en-US"/>
              </w:rPr>
              <w:t>5</w:t>
            </w:r>
            <w:r>
              <w:rPr>
                <w:rFonts w:hint="default" w:ascii="Times New Roman" w:hAnsi="Times New Roman" w:cs="Times New Roman"/>
                <w:highlight w:val="none"/>
                <w:lang w:val="en-US" w:eastAsia="en-US"/>
              </w:rPr>
              <w:t>、S</w:t>
            </w:r>
            <w:r>
              <w:rPr>
                <w:rFonts w:hint="default" w:ascii="Times New Roman" w:hAnsi="Times New Roman" w:cs="Times New Roman"/>
                <w:highlight w:val="none"/>
                <w:lang w:val="en-US" w:eastAsia="zh-CN"/>
              </w:rPr>
              <w:t>O</w:t>
            </w:r>
            <w:r>
              <w:rPr>
                <w:rFonts w:hint="default" w:ascii="Times New Roman" w:hAnsi="Times New Roman" w:cs="Times New Roman"/>
                <w:highlight w:val="none"/>
                <w:vertAlign w:val="subscript"/>
                <w:lang w:val="en-US" w:eastAsia="en-US"/>
              </w:rPr>
              <w:t>2</w:t>
            </w:r>
            <w:r>
              <w:rPr>
                <w:rFonts w:hint="default" w:ascii="Times New Roman" w:hAnsi="Times New Roman" w:cs="Times New Roman"/>
                <w:highlight w:val="none"/>
                <w:lang w:val="en-US" w:eastAsia="en-US"/>
              </w:rPr>
              <w:t>、N</w:t>
            </w:r>
            <w:r>
              <w:rPr>
                <w:rFonts w:hint="default" w:ascii="Times New Roman" w:hAnsi="Times New Roman" w:cs="Times New Roman"/>
                <w:highlight w:val="none"/>
                <w:lang w:val="en-US" w:eastAsia="zh-CN"/>
              </w:rPr>
              <w:t>O</w:t>
            </w:r>
            <w:r>
              <w:rPr>
                <w:rFonts w:hint="default" w:ascii="Times New Roman" w:hAnsi="Times New Roman" w:cs="Times New Roman"/>
                <w:highlight w:val="none"/>
                <w:vertAlign w:val="subscript"/>
                <w:lang w:val="en-US" w:eastAsia="en-US"/>
              </w:rPr>
              <w:t>2</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CO、O</w:t>
            </w:r>
            <w:r>
              <w:rPr>
                <w:rFonts w:hint="default" w:ascii="Times New Roman" w:hAnsi="Times New Roman" w:cs="Times New Roman"/>
                <w:highlight w:val="none"/>
                <w:vertAlign w:val="subscript"/>
                <w:lang w:val="en-US" w:eastAsia="zh-CN"/>
              </w:rPr>
              <w:t>3</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地表水</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水面面积、水量、径流过程、水位、水深、冲淤变化、富营养化（叶绿素a）、水域面积、蓄水量及水力停留时间</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水量、富营养化（叶绿素a）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环境噪声</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en-US"/>
              </w:rPr>
              <w:t>Leq</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en-US"/>
              </w:rPr>
              <w:t>Leq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固体废物</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地下水</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K</w:t>
            </w:r>
            <w:r>
              <w:rPr>
                <w:rFonts w:hint="default" w:ascii="Times New Roman" w:hAnsi="Times New Roman" w:cs="Times New Roman"/>
                <w:highlight w:val="none"/>
                <w:vertAlign w:val="superscript"/>
                <w:lang w:val="en-US" w:eastAsia="zh-CN"/>
              </w:rPr>
              <w:t>+</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Na</w:t>
            </w:r>
            <w:r>
              <w:rPr>
                <w:rFonts w:hint="default" w:ascii="Times New Roman" w:hAnsi="Times New Roman" w:cs="Times New Roman"/>
                <w:highlight w:val="none"/>
                <w:vertAlign w:val="superscript"/>
                <w:lang w:val="en-US" w:eastAsia="zh-CN"/>
              </w:rPr>
              <w:t>+</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Ca</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Mg</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en-US"/>
              </w:rPr>
              <w:t>、</w:t>
            </w:r>
            <w:r>
              <w:rPr>
                <w:rFonts w:hint="default" w:ascii="Times New Roman" w:hAnsi="Times New Roman" w:cs="Times New Roman"/>
                <w:highlight w:val="none"/>
              </w:rPr>
              <w:t>CO</w:t>
            </w:r>
            <w:r>
              <w:rPr>
                <w:rFonts w:hint="default" w:ascii="Times New Roman" w:hAnsi="Times New Roman" w:cs="Times New Roman"/>
                <w:highlight w:val="none"/>
                <w:vertAlign w:val="subscript"/>
              </w:rPr>
              <w:t>3</w:t>
            </w:r>
            <w:r>
              <w:rPr>
                <w:rFonts w:hint="default" w:ascii="Times New Roman" w:hAnsi="Times New Roman" w:cs="Times New Roman"/>
                <w:highlight w:val="none"/>
                <w:vertAlign w:val="superscript"/>
              </w:rPr>
              <w:t>2-</w:t>
            </w:r>
            <w:r>
              <w:rPr>
                <w:rFonts w:hint="default" w:ascii="Times New Roman" w:hAnsi="Times New Roman" w:cs="Times New Roman"/>
                <w:highlight w:val="none"/>
                <w:lang w:val="en-US" w:eastAsia="en-US"/>
              </w:rPr>
              <w:t>、</w:t>
            </w:r>
            <w:r>
              <w:rPr>
                <w:rFonts w:hint="default" w:ascii="Times New Roman" w:hAnsi="Times New Roman" w:cs="Times New Roman"/>
                <w:highlight w:val="none"/>
              </w:rPr>
              <w:t>HCO</w:t>
            </w:r>
            <w:r>
              <w:rPr>
                <w:rFonts w:hint="default" w:ascii="Times New Roman" w:hAnsi="Times New Roman" w:cs="Times New Roman"/>
                <w:highlight w:val="none"/>
                <w:vertAlign w:val="subscript"/>
              </w:rPr>
              <w:t>3</w:t>
            </w:r>
            <w:r>
              <w:rPr>
                <w:rFonts w:hint="default" w:ascii="Times New Roman" w:hAnsi="Times New Roman" w:cs="Times New Roman"/>
                <w:highlight w:val="none"/>
                <w:vertAlign w:val="superscript"/>
              </w:rPr>
              <w:t>-</w:t>
            </w:r>
            <w:r>
              <w:rPr>
                <w:rFonts w:hint="default" w:ascii="Times New Roman" w:hAnsi="Times New Roman" w:cs="Times New Roman"/>
                <w:highlight w:val="none"/>
                <w:lang w:val="en-US" w:eastAsia="en-US"/>
              </w:rPr>
              <w:t>、</w:t>
            </w:r>
            <w:r>
              <w:rPr>
                <w:rFonts w:hint="default" w:ascii="Times New Roman" w:hAnsi="Times New Roman" w:cs="Times New Roman"/>
                <w:highlight w:val="none"/>
              </w:rPr>
              <w:t>Cl</w:t>
            </w:r>
            <w:r>
              <w:rPr>
                <w:rFonts w:hint="default" w:ascii="Times New Roman" w:hAnsi="Times New Roman" w:cs="Times New Roman"/>
                <w:highlight w:val="none"/>
                <w:vertAlign w:val="superscript"/>
              </w:rPr>
              <w:t>-</w:t>
            </w:r>
            <w:r>
              <w:rPr>
                <w:rFonts w:hint="default" w:ascii="Times New Roman" w:hAnsi="Times New Roman" w:cs="Times New Roman"/>
                <w:highlight w:val="none"/>
                <w:lang w:val="en-US" w:eastAsia="en-US"/>
              </w:rPr>
              <w:t>、</w:t>
            </w:r>
            <w:r>
              <w:rPr>
                <w:rFonts w:hint="default" w:ascii="Times New Roman" w:hAnsi="Times New Roman" w:cs="Times New Roman"/>
                <w:highlight w:val="none"/>
              </w:rPr>
              <w:t>SO</w:t>
            </w:r>
            <w:r>
              <w:rPr>
                <w:rFonts w:hint="default" w:ascii="Times New Roman" w:hAnsi="Times New Roman" w:cs="Times New Roman"/>
                <w:highlight w:val="none"/>
                <w:vertAlign w:val="subscript"/>
              </w:rPr>
              <w:t>4</w:t>
            </w:r>
            <w:r>
              <w:rPr>
                <w:rFonts w:hint="default" w:ascii="Times New Roman" w:hAnsi="Times New Roman" w:cs="Times New Roman"/>
                <w:highlight w:val="none"/>
                <w:vertAlign w:val="superscript"/>
              </w:rPr>
              <w:t>2-</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pH值</w:t>
            </w:r>
            <w:r>
              <w:rPr>
                <w:rFonts w:hint="default" w:ascii="Times New Roman" w:hAnsi="Times New Roman" w:cs="Times New Roman"/>
                <w:highlight w:val="none"/>
                <w:lang w:val="en-US" w:eastAsia="en-US"/>
              </w:rPr>
              <w:t>、</w:t>
            </w:r>
            <w:r>
              <w:rPr>
                <w:rFonts w:hint="default" w:ascii="Times New Roman" w:hAnsi="Times New Roman" w:cs="Times New Roman"/>
                <w:highlight w:val="none"/>
              </w:rPr>
              <w:t>氨氮</w:t>
            </w:r>
            <w:r>
              <w:rPr>
                <w:rFonts w:hint="default" w:ascii="Times New Roman" w:hAnsi="Times New Roman" w:cs="Times New Roman"/>
                <w:highlight w:val="none"/>
                <w:lang w:val="en-US" w:eastAsia="en-US"/>
              </w:rPr>
              <w:t>、</w:t>
            </w:r>
            <w:r>
              <w:rPr>
                <w:rFonts w:hint="default" w:ascii="Times New Roman" w:hAnsi="Times New Roman" w:cs="Times New Roman"/>
                <w:highlight w:val="none"/>
              </w:rPr>
              <w:t>硝酸盐（氮）</w:t>
            </w:r>
            <w:r>
              <w:rPr>
                <w:rFonts w:hint="default" w:ascii="Times New Roman" w:hAnsi="Times New Roman" w:cs="Times New Roman"/>
                <w:highlight w:val="none"/>
                <w:lang w:val="en-US" w:eastAsia="en-US"/>
              </w:rPr>
              <w:t>、</w:t>
            </w:r>
            <w:r>
              <w:rPr>
                <w:rFonts w:hint="default" w:ascii="Times New Roman" w:hAnsi="Times New Roman" w:cs="Times New Roman"/>
                <w:highlight w:val="none"/>
              </w:rPr>
              <w:t>亚硝酸盐氮</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挥发酚</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氰化物</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砷</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汞</w:t>
            </w:r>
            <w:r>
              <w:rPr>
                <w:rFonts w:hint="default" w:ascii="Times New Roman" w:hAnsi="Times New Roman" w:cs="Times New Roman"/>
                <w:highlight w:val="none"/>
                <w:lang w:val="en-US" w:eastAsia="en-US"/>
              </w:rPr>
              <w:t>、</w:t>
            </w:r>
            <w:r>
              <w:rPr>
                <w:rFonts w:hint="default" w:ascii="Times New Roman" w:hAnsi="Times New Roman" w:cs="Times New Roman"/>
                <w:highlight w:val="none"/>
                <w:lang w:val="en-US" w:eastAsia="zh-CN"/>
              </w:rPr>
              <w:t>六价铬、总硬度、铅、</w:t>
            </w:r>
            <w:r>
              <w:rPr>
                <w:rFonts w:hint="default" w:ascii="Times New Roman" w:hAnsi="Times New Roman" w:cs="Times New Roman"/>
                <w:highlight w:val="none"/>
              </w:rPr>
              <w:t>氟化物</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镉、铁、耗氧量、硫酸盐、氯化物、</w:t>
            </w:r>
            <w:r>
              <w:rPr>
                <w:rFonts w:hint="default" w:ascii="Times New Roman" w:hAnsi="Times New Roman" w:cs="Times New Roman"/>
                <w:highlight w:val="none"/>
              </w:rPr>
              <w:t>细菌总数</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总大肠菌群</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0" w:hRule="atLeast"/>
          <w:jc w:val="center"/>
        </w:trPr>
        <w:tc>
          <w:tcPr>
            <w:tcW w:w="80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生态</w:t>
            </w:r>
          </w:p>
        </w:tc>
        <w:tc>
          <w:tcPr>
            <w:tcW w:w="2216"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土地利用、植被等</w:t>
            </w:r>
          </w:p>
        </w:tc>
        <w:tc>
          <w:tcPr>
            <w:tcW w:w="197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占地、植被破坏、水土流失等</w:t>
            </w:r>
          </w:p>
        </w:tc>
      </w:tr>
    </w:tbl>
    <w:p>
      <w:pPr>
        <w:pStyle w:val="3"/>
        <w:bidi w:val="0"/>
        <w:rPr>
          <w:rFonts w:hint="default" w:ascii="Times New Roman" w:hAnsi="Times New Roman" w:cs="Times New Roman"/>
          <w:highlight w:val="none"/>
        </w:rPr>
      </w:pPr>
      <w:bookmarkStart w:id="46" w:name="_Toc18247"/>
      <w:bookmarkStart w:id="47" w:name="_Toc26500"/>
      <w:r>
        <w:rPr>
          <w:rFonts w:hint="default" w:ascii="Times New Roman" w:hAnsi="Times New Roman" w:cs="Times New Roman"/>
          <w:highlight w:val="none"/>
          <w:lang w:val="en-US" w:eastAsia="zh-CN"/>
        </w:rPr>
        <w:t>评价等级、评价范围及评价时段</w:t>
      </w:r>
      <w:bookmarkEnd w:id="46"/>
      <w:bookmarkEnd w:id="47"/>
    </w:p>
    <w:p>
      <w:pPr>
        <w:pStyle w:val="4"/>
        <w:bidi w:val="0"/>
        <w:ind w:left="720" w:leftChars="0" w:hanging="72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评价等级</w:t>
      </w:r>
    </w:p>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地表水环境评价等级</w:t>
      </w:r>
    </w:p>
    <w:p>
      <w:pPr>
        <w:tabs>
          <w:tab w:val="left" w:pos="0"/>
        </w:tabs>
        <w:bidi w:val="0"/>
        <w:jc w:val="both"/>
        <w:rPr>
          <w:rFonts w:hint="default" w:ascii="Times New Roman" w:hAnsi="Times New Roman" w:cs="Times New Roman"/>
          <w:color w:val="auto"/>
          <w:highlight w:val="none"/>
          <w:lang w:val="en-US" w:eastAsia="zh-CN"/>
        </w:rPr>
      </w:pPr>
      <w:r>
        <w:rPr>
          <w:rFonts w:hint="default" w:ascii="Times New Roman" w:hAnsi="Times New Roman" w:cs="Times New Roman"/>
          <w:highlight w:val="none"/>
          <w:lang w:val="en-US" w:eastAsia="zh-CN"/>
        </w:rPr>
        <w:t>本工程运行期取水对水体水文要素产生影响，因此本工程属水文要素影响型建设项目。根据项目可行性研究报告，管阳水厂从上安水库取水3300m³/d(0.038m³/s)，上安水库多年平均径流量为0.064m³/s，取水量占上安水库多年平均流量的59.4%；西阳水厂主要从天竹水库和</w:t>
      </w:r>
      <w:r>
        <w:rPr>
          <w:rFonts w:hint="default" w:ascii="Times New Roman" w:hAnsi="Times New Roman" w:eastAsia="宋体" w:cs="Times New Roman"/>
          <w:spacing w:val="-11"/>
          <w:sz w:val="24"/>
          <w:szCs w:val="24"/>
          <w:highlight w:val="none"/>
          <w:lang w:eastAsia="zh-CN"/>
        </w:rPr>
        <w:t>龙井溪山涧水</w:t>
      </w:r>
      <w:r>
        <w:rPr>
          <w:rFonts w:hint="default" w:ascii="Times New Roman" w:hAnsi="Times New Roman" w:eastAsia="宋体" w:cs="Times New Roman"/>
          <w:spacing w:val="-11"/>
          <w:sz w:val="24"/>
          <w:szCs w:val="24"/>
          <w:highlight w:val="none"/>
          <w:lang w:val="en-US" w:eastAsia="zh-CN"/>
        </w:rPr>
        <w:t>取水（天竹水库不足以供应新建水厂，增加龙井溪山涧水为供应水源）</w:t>
      </w:r>
      <w:r>
        <w:rPr>
          <w:rFonts w:hint="default" w:ascii="Times New Roman" w:hAnsi="Times New Roman" w:cs="Times New Roman"/>
          <w:highlight w:val="none"/>
          <w:lang w:val="en-US" w:eastAsia="zh-CN"/>
        </w:rPr>
        <w:t>，取水量为3850m³/d(0.045m³/s)，天竹水库多年平均径流量为0.035m³/s，龙井溪多年平均径流量为0.191m³/s。依据《环境影响评价技术导则—地表水环境》（HJ2.3-2018），本项目评价等级为一级。</w:t>
      </w:r>
      <w:r>
        <w:rPr>
          <w:rFonts w:hint="default" w:ascii="Times New Roman" w:hAnsi="Times New Roman" w:cs="Times New Roman"/>
          <w:color w:val="auto"/>
          <w:highlight w:val="none"/>
          <w:lang w:val="en-US" w:eastAsia="zh-CN"/>
        </w:rPr>
        <w:t>水文要素型建设项目评价等级判定见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_Ref1985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21"/>
        <w:bidi w:val="0"/>
        <w:rPr>
          <w:rFonts w:hint="default" w:ascii="Times New Roman" w:hAnsi="Times New Roman" w:cs="Times New Roman"/>
          <w:highlight w:val="none"/>
          <w:lang w:val="en-US" w:eastAsia="zh-CN"/>
        </w:rPr>
      </w:pPr>
      <w:bookmarkStart w:id="48" w:name="_Ref1985"/>
      <w:r>
        <w:rPr>
          <w:rFonts w:hint="default" w:ascii="Times New Roman" w:hAnsi="Times New Roman" w:cs="Times New Roman"/>
          <w:highlight w:val="none"/>
          <w:lang w:val="en-US" w:eastAsia="zh-CN"/>
        </w:rPr>
        <w:t>水文要素型建设项目评价等级判定表</w:t>
      </w:r>
      <w:bookmarkEnd w:id="48"/>
    </w:p>
    <w:tbl>
      <w:tblPr>
        <w:tblStyle w:val="1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3780"/>
        <w:gridCol w:w="1548"/>
        <w:gridCol w:w="1548"/>
        <w:gridCol w:w="15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Merge w:val="restart"/>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评价等级</w:t>
            </w:r>
          </w:p>
        </w:tc>
        <w:tc>
          <w:tcPr>
            <w:tcW w:w="3780"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径流</w:t>
            </w:r>
          </w:p>
        </w:tc>
        <w:tc>
          <w:tcPr>
            <w:tcW w:w="4644" w:type="dxa"/>
            <w:gridSpan w:val="3"/>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Merge w:val="continue"/>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p>
        </w:tc>
        <w:tc>
          <w:tcPr>
            <w:tcW w:w="3780"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取水量占多年平均径流量百分比γ/%</w:t>
            </w:r>
          </w:p>
        </w:tc>
        <w:tc>
          <w:tcPr>
            <w:tcW w:w="154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上安水库γ/%</w:t>
            </w:r>
          </w:p>
        </w:tc>
        <w:tc>
          <w:tcPr>
            <w:tcW w:w="154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天竹水库γ/%</w:t>
            </w:r>
          </w:p>
        </w:tc>
        <w:tc>
          <w:tcPr>
            <w:tcW w:w="154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龙井溪γ/%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c>
          <w:tcPr>
            <w:tcW w:w="3780"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γ≥30</w:t>
            </w:r>
          </w:p>
        </w:tc>
        <w:tc>
          <w:tcPr>
            <w:tcW w:w="1548" w:type="dxa"/>
            <w:vMerge w:val="restart"/>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59.4</w:t>
            </w:r>
          </w:p>
        </w:tc>
        <w:tc>
          <w:tcPr>
            <w:tcW w:w="3096" w:type="dxa"/>
            <w:gridSpan w:val="2"/>
            <w:vMerge w:val="restart"/>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3780"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30＞γ＞10</w:t>
            </w:r>
          </w:p>
        </w:tc>
        <w:tc>
          <w:tcPr>
            <w:tcW w:w="1548" w:type="dxa"/>
            <w:vMerge w:val="continue"/>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p>
        </w:tc>
        <w:tc>
          <w:tcPr>
            <w:tcW w:w="3096" w:type="dxa"/>
            <w:gridSpan w:val="2"/>
            <w:vMerge w:val="continue"/>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c>
          <w:tcPr>
            <w:tcW w:w="3780" w:type="dxa"/>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γ≤10</w:t>
            </w:r>
          </w:p>
        </w:tc>
        <w:tc>
          <w:tcPr>
            <w:tcW w:w="1548" w:type="dxa"/>
            <w:vMerge w:val="continue"/>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p>
        </w:tc>
        <w:tc>
          <w:tcPr>
            <w:tcW w:w="3096" w:type="dxa"/>
            <w:gridSpan w:val="2"/>
            <w:vMerge w:val="continue"/>
            <w:tcBorders>
              <w:tl2br w:val="nil"/>
              <w:tr2bl w:val="nil"/>
            </w:tcBorders>
            <w:vAlign w:val="center"/>
          </w:tcPr>
          <w:p>
            <w:pPr>
              <w:pStyle w:val="19"/>
              <w:bidi w:val="0"/>
              <w:jc w:val="center"/>
              <w:rPr>
                <w:rFonts w:hint="default" w:ascii="Times New Roman" w:hAnsi="Times New Roman" w:cs="Times New Roman"/>
                <w:kern w:val="0"/>
                <w:szCs w:val="20"/>
                <w:highlight w:val="none"/>
                <w:lang w:val="en-US" w:eastAsia="zh-CN"/>
              </w:rPr>
            </w:pPr>
          </w:p>
        </w:tc>
      </w:tr>
    </w:tbl>
    <w:p>
      <w:pPr>
        <w:rPr>
          <w:rFonts w:hint="default" w:ascii="Times New Roman" w:hAnsi="Times New Roman" w:cs="Times New Roman"/>
          <w:highlight w:val="none"/>
          <w:lang w:val="en-US" w:eastAsia="zh-CN"/>
        </w:rPr>
      </w:pPr>
    </w:p>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地下水环境评价等级</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本工程分两个区域建设，根据《环境影响评价技术导则 地下水环境》（HJ 610-2016）判定原则“6.2.2.3 当同一建设项目涉及两个或两个以上场地时，各场地应分别判定评价工作等级,并按相应等级开展评价工作”、“6.2.2.4 线性工程根据所涉地下水环境敏感程度和主要站场位置(如输油站、泵站、加油站、机务段、服务站等)进行分段判定评价等级，并按相应等级分别开展评价工作”，按上述原则，本工程属水利中引水工程，项目类别为III类，管线工程位于水源地下游，区域不涉及地下水集中供水水源及补给径流区，无地下水环境保护目标，地下水敏感程度为“不敏感”，地下水环境评价工作等级为三级。</w:t>
      </w:r>
    </w:p>
    <w:p>
      <w:pPr>
        <w:tabs>
          <w:tab w:val="left" w:pos="0"/>
        </w:tabs>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工程</w:t>
      </w:r>
      <w:r>
        <w:rPr>
          <w:rFonts w:hint="default" w:ascii="Times New Roman" w:hAnsi="Times New Roman" w:cs="Times New Roman"/>
          <w:color w:val="auto"/>
          <w:highlight w:val="none"/>
        </w:rPr>
        <w:t>地下水环境影响评价工作等级的划分见</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_Ref2083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表1.5-2</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rPr>
        <w:t>。</w:t>
      </w:r>
    </w:p>
    <w:p>
      <w:pPr>
        <w:pStyle w:val="21"/>
        <w:bidi w:val="0"/>
        <w:rPr>
          <w:rFonts w:hint="default" w:ascii="Times New Roman" w:hAnsi="Times New Roman" w:cs="Times New Roman"/>
          <w:highlight w:val="none"/>
        </w:rPr>
      </w:pPr>
      <w:bookmarkStart w:id="49" w:name="_Ref2083"/>
      <w:r>
        <w:rPr>
          <w:rFonts w:hint="default" w:ascii="Times New Roman" w:hAnsi="Times New Roman" w:cs="Times New Roman"/>
          <w:highlight w:val="none"/>
        </w:rPr>
        <w:t>项目评价工作等级分级</w:t>
      </w:r>
      <w:bookmarkEnd w:id="49"/>
    </w:p>
    <w:tbl>
      <w:tblPr>
        <w:tblStyle w:val="1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 w:type="dxa"/>
          <w:bottom w:w="0" w:type="dxa"/>
          <w:right w:w="10" w:type="dxa"/>
        </w:tblCellMar>
      </w:tblPr>
      <w:tblGrid>
        <w:gridCol w:w="2281"/>
        <w:gridCol w:w="781"/>
        <w:gridCol w:w="822"/>
        <w:gridCol w:w="867"/>
        <w:gridCol w:w="42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609" w:hRule="atLeast"/>
          <w:jc w:val="center"/>
        </w:trPr>
        <w:tc>
          <w:tcPr>
            <w:tcW w:w="126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环境敏感</w:t>
            </w:r>
            <w:r>
              <w:rPr>
                <w:rFonts w:hint="default" w:ascii="Times New Roman" w:hAnsi="Times New Roman" w:cs="Times New Roman"/>
                <w:highlight w:val="none"/>
                <w:lang w:val="en-US"/>
              </w:rPr>
              <w:t>程度</w:t>
            </w:r>
            <w:r>
              <w:rPr>
                <w:rFonts w:hint="default" w:ascii="Times New Roman" w:hAnsi="Times New Roman" w:cs="Times New Roman"/>
                <w:highlight w:val="none"/>
              </w:rPr>
              <w:t>项目类别</w:t>
            </w:r>
          </w:p>
        </w:tc>
        <w:tc>
          <w:tcPr>
            <w:tcW w:w="43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I类</w:t>
            </w:r>
          </w:p>
        </w:tc>
        <w:tc>
          <w:tcPr>
            <w:tcW w:w="45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eastAsia="zh-CN"/>
              </w:rPr>
              <w:t>Ⅱ</w:t>
            </w:r>
            <w:r>
              <w:rPr>
                <w:rFonts w:hint="default" w:ascii="Times New Roman" w:hAnsi="Times New Roman" w:cs="Times New Roman"/>
                <w:highlight w:val="none"/>
              </w:rPr>
              <w:t>类</w:t>
            </w:r>
          </w:p>
        </w:tc>
        <w:tc>
          <w:tcPr>
            <w:tcW w:w="480"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III类</w:t>
            </w:r>
          </w:p>
        </w:tc>
        <w:tc>
          <w:tcPr>
            <w:tcW w:w="2369"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本项目评价等级划分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3" w:hRule="exact"/>
          <w:jc w:val="center"/>
        </w:trPr>
        <w:tc>
          <w:tcPr>
            <w:tcW w:w="126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敏感</w:t>
            </w:r>
          </w:p>
        </w:tc>
        <w:tc>
          <w:tcPr>
            <w:tcW w:w="43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一</w:t>
            </w:r>
          </w:p>
        </w:tc>
        <w:tc>
          <w:tcPr>
            <w:tcW w:w="45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一</w:t>
            </w:r>
          </w:p>
        </w:tc>
        <w:tc>
          <w:tcPr>
            <w:tcW w:w="480"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二</w:t>
            </w:r>
          </w:p>
        </w:tc>
        <w:tc>
          <w:tcPr>
            <w:tcW w:w="2369" w:type="pct"/>
            <w:vMerge w:val="restar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不敏感，</w:t>
            </w:r>
            <w:r>
              <w:rPr>
                <w:rFonts w:hint="default" w:ascii="Times New Roman" w:hAnsi="Times New Roman" w:cs="Times New Roman"/>
                <w:highlight w:val="none"/>
                <w:lang w:val="en-US"/>
              </w:rPr>
              <w:t>III</w:t>
            </w:r>
            <w:r>
              <w:rPr>
                <w:rFonts w:hint="default" w:ascii="Times New Roman" w:hAnsi="Times New Roman" w:cs="Times New Roman"/>
                <w:highlight w:val="none"/>
              </w:rPr>
              <w:t>类，评价工作等级为三级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13" w:hRule="exact"/>
          <w:jc w:val="center"/>
        </w:trPr>
        <w:tc>
          <w:tcPr>
            <w:tcW w:w="126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较敏感</w:t>
            </w:r>
          </w:p>
        </w:tc>
        <w:tc>
          <w:tcPr>
            <w:tcW w:w="43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一</w:t>
            </w:r>
          </w:p>
        </w:tc>
        <w:tc>
          <w:tcPr>
            <w:tcW w:w="45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二</w:t>
            </w:r>
          </w:p>
        </w:tc>
        <w:tc>
          <w:tcPr>
            <w:tcW w:w="480"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三</w:t>
            </w:r>
          </w:p>
        </w:tc>
        <w:tc>
          <w:tcPr>
            <w:tcW w:w="2369" w:type="pct"/>
            <w:vMerge w:val="continue"/>
            <w:tcBorders>
              <w:tl2br w:val="nil"/>
              <w:tr2bl w:val="nil"/>
            </w:tcBorders>
            <w:noWrap w:val="0"/>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342" w:hRule="exact"/>
          <w:jc w:val="center"/>
        </w:trPr>
        <w:tc>
          <w:tcPr>
            <w:tcW w:w="126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不敏感</w:t>
            </w:r>
          </w:p>
        </w:tc>
        <w:tc>
          <w:tcPr>
            <w:tcW w:w="432"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二</w:t>
            </w:r>
          </w:p>
        </w:tc>
        <w:tc>
          <w:tcPr>
            <w:tcW w:w="455"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三</w:t>
            </w:r>
          </w:p>
        </w:tc>
        <w:tc>
          <w:tcPr>
            <w:tcW w:w="480"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三</w:t>
            </w:r>
          </w:p>
        </w:tc>
        <w:tc>
          <w:tcPr>
            <w:tcW w:w="2369" w:type="pct"/>
            <w:vMerge w:val="continue"/>
            <w:tcBorders>
              <w:tl2br w:val="nil"/>
              <w:tr2bl w:val="nil"/>
            </w:tcBorders>
            <w:noWrap w:val="0"/>
            <w:vAlign w:val="center"/>
          </w:tcPr>
          <w:p>
            <w:pPr>
              <w:pStyle w:val="19"/>
              <w:bidi w:val="0"/>
              <w:jc w:val="center"/>
              <w:rPr>
                <w:rFonts w:hint="default" w:ascii="Times New Roman" w:hAnsi="Times New Roman" w:cs="Times New Roman"/>
                <w:highlight w:val="none"/>
              </w:rPr>
            </w:pPr>
          </w:p>
        </w:tc>
      </w:tr>
    </w:tbl>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环境空气评价等级</w:t>
      </w:r>
    </w:p>
    <w:p>
      <w:pPr>
        <w:bidi w:val="0"/>
        <w:ind w:firstLine="480" w:firstLineChars="20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本项目为引水工程建设项目，施工期大气污染物主要为施工扬尘，属间断、分散排放且产生量小。运行期不产生大气污染物，依据《环境影响评价技术导则 大气环境》（HJ2.2-2018），大气环境影响评价工作等级为三级。</w:t>
      </w:r>
    </w:p>
    <w:p>
      <w:pPr>
        <w:pStyle w:val="21"/>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大气评价等级判别表</w:t>
      </w:r>
    </w:p>
    <w:tbl>
      <w:tblPr>
        <w:tblStyle w:val="16"/>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03"/>
        <w:gridCol w:w="70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193"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评价工作等级</w:t>
            </w:r>
          </w:p>
        </w:tc>
        <w:tc>
          <w:tcPr>
            <w:tcW w:w="3806"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评价工作分级依据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193"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一级</w:t>
            </w:r>
          </w:p>
        </w:tc>
        <w:tc>
          <w:tcPr>
            <w:tcW w:w="3806"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193"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二级</w:t>
            </w:r>
          </w:p>
        </w:tc>
        <w:tc>
          <w:tcPr>
            <w:tcW w:w="3806" w:type="pct"/>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193" w:type="pct"/>
            <w:shd w:val="pct20" w:color="auto" w:fill="auto"/>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三级</w:t>
            </w:r>
          </w:p>
        </w:tc>
        <w:tc>
          <w:tcPr>
            <w:tcW w:w="3806" w:type="pct"/>
            <w:shd w:val="pct20" w:color="auto" w:fill="auto"/>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Pmax＜1%</w:t>
            </w:r>
          </w:p>
        </w:tc>
      </w:tr>
    </w:tbl>
    <w:p>
      <w:pPr>
        <w:bidi w:val="0"/>
        <w:rPr>
          <w:rFonts w:hint="default" w:ascii="Times New Roman" w:hAnsi="Times New Roman" w:cs="Times New Roman"/>
          <w:highlight w:val="none"/>
          <w:lang w:val="en-US" w:eastAsia="zh-CN"/>
        </w:rPr>
      </w:pPr>
    </w:p>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声环境评价等级 </w:t>
      </w:r>
    </w:p>
    <w:p>
      <w:pPr>
        <w:bidi w:val="0"/>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color w:val="auto"/>
          <w:highlight w:val="none"/>
          <w:lang w:val="en-US" w:eastAsia="zh-CN"/>
        </w:rPr>
        <w:t>本工程位于乡村集镇周边区域，</w:t>
      </w:r>
      <w:r>
        <w:rPr>
          <w:rFonts w:hint="default" w:ascii="Times New Roman" w:hAnsi="Times New Roman" w:cs="Times New Roman"/>
          <w:color w:val="auto"/>
          <w:highlight w:val="none"/>
        </w:rPr>
        <w:t>区域</w:t>
      </w:r>
      <w:r>
        <w:rPr>
          <w:rFonts w:hint="default" w:ascii="Times New Roman" w:hAnsi="Times New Roman" w:cs="Times New Roman"/>
          <w:color w:val="auto"/>
          <w:szCs w:val="24"/>
          <w:highlight w:val="none"/>
        </w:rPr>
        <w:t>声环境</w:t>
      </w:r>
      <w:r>
        <w:rPr>
          <w:rFonts w:hint="default" w:ascii="Times New Roman" w:hAnsi="Times New Roman" w:cs="Times New Roman"/>
          <w:color w:val="auto"/>
          <w:szCs w:val="24"/>
          <w:highlight w:val="none"/>
          <w:lang w:val="en-US" w:eastAsia="zh-CN"/>
        </w:rPr>
        <w:t>功能执行</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w:t>
      </w:r>
      <w:r>
        <w:rPr>
          <w:rFonts w:hint="default" w:ascii="Times New Roman" w:hAnsi="Times New Roman" w:cs="Times New Roman"/>
          <w:color w:val="auto"/>
          <w:highlight w:val="none"/>
          <w:lang w:val="en-US" w:eastAsia="zh-CN"/>
        </w:rPr>
        <w:t>声环境功能区</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项目建设前后评价范围内</w:t>
      </w:r>
      <w:r>
        <w:rPr>
          <w:rFonts w:hint="default" w:ascii="Times New Roman" w:hAnsi="Times New Roman" w:cs="Times New Roman"/>
          <w:color w:val="auto"/>
          <w:highlight w:val="none"/>
        </w:rPr>
        <w:t>受</w:t>
      </w:r>
      <w:r>
        <w:rPr>
          <w:rFonts w:hint="default" w:ascii="Times New Roman" w:hAnsi="Times New Roman" w:cs="Times New Roman"/>
          <w:color w:val="auto"/>
          <w:highlight w:val="none"/>
          <w:lang w:val="en-US" w:eastAsia="zh-CN"/>
        </w:rPr>
        <w:t>噪声</w:t>
      </w:r>
      <w:r>
        <w:rPr>
          <w:rFonts w:hint="default" w:ascii="Times New Roman" w:hAnsi="Times New Roman" w:cs="Times New Roman"/>
          <w:color w:val="auto"/>
          <w:highlight w:val="none"/>
        </w:rPr>
        <w:t>影响人口数量</w:t>
      </w:r>
      <w:r>
        <w:rPr>
          <w:rFonts w:hint="default" w:ascii="Times New Roman" w:hAnsi="Times New Roman" w:cs="Times New Roman"/>
          <w:color w:val="auto"/>
          <w:highlight w:val="none"/>
          <w:lang w:val="en-US" w:eastAsia="zh-CN"/>
        </w:rPr>
        <w:t>变化量不大</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项目建设前后评价范围内噪声敏感目标噪声级增高量达3~5dB(A)，</w:t>
      </w:r>
      <w:r>
        <w:rPr>
          <w:rFonts w:hint="default" w:ascii="Times New Roman" w:hAnsi="Times New Roman" w:cs="Times New Roman"/>
          <w:color w:val="auto"/>
          <w:highlight w:val="none"/>
        </w:rPr>
        <w:t>根据《环境影响评价技术导则－声环境》（HJ/T2.4-2009）的规定，声环境评价工作等级为</w:t>
      </w:r>
      <w:r>
        <w:rPr>
          <w:rFonts w:hint="default" w:ascii="Times New Roman" w:hAnsi="Times New Roman" w:cs="Times New Roman"/>
          <w:color w:val="auto"/>
          <w:highlight w:val="none"/>
          <w:lang w:val="en-US" w:eastAsia="zh-CN"/>
        </w:rPr>
        <w:t>二</w:t>
      </w:r>
      <w:r>
        <w:rPr>
          <w:rFonts w:hint="default" w:ascii="Times New Roman" w:hAnsi="Times New Roman" w:cs="Times New Roman"/>
          <w:color w:val="auto"/>
          <w:highlight w:val="none"/>
        </w:rPr>
        <w:t>级。</w:t>
      </w:r>
    </w:p>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生态环境评价等级 </w:t>
      </w:r>
    </w:p>
    <w:p>
      <w:pPr>
        <w:bidi w:val="0"/>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本工程所经区域生态敏感为一般区域，</w:t>
      </w:r>
      <w:r>
        <w:rPr>
          <w:rFonts w:hint="default" w:ascii="Times New Roman" w:hAnsi="Times New Roman" w:cs="Times New Roman"/>
          <w:color w:val="auto"/>
          <w:highlight w:val="none"/>
          <w:lang w:val="en-US" w:eastAsia="zh-CN"/>
        </w:rPr>
        <w:t>原水及配水管线累积长度约50.588km，</w:t>
      </w:r>
      <w:r>
        <w:rPr>
          <w:rFonts w:hint="default" w:ascii="Times New Roman" w:hAnsi="Times New Roman" w:cs="Times New Roman"/>
          <w:highlight w:val="none"/>
          <w:lang w:val="en-US" w:eastAsia="zh-CN"/>
        </w:rPr>
        <w:t>按照《环境影响评价技术导则 生态影响》（HJ 19-2011）中生态环境影响评价分级的要求，本工程生态影响评价工作等级为三级。生态影响评价工作等级划分见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_Ref2723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表1.5-4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lang w:val="en-US" w:eastAsia="zh-CN"/>
        </w:rPr>
      </w:pPr>
      <w:bookmarkStart w:id="50" w:name="_Ref2723"/>
      <w:r>
        <w:rPr>
          <w:rFonts w:hint="default" w:ascii="Times New Roman" w:hAnsi="Times New Roman" w:cs="Times New Roman"/>
          <w:highlight w:val="none"/>
          <w:lang w:val="en-US" w:eastAsia="zh-CN"/>
        </w:rPr>
        <w:t>生态影响评价工作等级划分表</w:t>
      </w:r>
      <w:bookmarkEnd w:id="50"/>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6"/>
        <w:gridCol w:w="2308"/>
        <w:gridCol w:w="2309"/>
        <w:gridCol w:w="2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restar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影响区域生态敏感性</w:t>
            </w:r>
          </w:p>
        </w:tc>
        <w:tc>
          <w:tcPr>
            <w:tcW w:w="3750" w:type="pct"/>
            <w:gridSpan w:val="3"/>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工程占地（含水域）范围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vMerge w:val="continue"/>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面积≥20km²</w:t>
            </w:r>
          </w:p>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或长度≥100km</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面积2~20km²</w:t>
            </w:r>
          </w:p>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或长度50~100km</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面积≤2km²</w:t>
            </w:r>
          </w:p>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或长度≤50km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特殊生态敏感区</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重要生态敏感区</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一般区域</w:t>
            </w:r>
          </w:p>
        </w:tc>
        <w:tc>
          <w:tcPr>
            <w:tcW w:w="1250"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shd w:val="pct20"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c>
          <w:tcPr>
            <w:tcW w:w="1250"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r>
    </w:tbl>
    <w:p>
      <w:pPr>
        <w:pStyle w:val="5"/>
        <w:bidi w:val="0"/>
        <w:ind w:left="864" w:leftChars="0" w:hanging="864"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土壤环境评价等级</w:t>
      </w:r>
    </w:p>
    <w:p>
      <w:pPr>
        <w:bidi w:val="0"/>
        <w:rPr>
          <w:rFonts w:hint="default" w:ascii="Times New Roman" w:hAnsi="Times New Roman" w:cs="Times New Roman"/>
          <w:highlight w:val="none"/>
        </w:rPr>
      </w:pPr>
      <w:r>
        <w:rPr>
          <w:rFonts w:hint="default" w:ascii="Times New Roman" w:hAnsi="Times New Roman" w:cs="Times New Roman"/>
          <w:highlight w:val="none"/>
        </w:rPr>
        <w:t>根据《环境影响评价技术导则 土壤环境》（HJ964-2018）附录A中土壤环境影响评价项目类别，</w:t>
      </w:r>
      <w:r>
        <w:rPr>
          <w:rFonts w:hint="default" w:ascii="Times New Roman" w:hAnsi="Times New Roman" w:cs="Times New Roman"/>
          <w:highlight w:val="none"/>
          <w:lang w:val="en-US" w:eastAsia="zh-CN"/>
        </w:rPr>
        <w:t>引水工程</w:t>
      </w:r>
      <w:r>
        <w:rPr>
          <w:rFonts w:hint="default" w:ascii="Times New Roman" w:hAnsi="Times New Roman" w:cs="Times New Roman"/>
          <w:highlight w:val="none"/>
        </w:rPr>
        <w:t>属于Ⅲ类</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水利—其它）</w:t>
      </w:r>
      <w:r>
        <w:rPr>
          <w:rFonts w:hint="default" w:ascii="Times New Roman" w:hAnsi="Times New Roman" w:cs="Times New Roman"/>
          <w:highlight w:val="none"/>
        </w:rPr>
        <w:t>，</w:t>
      </w:r>
      <w:r>
        <w:rPr>
          <w:rFonts w:hint="default" w:ascii="Times New Roman" w:hAnsi="Times New Roman" w:cs="Times New Roman"/>
          <w:highlight w:val="none"/>
          <w:lang w:val="en-US" w:eastAsia="zh-CN"/>
        </w:rPr>
        <w:t>项目所在区域不属于地势平坦区域，不属于平原区，属亚热带海洋性气候，雨量充沛，土壤含盐量≤2g/kg，土壤敏感程度为不敏感，本工程</w:t>
      </w:r>
      <w:r>
        <w:rPr>
          <w:rFonts w:hint="default" w:ascii="Times New Roman" w:hAnsi="Times New Roman" w:cs="Times New Roman"/>
          <w:highlight w:val="none"/>
        </w:rPr>
        <w:t>可不开展土壤环境影响评价。</w:t>
      </w:r>
    </w:p>
    <w:p>
      <w:pPr>
        <w:pStyle w:val="21"/>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生态影响型土壤评价工作等级划分表</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6"/>
        <w:gridCol w:w="2308"/>
        <w:gridCol w:w="2308"/>
        <w:gridCol w:w="23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类别</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I类</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II类</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III类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敏感</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较敏感</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不敏感</w:t>
            </w:r>
          </w:p>
        </w:tc>
        <w:tc>
          <w:tcPr>
            <w:tcW w:w="1250"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二级</w:t>
            </w:r>
          </w:p>
        </w:tc>
        <w:tc>
          <w:tcPr>
            <w:tcW w:w="1250" w:type="pct"/>
            <w:tcBorders>
              <w:tl2br w:val="nil"/>
              <w:tr2bl w:val="nil"/>
            </w:tcBorders>
            <w:shd w:val="clear"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三级</w:t>
            </w:r>
          </w:p>
        </w:tc>
        <w:tc>
          <w:tcPr>
            <w:tcW w:w="1250" w:type="pct"/>
            <w:tcBorders>
              <w:tl2br w:val="nil"/>
              <w:tr2bl w:val="nil"/>
            </w:tcBorders>
            <w:shd w:val="pct20" w:color="auto" w:fill="auto"/>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注：“—”表示可不开展土壤环境影响评价工作。</w:t>
            </w:r>
          </w:p>
        </w:tc>
      </w:tr>
    </w:tbl>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环境风险评价等级</w:t>
      </w:r>
    </w:p>
    <w:p>
      <w:pPr>
        <w:bidi w:val="0"/>
        <w:rPr>
          <w:rFonts w:hint="default" w:ascii="Times New Roman" w:hAnsi="Times New Roman" w:cs="Times New Roman"/>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Q&lt;1，</w:t>
      </w:r>
      <w:r>
        <w:rPr>
          <w:rFonts w:hint="default" w:ascii="Times New Roman" w:hAnsi="Times New Roman" w:cs="Times New Roman"/>
          <w:bCs/>
          <w:color w:val="auto"/>
          <w:szCs w:val="24"/>
          <w:highlight w:val="none"/>
          <w:lang w:eastAsia="zh-CN"/>
        </w:rPr>
        <w:t>根据《建设项目环境风险评价技术导则》（</w:t>
      </w:r>
      <w:r>
        <w:rPr>
          <w:rFonts w:hint="default" w:ascii="Times New Roman" w:hAnsi="Times New Roman" w:cs="Times New Roman"/>
          <w:bCs/>
          <w:color w:val="auto"/>
          <w:szCs w:val="24"/>
          <w:highlight w:val="none"/>
          <w:lang w:val="en-US" w:eastAsia="zh-CN"/>
        </w:rPr>
        <w:t>HJ169-2018</w:t>
      </w:r>
      <w:r>
        <w:rPr>
          <w:rFonts w:hint="default" w:ascii="Times New Roman" w:hAnsi="Times New Roman" w:cs="Times New Roman"/>
          <w:bCs/>
          <w:color w:val="auto"/>
          <w:szCs w:val="24"/>
          <w:highlight w:val="none"/>
          <w:lang w:eastAsia="zh-CN"/>
        </w:rPr>
        <w:t>），</w:t>
      </w:r>
      <w:r>
        <w:rPr>
          <w:rFonts w:hint="default" w:ascii="Times New Roman" w:hAnsi="Times New Roman" w:cs="Times New Roman"/>
          <w:bCs/>
          <w:color w:val="auto"/>
          <w:szCs w:val="24"/>
          <w:highlight w:val="none"/>
          <w:lang w:val="en-US" w:eastAsia="zh-CN"/>
        </w:rPr>
        <w:t>该项目环境风险潜势为</w:t>
      </w:r>
      <w:r>
        <w:rPr>
          <w:rFonts w:hint="default" w:ascii="Times New Roman" w:hAnsi="Times New Roman" w:eastAsia="宋体" w:cs="Times New Roman"/>
          <w:bCs/>
          <w:color w:val="auto"/>
          <w:szCs w:val="24"/>
          <w:highlight w:val="none"/>
          <w:lang w:val="en-US" w:eastAsia="zh-CN"/>
        </w:rPr>
        <w:t>Ⅰ</w:t>
      </w:r>
      <w:r>
        <w:rPr>
          <w:rFonts w:hint="default" w:ascii="Times New Roman" w:hAnsi="Times New Roman" w:cs="Times New Roman"/>
          <w:color w:val="auto"/>
          <w:highlight w:val="none"/>
          <w:lang w:val="en-US" w:eastAsia="zh-CN"/>
        </w:rPr>
        <w:t>，</w:t>
      </w:r>
      <w:r>
        <w:rPr>
          <w:rFonts w:hint="default" w:ascii="Times New Roman" w:hAnsi="Times New Roman" w:cs="Times New Roman"/>
          <w:bCs/>
          <w:color w:val="auto"/>
          <w:szCs w:val="24"/>
          <w:highlight w:val="none"/>
          <w:lang w:val="en-US" w:eastAsia="zh-CN"/>
        </w:rPr>
        <w:t>环境风险评价可开展</w:t>
      </w:r>
      <w:r>
        <w:rPr>
          <w:rFonts w:hint="default" w:ascii="Times New Roman" w:hAnsi="Times New Roman" w:eastAsia="宋体" w:cs="Times New Roman"/>
          <w:bCs/>
          <w:color w:val="auto"/>
          <w:szCs w:val="24"/>
          <w:highlight w:val="none"/>
          <w:lang w:val="en-US" w:eastAsia="zh-CN"/>
        </w:rPr>
        <w:t>简单分析</w:t>
      </w:r>
      <w:r>
        <w:rPr>
          <w:rFonts w:hint="default" w:ascii="Times New Roman" w:hAnsi="Times New Roman" w:cs="Times New Roman"/>
          <w:highlight w:val="none"/>
          <w:lang w:val="en-US" w:eastAsia="zh-CN"/>
        </w:rPr>
        <w:t>。</w:t>
      </w:r>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评价范围</w:t>
      </w:r>
    </w:p>
    <w:p>
      <w:pPr>
        <w:keepNext w:val="0"/>
        <w:keepLines w:val="0"/>
        <w:widowControl/>
        <w:suppressLineNumbers w:val="0"/>
        <w:ind w:firstLine="480" w:firstLineChars="200"/>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根据拟建项目周边自然环境特征和有关环境影响评价技术导则中对各环境要素调查和评价分为的基本要求，确定本项目环境影响评价范围，具体如下。</w:t>
      </w:r>
    </w:p>
    <w:p>
      <w:pPr>
        <w:pStyle w:val="5"/>
        <w:bidi w:val="0"/>
        <w:ind w:left="864" w:leftChars="0" w:hanging="864" w:firstLineChars="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地表水环境</w:t>
      </w:r>
    </w:p>
    <w:p>
      <w:pPr>
        <w:tabs>
          <w:tab w:val="left" w:pos="0"/>
        </w:tabs>
        <w:bidi w:val="0"/>
        <w:rPr>
          <w:rFonts w:hint="default" w:ascii="Times New Roman" w:hAnsi="Times New Roman" w:cs="Times New Roman"/>
          <w:color w:val="auto"/>
          <w:highlight w:val="none"/>
          <w:lang w:val="en-US" w:eastAsia="zh-CN"/>
        </w:rPr>
      </w:pPr>
      <w:r>
        <w:rPr>
          <w:rFonts w:hint="default" w:ascii="Times New Roman" w:hAnsi="Times New Roman" w:cs="Times New Roman"/>
          <w:highlight w:val="none"/>
          <w:lang w:val="en-US" w:eastAsia="zh-CN"/>
        </w:rPr>
        <w:t>本工程不属于污染性建设项目，属于水文要素影响型的径流要素影响评价，评价范围为水体天然性状发生变化的水域，以及下游增减水影响的水域，因此本工程评价范围为上安水库</w:t>
      </w:r>
      <w:r>
        <w:rPr>
          <w:rFonts w:hint="default" w:ascii="Times New Roman" w:hAnsi="Times New Roman" w:cs="Times New Roman"/>
          <w:color w:val="auto"/>
          <w:highlight w:val="none"/>
          <w:lang w:val="en-US" w:eastAsia="zh-CN"/>
        </w:rPr>
        <w:t>区及</w:t>
      </w:r>
      <w:r>
        <w:rPr>
          <w:rFonts w:hint="default" w:ascii="Times New Roman" w:hAnsi="Times New Roman" w:cs="Times New Roman"/>
          <w:color w:val="auto"/>
          <w:highlight w:val="none"/>
          <w:lang w:val="zh-CN"/>
        </w:rPr>
        <w:t>大坝下游</w:t>
      </w:r>
      <w:r>
        <w:rPr>
          <w:rFonts w:hint="default" w:ascii="Times New Roman" w:hAnsi="Times New Roman" w:cs="Times New Roman"/>
          <w:color w:val="auto"/>
          <w:highlight w:val="none"/>
          <w:lang w:val="en-US" w:eastAsia="zh-CN"/>
        </w:rPr>
        <w:t>至管阳镇区下游2公里支流汇入点，以及天竹水库和西阳村龙井溪至村镇下游1公里支流汇入点。评</w:t>
      </w:r>
      <w:r>
        <w:rPr>
          <w:rFonts w:hint="default" w:ascii="Times New Roman" w:hAnsi="Times New Roman" w:cs="Times New Roman"/>
          <w:highlight w:val="none"/>
          <w:lang w:val="en-US" w:eastAsia="zh-CN"/>
        </w:rPr>
        <w:t>价</w:t>
      </w:r>
      <w:r>
        <w:rPr>
          <w:rFonts w:hint="default" w:ascii="Times New Roman" w:hAnsi="Times New Roman" w:cs="Times New Roman"/>
          <w:color w:val="auto"/>
          <w:highlight w:val="none"/>
          <w:lang w:val="en-US" w:eastAsia="zh-CN"/>
        </w:rPr>
        <w:t>范围见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_Ref22998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图1.5-1</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和</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_Ref22874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图1.5-2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tabs>
          <w:tab w:val="left" w:pos="0"/>
        </w:tabs>
        <w:bidi w:val="0"/>
        <w:rPr>
          <w:rFonts w:hint="default" w:ascii="Times New Roman" w:hAnsi="Times New Roman" w:cs="Times New Roman"/>
          <w:color w:val="auto"/>
          <w:highlight w:val="none"/>
          <w:lang w:val="en-US" w:eastAsia="zh-CN"/>
        </w:rPr>
      </w:pPr>
    </w:p>
    <w:p>
      <w:pPr>
        <w:tabs>
          <w:tab w:val="left" w:pos="0"/>
        </w:tabs>
        <w:bidi w:val="0"/>
        <w:rPr>
          <w:rFonts w:hint="default" w:ascii="Times New Roman" w:hAnsi="Times New Roman" w:cs="Times New Roman"/>
          <w:highlight w:val="none"/>
        </w:rPr>
        <w:sectPr>
          <w:headerReference r:id="rId8" w:type="default"/>
          <w:footerReference r:id="rId9" w:type="default"/>
          <w:pgSz w:w="11850" w:h="16783"/>
          <w:pgMar w:top="1417" w:right="1417" w:bottom="1417" w:left="1417" w:header="850" w:footer="992" w:gutter="0"/>
          <w:pgBorders>
            <w:top w:val="none" w:sz="0" w:space="0"/>
            <w:left w:val="none" w:sz="0" w:space="0"/>
            <w:bottom w:val="none" w:sz="0" w:space="0"/>
            <w:right w:val="none" w:sz="0" w:space="0"/>
          </w:pgBorders>
          <w:pgNumType w:fmt="decimal" w:start="1"/>
          <w:cols w:space="720" w:num="1"/>
          <w:rtlGutter w:val="0"/>
          <w:docGrid w:linePitch="1" w:charSpace="0"/>
        </w:sectPr>
      </w:pP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67456" behindDoc="0" locked="0" layoutInCell="1" allowOverlap="1">
            <wp:simplePos x="0" y="0"/>
            <wp:positionH relativeFrom="column">
              <wp:posOffset>7275195</wp:posOffset>
            </wp:positionH>
            <wp:positionV relativeFrom="paragraph">
              <wp:posOffset>252730</wp:posOffset>
            </wp:positionV>
            <wp:extent cx="678180" cy="838200"/>
            <wp:effectExtent l="0" t="0" r="7620" b="0"/>
            <wp:wrapNone/>
            <wp:docPr id="7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9"/>
                    <pic:cNvPicPr>
                      <a:picLocks noChangeAspect="1"/>
                    </pic:cNvPicPr>
                  </pic:nvPicPr>
                  <pic:blipFill>
                    <a:blip r:embed="rId25"/>
                    <a:stretch>
                      <a:fillRect/>
                    </a:stretch>
                  </pic:blipFill>
                  <pic:spPr>
                    <a:xfrm>
                      <a:off x="0" y="0"/>
                      <a:ext cx="678180" cy="838200"/>
                    </a:xfrm>
                    <a:prstGeom prst="rect">
                      <a:avLst/>
                    </a:prstGeom>
                    <a:noFill/>
                    <a:ln>
                      <a:noFill/>
                    </a:ln>
                  </pic:spPr>
                </pic:pic>
              </a:graphicData>
            </a:graphic>
          </wp:anchor>
        </w:drawing>
      </w:r>
      <w:r>
        <w:rPr>
          <w:rFonts w:hint="default" w:ascii="Times New Roman" w:hAnsi="Times New Roman" w:cs="Times New Roman"/>
          <w:sz w:val="24"/>
          <w:highlight w:val="none"/>
        </w:rPr>
        <mc:AlternateContent>
          <mc:Choice Requires="wps">
            <w:drawing>
              <wp:anchor distT="0" distB="0" distL="114300" distR="114300" simplePos="0" relativeHeight="251691008" behindDoc="0" locked="0" layoutInCell="1" allowOverlap="1">
                <wp:simplePos x="0" y="0"/>
                <wp:positionH relativeFrom="column">
                  <wp:posOffset>6545580</wp:posOffset>
                </wp:positionH>
                <wp:positionV relativeFrom="paragraph">
                  <wp:posOffset>4530725</wp:posOffset>
                </wp:positionV>
                <wp:extent cx="288290" cy="2540"/>
                <wp:effectExtent l="0" t="52070" r="16510" b="59690"/>
                <wp:wrapNone/>
                <wp:docPr id="112" name="直接箭头连接符 112"/>
                <wp:cNvGraphicFramePr/>
                <a:graphic xmlns:a="http://schemas.openxmlformats.org/drawingml/2006/main">
                  <a:graphicData uri="http://schemas.microsoft.com/office/word/2010/wordprocessingShape">
                    <wps:wsp>
                      <wps:cNvCnPr/>
                      <wps:spPr>
                        <a:xfrm>
                          <a:off x="0" y="0"/>
                          <a:ext cx="288290" cy="254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15.4pt;margin-top:356.75pt;height:0.2pt;width:22.7pt;z-index:251691008;mso-width-relative:page;mso-height-relative:page;" filled="f" stroked="t" coordsize="21600,21600" o:gfxdata="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B2NVTXAAAADQEAAA8AAAAA&#10;AAAAAQAgAAAAIgAAAGRycy9kb3ducmV2LnhtbFBLAQIUABQAAAAIAIdO4kDgrEkoFQIAAAYEAAAO&#10;AAAAAAAAAAEAIAAAACYBAABkcnMvZTJvRG9jLnhtbFBLBQYAAAAABgAGAFkBAACtBQ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9984" behindDoc="0" locked="0" layoutInCell="1" allowOverlap="1">
                <wp:simplePos x="0" y="0"/>
                <wp:positionH relativeFrom="column">
                  <wp:posOffset>6565900</wp:posOffset>
                </wp:positionH>
                <wp:positionV relativeFrom="paragraph">
                  <wp:posOffset>4214495</wp:posOffset>
                </wp:positionV>
                <wp:extent cx="266700" cy="0"/>
                <wp:effectExtent l="0" t="28575" r="0" b="28575"/>
                <wp:wrapNone/>
                <wp:docPr id="64" name="直接连接符 64"/>
                <wp:cNvGraphicFramePr/>
                <a:graphic xmlns:a="http://schemas.openxmlformats.org/drawingml/2006/main">
                  <a:graphicData uri="http://schemas.microsoft.com/office/word/2010/wordprocessingShape">
                    <wps:wsp>
                      <wps:cNvCnPr/>
                      <wps:spPr>
                        <a:xfrm>
                          <a:off x="0" y="0"/>
                          <a:ext cx="2667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7pt;margin-top:331.85pt;height:0pt;width:21pt;z-index:251689984;mso-width-relative:page;mso-height-relative:page;" filled="f" stroked="t" coordsize="21600,21600" o:gfxdata="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gwAIdcAAAANAQAADwAAAAAA&#10;AAABACAAAAAiAAAAZHJzL2Rvd25yZXYueG1sUEsBAhQAFAAAAAgAh07iQHIUAhbbAQAAnAMAAA4A&#10;AAAAAAAAAQAgAAAAJgEAAGRycy9lMm9Eb2MueG1sUEsFBgAAAAAGAAYAWQEAAHMFAAAAAA==&#10;">
                <v:fill on="f" focussize="0,0"/>
                <v:stroke weight="4.5pt" color="#FF0000 [3204]" joinstyle="round"/>
                <v:imagedata o:title=""/>
                <o:lock v:ext="edit" aspectratio="f"/>
              </v:lin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8960" behindDoc="0" locked="0" layoutInCell="1" allowOverlap="1">
                <wp:simplePos x="0" y="0"/>
                <wp:positionH relativeFrom="column">
                  <wp:posOffset>6570980</wp:posOffset>
                </wp:positionH>
                <wp:positionV relativeFrom="paragraph">
                  <wp:posOffset>3971290</wp:posOffset>
                </wp:positionV>
                <wp:extent cx="228600" cy="121920"/>
                <wp:effectExtent l="12700" t="12700" r="25400" b="17780"/>
                <wp:wrapNone/>
                <wp:docPr id="60" name="矩形 60"/>
                <wp:cNvGraphicFramePr/>
                <a:graphic xmlns:a="http://schemas.openxmlformats.org/drawingml/2006/main">
                  <a:graphicData uri="http://schemas.microsoft.com/office/word/2010/wordprocessingShape">
                    <wps:wsp>
                      <wps:cNvSpPr/>
                      <wps:spPr>
                        <a:xfrm>
                          <a:off x="0" y="0"/>
                          <a:ext cx="22860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7.4pt;margin-top:312.7pt;height:9.6pt;width:18pt;z-index:251688960;v-text-anchor:middle;mso-width-relative:page;mso-height-relative:page;" filled="f" stroked="t" coordsize="21600,21600" o:gfxdata="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AgVgdoAAAANAQAADwAAAAAAAAABACAAAAAiAAAAZHJzL2Rvd25yZXYueG1sUEsBAhQAFAAAAAgA&#10;h07iQEgR6uNcAgAAtQQAAA4AAAAAAAAAAQAgAAAAKQEAAGRycy9lMm9Eb2MueG1sUEsFBgAAAAAG&#10;AAYAWQEAAPcFAAAAAA==&#10;">
                <v:fill on="f" focussize="0,0"/>
                <v:stroke weight="2pt" color="#FF0000 [3204]" joinstyle="round"/>
                <v:imagedata o:title=""/>
                <o:lock v:ext="edit" aspectratio="f"/>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7936" behindDoc="0" locked="0" layoutInCell="1" allowOverlap="1">
                <wp:simplePos x="0" y="0"/>
                <wp:positionH relativeFrom="column">
                  <wp:posOffset>6535420</wp:posOffset>
                </wp:positionH>
                <wp:positionV relativeFrom="paragraph">
                  <wp:posOffset>4374515</wp:posOffset>
                </wp:positionV>
                <wp:extent cx="266700" cy="0"/>
                <wp:effectExtent l="0" t="0" r="0" b="0"/>
                <wp:wrapNone/>
                <wp:docPr id="54" name="直接连接符 54"/>
                <wp:cNvGraphicFramePr/>
                <a:graphic xmlns:a="http://schemas.openxmlformats.org/drawingml/2006/main">
                  <a:graphicData uri="http://schemas.microsoft.com/office/word/2010/wordprocessingShape">
                    <wps:wsp>
                      <wps:cNvCnPr/>
                      <wps:spPr>
                        <a:xfrm>
                          <a:off x="0" y="0"/>
                          <a:ext cx="266700" cy="0"/>
                        </a:xfrm>
                        <a:prstGeom prst="line">
                          <a:avLst/>
                        </a:prstGeom>
                        <a:ln w="12700">
                          <a:solidFill>
                            <a:srgbClr val="00FDF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4.6pt;margin-top:344.45pt;height:0pt;width:21pt;z-index:251687936;mso-width-relative:page;mso-height-relative:page;" filled="f" stroked="t" coordsize="21600,21600" o:gfxdata="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qLIp2QAAAA0BAAAPAAAAAAAA&#10;AAEAIAAAACIAAABkcnMvZG93bnJldi54bWxQSwECFAAUAAAACACHTuJARJK4StgBAACcAwAADgAA&#10;AAAAAAABACAAAAAoAQAAZHJzL2Uyb0RvYy54bWxQSwUGAAAAAAYABgBZAQAAcgUAAAAA&#10;">
                <v:fill on="f" focussize="0,0"/>
                <v:stroke weight="1pt" color="#00FDFD [3204]" joinstyle="round"/>
                <v:imagedata o:title=""/>
                <o:lock v:ext="edit" aspectratio="f"/>
              </v:line>
            </w:pict>
          </mc:Fallback>
        </mc:AlternateContent>
      </w:r>
      <w:r>
        <w:rPr>
          <w:rFonts w:hint="default" w:ascii="Times New Roman" w:hAnsi="Times New Roman" w:cs="Times New Roman"/>
          <w:sz w:val="24"/>
          <w:highlight w:val="none"/>
        </w:rPr>
        <mc:AlternateContent>
          <mc:Choice Requires="wpg">
            <w:drawing>
              <wp:anchor distT="0" distB="0" distL="114300" distR="114300" simplePos="0" relativeHeight="251665408" behindDoc="0" locked="0" layoutInCell="1" allowOverlap="1">
                <wp:simplePos x="0" y="0"/>
                <wp:positionH relativeFrom="column">
                  <wp:posOffset>6504940</wp:posOffset>
                </wp:positionH>
                <wp:positionV relativeFrom="paragraph">
                  <wp:posOffset>4682490</wp:posOffset>
                </wp:positionV>
                <wp:extent cx="581660" cy="285750"/>
                <wp:effectExtent l="25400" t="0" r="0" b="29210"/>
                <wp:wrapNone/>
                <wp:docPr id="34" name="组合 34"/>
                <wp:cNvGraphicFramePr/>
                <a:graphic xmlns:a="http://schemas.openxmlformats.org/drawingml/2006/main">
                  <a:graphicData uri="http://schemas.microsoft.com/office/word/2010/wordprocessingGroup">
                    <wpg:wgp>
                      <wpg:cNvGrpSpPr/>
                      <wpg:grpSpPr>
                        <a:xfrm>
                          <a:off x="0" y="0"/>
                          <a:ext cx="581660" cy="285750"/>
                          <a:chOff x="15006" y="264305"/>
                          <a:chExt cx="1802" cy="450"/>
                        </a:xfrm>
                      </wpg:grpSpPr>
                      <wps:wsp>
                        <wps:cNvPr id="36" name="直接连接符 1"/>
                        <wps:cNvCnPr/>
                        <wps:spPr>
                          <a:xfrm flipV="1">
                            <a:off x="15084" y="264544"/>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45" name="矩形 6"/>
                        <wps:cNvSpPr/>
                        <wps:spPr>
                          <a:xfrm>
                            <a:off x="15006" y="264305"/>
                            <a:ext cx="1802" cy="450"/>
                          </a:xfrm>
                          <a:prstGeom prst="rect">
                            <a:avLst/>
                          </a:prstGeom>
                          <a:noFill/>
                          <a:ln w="25400">
                            <a:noFill/>
                          </a:ln>
                          <a:effectLst>
                            <a:glow rad="25400">
                              <a:schemeClr val="bg1">
                                <a:alpha val="100000"/>
                              </a:schemeClr>
                            </a:glow>
                          </a:effectLst>
                        </wps:spPr>
                        <wps:txbx>
                          <w:txbxContent>
                            <w:p>
                              <w:pPr>
                                <w:pStyle w:val="19"/>
                                <w:jc w:val="both"/>
                                <w:rPr>
                                  <w:b/>
                                  <w:bCs/>
                                  <w:color w:val="000000"/>
                                  <w:w w:val="90"/>
                                  <w:sz w:val="24"/>
                                  <w:szCs w:val="24"/>
                                  <w:lang w:val="en-US"/>
                                </w:rPr>
                              </w:pPr>
                              <w:r>
                                <w:rPr>
                                  <w:rFonts w:hint="eastAsia"/>
                                  <w:b/>
                                  <w:bCs/>
                                  <w:color w:val="000000"/>
                                  <w:w w:val="90"/>
                                  <w:sz w:val="24"/>
                                  <w:szCs w:val="24"/>
                                  <w:lang w:val="en-US" w:eastAsia="zh-CN"/>
                                </w:rPr>
                                <w:t>2</w:t>
                              </w:r>
                              <w:r>
                                <w:rPr>
                                  <w:rFonts w:hint="eastAsia"/>
                                  <w:b/>
                                  <w:bCs/>
                                  <w:color w:val="000000"/>
                                  <w:w w:val="90"/>
                                  <w:sz w:val="24"/>
                                  <w:szCs w:val="24"/>
                                  <w:lang w:val="en-US"/>
                                </w:rPr>
                                <w:t>0</w:t>
                              </w:r>
                              <w:r>
                                <w:rPr>
                                  <w:rFonts w:hint="eastAsia"/>
                                  <w:b/>
                                  <w:bCs/>
                                  <w:color w:val="000000"/>
                                  <w:w w:val="90"/>
                                  <w:sz w:val="24"/>
                                  <w:szCs w:val="24"/>
                                  <w:lang w:val="en-US" w:eastAsia="zh-CN"/>
                                </w:rPr>
                                <w:t>0m</w:t>
                              </w:r>
                            </w:p>
                          </w:txbxContent>
                        </wps:txbx>
                        <wps:bodyPr anchor="ctr" upright="1"/>
                      </wps:wsp>
                      <wps:wsp>
                        <wps:cNvPr id="48" name="直接连接符 1"/>
                        <wps:cNvCnPr/>
                        <wps:spPr>
                          <a:xfrm flipV="1">
                            <a:off x="16454" y="264535"/>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52" name="直接连接符 3"/>
                        <wps:cNvCnPr/>
                        <wps:spPr>
                          <a:xfrm>
                            <a:off x="15063" y="264714"/>
                            <a:ext cx="1409" cy="0"/>
                          </a:xfrm>
                          <a:prstGeom prst="line">
                            <a:avLst/>
                          </a:prstGeom>
                          <a:ln>
                            <a:headEnd type="none" w="med" len="med"/>
                            <a:tailEnd type="none" w="med" len="med"/>
                          </a:ln>
                          <a:effectLst>
                            <a:glow rad="25400">
                              <a:schemeClr val="bg1"/>
                            </a:glow>
                          </a:effectLst>
                        </wps:spPr>
                        <wps:style>
                          <a:lnRef idx="2">
                            <a:schemeClr val="dk1"/>
                          </a:lnRef>
                          <a:fillRef idx="0">
                            <a:schemeClr val="dk1"/>
                          </a:fillRef>
                          <a:effectRef idx="1">
                            <a:schemeClr val="dk1"/>
                          </a:effectRef>
                          <a:fontRef idx="minor">
                            <a:schemeClr val="tx1"/>
                          </a:fontRef>
                        </wps:style>
                        <wps:bodyPr upright="1"/>
                      </wps:wsp>
                    </wpg:wgp>
                  </a:graphicData>
                </a:graphic>
              </wp:anchor>
            </w:drawing>
          </mc:Choice>
          <mc:Fallback>
            <w:pict>
              <v:group id="_x0000_s1026" o:spid="_x0000_s1026" o:spt="203" style="position:absolute;left:0pt;margin-left:512.2pt;margin-top:368.7pt;height:22.5pt;width:45.8pt;z-index:251665408;mso-width-relative:page;mso-height-relative:page;" coordorigin="15006,264305" coordsize="1802,450" o:gfxdata="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">
                <o:lock v:ext="edit" aspectratio="f"/>
                <v:line id="直接连接符 1" o:spid="_x0000_s1026" o:spt="20" style="position:absolute;left:15084;top:264544;flip:y;height:152;width:2;" filled="f" stroked="t" coordsize="21600,21600" o:gfxdata="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vFOW8AAAA&#10;2wAAAA8AAAAAAAAAAQAgAAAAIgAAAGRycy9kb3ducmV2LnhtbFBLAQIUABQAAAAIAIdO4kAzLwWe&#10;OwAAADkAAAAQAAAAAAAAAAEAIAAAAAsBAABkcnMvc2hhcGV4bWwueG1sUEsFBgAAAAAGAAYAWwEA&#10;ALUDAAAAAA==&#10;">
                  <v:fill on="f" focussize="0,0"/>
                  <v:stroke weight="2pt" color="#000000" joinstyle="round"/>
                  <v:imagedata o:title=""/>
                  <o:lock v:ext="edit" aspectratio="f"/>
                </v:line>
                <v:rect id="矩形 6" o:spid="_x0000_s1026" o:spt="1" style="position:absolute;left:15006;top:264305;height:450;width:1802;v-text-anchor:middle;" filled="f" stroked="f" coordsize="21600,21600" o:gfxdata="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tIL4A&#10;AADb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pPr>
                          <w:pStyle w:val="19"/>
                          <w:jc w:val="both"/>
                          <w:rPr>
                            <w:b/>
                            <w:bCs/>
                            <w:color w:val="000000"/>
                            <w:w w:val="90"/>
                            <w:sz w:val="24"/>
                            <w:szCs w:val="24"/>
                            <w:lang w:val="en-US"/>
                          </w:rPr>
                        </w:pPr>
                        <w:r>
                          <w:rPr>
                            <w:rFonts w:hint="eastAsia"/>
                            <w:b/>
                            <w:bCs/>
                            <w:color w:val="000000"/>
                            <w:w w:val="90"/>
                            <w:sz w:val="24"/>
                            <w:szCs w:val="24"/>
                            <w:lang w:val="en-US" w:eastAsia="zh-CN"/>
                          </w:rPr>
                          <w:t>2</w:t>
                        </w:r>
                        <w:r>
                          <w:rPr>
                            <w:rFonts w:hint="eastAsia"/>
                            <w:b/>
                            <w:bCs/>
                            <w:color w:val="000000"/>
                            <w:w w:val="90"/>
                            <w:sz w:val="24"/>
                            <w:szCs w:val="24"/>
                            <w:lang w:val="en-US"/>
                          </w:rPr>
                          <w:t>0</w:t>
                        </w:r>
                        <w:r>
                          <w:rPr>
                            <w:rFonts w:hint="eastAsia"/>
                            <w:b/>
                            <w:bCs/>
                            <w:color w:val="000000"/>
                            <w:w w:val="90"/>
                            <w:sz w:val="24"/>
                            <w:szCs w:val="24"/>
                            <w:lang w:val="en-US" w:eastAsia="zh-CN"/>
                          </w:rPr>
                          <w:t>0m</w:t>
                        </w:r>
                      </w:p>
                    </w:txbxContent>
                  </v:textbox>
                </v:rect>
                <v:line id="直接连接符 1" o:spid="_x0000_s1026" o:spt="20" style="position:absolute;left:16454;top:264535;flip:y;height:152;width:2;" filled="f" stroked="t" coordsize="21600,21600" o:gfxdata="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ulZxtwAAANsAAAAP&#10;AAAAAAAAAAEAIAAAACIAAABkcnMvZG93bnJldi54bWxQSwECFAAUAAAACACHTuJAMy8FnjsAAAA5&#10;AAAAEAAAAAAAAAABACAAAAAGAQAAZHJzL3NoYXBleG1sLnhtbFBLBQYAAAAABgAGAFsBAACwAwAA&#10;AAA=&#10;">
                  <v:fill on="f" focussize="0,0"/>
                  <v:stroke weight="2pt" color="#000000" joinstyle="round"/>
                  <v:imagedata o:title=""/>
                  <o:lock v:ext="edit" aspectratio="f"/>
                </v:line>
                <v:line id="直接连接符 3" o:spid="_x0000_s1026" o:spt="20" style="position:absolute;left:15063;top:264714;height:0;width:1409;" filled="f" stroked="t" coordsize="21600,21600" o:gfxdata="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hE95vQAA&#10;ANsAAAAPAAAAAAAAAAEAIAAAACIAAABkcnMvZG93bnJldi54bWxQSwECFAAUAAAACACHTuJAMy8F&#10;njsAAAA5AAAAEAAAAAAAAAABACAAAAAMAQAAZHJzL3NoYXBleG1sLnhtbFBLBQYAAAAABgAGAFsB&#10;AAC2AwAAAAA=&#10;">
                  <v:fill on="f" focussize="0,0"/>
                  <v:stroke weight="2pt" color="#000000 [3200]" joinstyle="round"/>
                  <v:imagedata o:title=""/>
                  <o:lock v:ext="edit" aspectratio="f"/>
                </v:line>
              </v:group>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4384" behindDoc="0" locked="0" layoutInCell="1" allowOverlap="1">
                <wp:simplePos x="0" y="0"/>
                <wp:positionH relativeFrom="column">
                  <wp:posOffset>6414770</wp:posOffset>
                </wp:positionH>
                <wp:positionV relativeFrom="paragraph">
                  <wp:posOffset>3698875</wp:posOffset>
                </wp:positionV>
                <wp:extent cx="1614805" cy="1355090"/>
                <wp:effectExtent l="4445" t="4445" r="19050" b="12065"/>
                <wp:wrapNone/>
                <wp:docPr id="56" name="矩形 14"/>
                <wp:cNvGraphicFramePr/>
                <a:graphic xmlns:a="http://schemas.openxmlformats.org/drawingml/2006/main">
                  <a:graphicData uri="http://schemas.microsoft.com/office/word/2010/wordprocessingShape">
                    <wps:wsp>
                      <wps:cNvSpPr/>
                      <wps:spPr>
                        <a:xfrm>
                          <a:off x="0" y="0"/>
                          <a:ext cx="1614805" cy="1355090"/>
                        </a:xfrm>
                        <a:prstGeom prst="rect">
                          <a:avLst/>
                        </a:prstGeom>
                        <a:solidFill>
                          <a:srgbClr val="FFFFFF">
                            <a:alpha val="50000"/>
                          </a:srgbClr>
                        </a:solidFill>
                        <a:ln w="9525" cap="sq" cmpd="sng">
                          <a:solidFill>
                            <a:srgbClr val="000000"/>
                          </a:solidFill>
                          <a:prstDash val="sysDot"/>
                          <a:miter/>
                          <a:headEnd type="none" w="med" len="med"/>
                          <a:tailEnd type="none" w="med" len="med"/>
                        </a:ln>
                        <a:effectLst/>
                      </wps:spPr>
                      <wps:txb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管</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4" o:spid="_x0000_s1026" o:spt="1" style="position:absolute;left:0pt;margin-left:505.1pt;margin-top:291.25pt;height:106.7pt;width:127.15pt;z-index:251664384;mso-width-relative:page;mso-height-relative:page;" fillcolor="#FFFFFF" filled="t" stroked="t" coordsize="21600,21600" o:gfxdata="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AKcNf2wAAAA0BAAAPAAAAAAAAAAEAIAAAACIAAABkcnMvZG93bnJl&#10;di54bWxQSwECFAAUAAAACACHTuJAIczXEaUCAAB1BQAADgAAAAAAAAABACAAAAAqAQAAZHJzL2Uy&#10;b0RvYy54bWxQSwUGAAAAAAYABgBZAQAAQQYAAAAA&#10;">
                <v:fill on="t" opacity="32768f" focussize="0,0"/>
                <v:stroke color="#000000" joinstyle="miter" dashstyle="1 1" endcap="square"/>
                <v:imagedata o:title=""/>
                <o:lock v:ext="edit" aspectratio="f"/>
                <v:textbo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管</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1552" behindDoc="0" locked="0" layoutInCell="1" allowOverlap="1">
                <wp:simplePos x="0" y="0"/>
                <wp:positionH relativeFrom="column">
                  <wp:posOffset>4687570</wp:posOffset>
                </wp:positionH>
                <wp:positionV relativeFrom="paragraph">
                  <wp:posOffset>3529965</wp:posOffset>
                </wp:positionV>
                <wp:extent cx="368300" cy="215900"/>
                <wp:effectExtent l="0" t="0" r="12700" b="12700"/>
                <wp:wrapNone/>
                <wp:docPr id="111" name="直接箭头连接符 111"/>
                <wp:cNvGraphicFramePr/>
                <a:graphic xmlns:a="http://schemas.openxmlformats.org/drawingml/2006/main">
                  <a:graphicData uri="http://schemas.microsoft.com/office/word/2010/wordprocessingShape">
                    <wps:wsp>
                      <wps:cNvCnPr/>
                      <wps:spPr>
                        <a:xfrm flipH="1" flipV="1">
                          <a:off x="0" y="0"/>
                          <a:ext cx="368300" cy="21590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69.1pt;margin-top:277.95pt;height:17pt;width:29pt;z-index:251671552;mso-width-relative:page;mso-height-relative:page;" filled="f" stroked="t" coordsize="21600,21600" o:gfxdata="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TRElXW&#10;AAAACwEAAA8AAAAAAAAAAQAgAAAAIgAAAGRycy9kb3ducmV2LnhtbFBLAQIUABQAAAAIAIdO4kDI&#10;uqq2IgIAABwEAAAOAAAAAAAAAAEAIAAAACUBAABkcnMvZTJvRG9jLnhtbFBLBQYAAAAABgAGAFkB&#10;AAC5BQ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8480" behindDoc="0" locked="0" layoutInCell="1" allowOverlap="1">
                <wp:simplePos x="0" y="0"/>
                <wp:positionH relativeFrom="column">
                  <wp:posOffset>3852545</wp:posOffset>
                </wp:positionH>
                <wp:positionV relativeFrom="paragraph">
                  <wp:posOffset>4385945</wp:posOffset>
                </wp:positionV>
                <wp:extent cx="479425" cy="238125"/>
                <wp:effectExtent l="4445" t="6985" r="11430" b="21590"/>
                <wp:wrapNone/>
                <wp:docPr id="106" name="直接箭头连接符 106"/>
                <wp:cNvGraphicFramePr/>
                <a:graphic xmlns:a="http://schemas.openxmlformats.org/drawingml/2006/main">
                  <a:graphicData uri="http://schemas.microsoft.com/office/word/2010/wordprocessingShape">
                    <wps:wsp>
                      <wps:cNvCnPr/>
                      <wps:spPr>
                        <a:xfrm flipV="1">
                          <a:off x="4610735" y="4949190"/>
                          <a:ext cx="479425" cy="238125"/>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03.35pt;margin-top:345.35pt;height:18.75pt;width:37.75pt;z-index:251668480;mso-width-relative:page;mso-height-relative:page;" filled="f" stroked="t" coordsize="21600,21600" o:gfxdata="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7rm69kAAAALAQAADwAAAAAAAAABACAAAAAiAAAAZHJzL2Rvd25yZXYueG1sUEsBAhQA&#10;FAAAAAgAh07iQLVeC+YqAgAAHgQAAA4AAAAAAAAAAQAgAAAAKAEAAGRycy9lMm9Eb2MueG1sUEsF&#10;BgAAAAAGAAYAWQEAAMQFA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3360" behindDoc="0" locked="0" layoutInCell="1" allowOverlap="1">
                <wp:simplePos x="0" y="0"/>
                <wp:positionH relativeFrom="column">
                  <wp:posOffset>2338070</wp:posOffset>
                </wp:positionH>
                <wp:positionV relativeFrom="paragraph">
                  <wp:posOffset>3347085</wp:posOffset>
                </wp:positionV>
                <wp:extent cx="671830" cy="351155"/>
                <wp:effectExtent l="0" t="0" r="0" b="0"/>
                <wp:wrapNone/>
                <wp:docPr id="17" name="矩形 84"/>
                <wp:cNvGraphicFramePr/>
                <a:graphic xmlns:a="http://schemas.openxmlformats.org/drawingml/2006/main">
                  <a:graphicData uri="http://schemas.microsoft.com/office/word/2010/wordprocessingShape">
                    <wps:wsp>
                      <wps:cNvSpPr/>
                      <wps:spPr>
                        <a:xfrm>
                          <a:off x="2681605" y="4116070"/>
                          <a:ext cx="671830" cy="351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上安水库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4" o:spid="_x0000_s1026" o:spt="1" style="position:absolute;left:0pt;margin-left:184.1pt;margin-top:263.55pt;height:27.65pt;width:52.9pt;z-index:251663360;v-text-anchor:middle;mso-width-relative:page;mso-height-relative:page;" filled="f" stroked="f" coordsize="21600,21600" o:gfxdata="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Kl5IO2gAAAAsBAAAPAAAAAAAAAAEAIAAAACIAAABkcnMvZG93bnJldi54bWxQSwECFAAUAAAA&#10;CACHTuJAupPKsV4CAACjBAAADgAAAAAAAAABACAAAAApAQAAZHJzL2Uyb0RvYy54bWxQSwUGAAAA&#10;AAYABgBZAQAA+QUAAAAA&#10;">
                <v:fill on="f" focussize="0,0"/>
                <v:stroke on="f" weight="2pt"/>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上安水库</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6432" behindDoc="0" locked="0" layoutInCell="1" allowOverlap="1">
                <wp:simplePos x="0" y="0"/>
                <wp:positionH relativeFrom="column">
                  <wp:posOffset>5235575</wp:posOffset>
                </wp:positionH>
                <wp:positionV relativeFrom="paragraph">
                  <wp:posOffset>3594100</wp:posOffset>
                </wp:positionV>
                <wp:extent cx="671830" cy="351155"/>
                <wp:effectExtent l="0" t="0" r="0" b="0"/>
                <wp:wrapNone/>
                <wp:docPr id="63" name="矩形 63"/>
                <wp:cNvGraphicFramePr/>
                <a:graphic xmlns:a="http://schemas.openxmlformats.org/drawingml/2006/main">
                  <a:graphicData uri="http://schemas.microsoft.com/office/word/2010/wordprocessingShape">
                    <wps:wsp>
                      <wps:cNvSpPr/>
                      <wps:spPr>
                        <a:xfrm>
                          <a:off x="0" y="0"/>
                          <a:ext cx="671830" cy="351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eastAsia="宋体"/>
                                <w:sz w:val="18"/>
                                <w:szCs w:val="18"/>
                                <w:lang w:val="en-US" w:eastAsia="zh-CN"/>
                                <w14:glow w14:rad="228600">
                                  <w14:schemeClr w14:val="accent4">
                                    <w14:satMod w14:val="175000"/>
                                    <w14:alpha w14:val="60000"/>
                                  </w14:schemeClr>
                                </w14:glow>
                              </w:rPr>
                            </w:pPr>
                            <w:r>
                              <w:rPr>
                                <w:rFonts w:hint="eastAsia" w:eastAsia="宋体"/>
                                <w:sz w:val="18"/>
                                <w:szCs w:val="18"/>
                                <w:lang w:val="en-US" w:eastAsia="zh-CN"/>
                                <w14:glow w14:rad="228600">
                                  <w14:schemeClr w14:val="accent4">
                                    <w14:satMod w14:val="175000"/>
                                    <w14:alpha w14:val="60000"/>
                                  </w14:schemeClr>
                                </w14:glow>
                              </w:rPr>
                              <w:t>管阳镇区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2.25pt;margin-top:283pt;height:27.65pt;width:52.9pt;z-index:251666432;v-text-anchor:middle;mso-width-relative:page;mso-height-relative:page;" filled="f" stroked="f" coordsize="21600,21600" o:gfxdata="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sMZI9oAAAAL&#10;AQAADwAAAAAAAAABACAAAAAiAAAAZHJzL2Rvd25yZXYueG1sUEsBAhQAFAAAAAgAh07iQPR9T5lT&#10;AgAAlwQAAA4AAAAAAAAAAQAgAAAAKQEAAGRycy9lMm9Eb2MueG1sUEsFBgAAAAAGAAYAWQEAAO4F&#10;AAAAAA==&#10;">
                <v:fill on="f" focussize="0,0"/>
                <v:stroke on="f" weight="2pt"/>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eastAsia="宋体"/>
                          <w:sz w:val="18"/>
                          <w:szCs w:val="18"/>
                          <w:lang w:val="en-US" w:eastAsia="zh-CN"/>
                          <w14:glow w14:rad="228600">
                            <w14:schemeClr w14:val="accent4">
                              <w14:satMod w14:val="175000"/>
                              <w14:alpha w14:val="60000"/>
                            </w14:schemeClr>
                          </w14:glow>
                        </w:rPr>
                      </w:pPr>
                      <w:r>
                        <w:rPr>
                          <w:rFonts w:hint="eastAsia" w:eastAsia="宋体"/>
                          <w:sz w:val="18"/>
                          <w:szCs w:val="18"/>
                          <w:lang w:val="en-US" w:eastAsia="zh-CN"/>
                          <w14:glow w14:rad="228600">
                            <w14:schemeClr w14:val="accent4">
                              <w14:satMod w14:val="175000"/>
                              <w14:alpha w14:val="60000"/>
                            </w14:schemeClr>
                          </w14:glow>
                        </w:rPr>
                        <w:t>管阳镇区</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9504" behindDoc="0" locked="0" layoutInCell="1" allowOverlap="1">
                <wp:simplePos x="0" y="0"/>
                <wp:positionH relativeFrom="column">
                  <wp:posOffset>4036060</wp:posOffset>
                </wp:positionH>
                <wp:positionV relativeFrom="paragraph">
                  <wp:posOffset>2254885</wp:posOffset>
                </wp:positionV>
                <wp:extent cx="45720" cy="388620"/>
                <wp:effectExtent l="19050" t="0" r="49530" b="11430"/>
                <wp:wrapNone/>
                <wp:docPr id="108" name="直接箭头连接符 108"/>
                <wp:cNvGraphicFramePr/>
                <a:graphic xmlns:a="http://schemas.openxmlformats.org/drawingml/2006/main">
                  <a:graphicData uri="http://schemas.microsoft.com/office/word/2010/wordprocessingShape">
                    <wps:wsp>
                      <wps:cNvCnPr/>
                      <wps:spPr>
                        <a:xfrm flipV="1">
                          <a:off x="0" y="0"/>
                          <a:ext cx="45720" cy="38862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17.8pt;margin-top:177.55pt;height:30.6pt;width:3.6pt;z-index:251669504;mso-width-relative:page;mso-height-relative:page;" filled="f" stroked="t" coordsize="21600,21600" o:gfxdata="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u9isfZAAAA&#10;CwEAAA8AAAAAAAAAAQAgAAAAIgAAAGRycy9kb3ducmV2LnhtbFBLAQIUABQAAAAIAIdO4kACWWdr&#10;HAIAABEEAAAOAAAAAAAAAAEAIAAAACgBAABkcnMvZTJvRG9jLnhtbFBLBQYAAAAABgAGAFkBAAC2&#10;BQ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0528" behindDoc="0" locked="0" layoutInCell="1" allowOverlap="1">
                <wp:simplePos x="0" y="0"/>
                <wp:positionH relativeFrom="column">
                  <wp:posOffset>4780280</wp:posOffset>
                </wp:positionH>
                <wp:positionV relativeFrom="paragraph">
                  <wp:posOffset>236855</wp:posOffset>
                </wp:positionV>
                <wp:extent cx="228600" cy="125730"/>
                <wp:effectExtent l="0" t="2540" r="19050" b="24130"/>
                <wp:wrapNone/>
                <wp:docPr id="110" name="直接箭头连接符 110"/>
                <wp:cNvGraphicFramePr/>
                <a:graphic xmlns:a="http://schemas.openxmlformats.org/drawingml/2006/main">
                  <a:graphicData uri="http://schemas.microsoft.com/office/word/2010/wordprocessingShape">
                    <wps:wsp>
                      <wps:cNvCnPr/>
                      <wps:spPr>
                        <a:xfrm flipH="1" flipV="1">
                          <a:off x="0" y="0"/>
                          <a:ext cx="228600" cy="12573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76.4pt;margin-top:18.65pt;height:9.9pt;width:18pt;z-index:251670528;mso-width-relative:page;mso-height-relative:page;" filled="f" stroked="t" coordsize="21600,21600" o:gfxdata="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YVE+bV&#10;AAAACQEAAA8AAAAAAAAAAQAgAAAAIgAAAGRycy9kb3ducmV2LnhtbFBLAQIUABQAAAAIAIdO4kBA&#10;7nB6IwIAABwEAAAOAAAAAAAAAAEAIAAAACQBAABkcnMvZTJvRG9jLnhtbFBLBQYAAAAABgAGAFkB&#10;AAC5BQAAAAA=&#10;">
                <v:fill on="f" focussize="0,0"/>
                <v:stroke weight="1.5pt" color="#0D0D0D [3069]" joinstyle="round" endarrow="open"/>
                <v:imagedata o:title=""/>
                <o:lock v:ext="edit" aspectratio="f"/>
              </v:shape>
            </w:pict>
          </mc:Fallback>
        </mc:AlternateContent>
      </w:r>
      <w:r>
        <w:rPr>
          <w:rFonts w:hint="default" w:ascii="Times New Roman" w:hAnsi="Times New Roman" w:cs="Times New Roman"/>
          <w:highlight w:val="none"/>
        </w:rPr>
        <w:drawing>
          <wp:inline distT="0" distB="0" distL="114935" distR="114935">
            <wp:extent cx="7841615" cy="5244465"/>
            <wp:effectExtent l="0" t="0" r="6985" b="133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6"/>
                    <a:stretch>
                      <a:fillRect/>
                    </a:stretch>
                  </pic:blipFill>
                  <pic:spPr>
                    <a:xfrm>
                      <a:off x="0" y="0"/>
                      <a:ext cx="7841615" cy="5244465"/>
                    </a:xfrm>
                    <a:prstGeom prst="rect">
                      <a:avLst/>
                    </a:prstGeom>
                    <a:noFill/>
                    <a:ln>
                      <a:noFill/>
                    </a:ln>
                  </pic:spPr>
                </pic:pic>
              </a:graphicData>
            </a:graphic>
          </wp:inline>
        </w:drawing>
      </w:r>
    </w:p>
    <w:p>
      <w:pPr>
        <w:pStyle w:val="22"/>
        <w:bidi w:val="0"/>
        <w:rPr>
          <w:rFonts w:hint="default" w:ascii="Times New Roman" w:hAnsi="Times New Roman" w:cs="Times New Roman"/>
          <w:highlight w:val="none"/>
          <w:lang w:val="en-US" w:eastAsia="zh-CN"/>
        </w:rPr>
      </w:pPr>
      <w:bookmarkStart w:id="51" w:name="_Ref22998"/>
      <w:r>
        <w:rPr>
          <w:rFonts w:hint="default" w:ascii="Times New Roman" w:hAnsi="Times New Roman" w:cs="Times New Roman"/>
          <w:highlight w:val="none"/>
          <w:lang w:val="en-US" w:eastAsia="zh-CN"/>
        </w:rPr>
        <w:t>地表水评价范围图（1）</w:t>
      </w:r>
      <w:bookmarkEnd w:id="51"/>
    </w:p>
    <w:p>
      <w:pPr>
        <w:tabs>
          <w:tab w:val="left" w:pos="0"/>
        </w:tabs>
        <w:bidi w:val="0"/>
        <w:rPr>
          <w:rFonts w:hint="default" w:ascii="Times New Roman" w:hAnsi="Times New Roman" w:cs="Times New Roman"/>
          <w:highlight w:val="none"/>
        </w:rPr>
        <w:sectPr>
          <w:pgSz w:w="16783" w:h="11850" w:orient="landscape"/>
          <w:pgMar w:top="1417" w:right="1417" w:bottom="1417" w:left="1417" w:header="0" w:footer="680" w:gutter="0"/>
          <w:pgBorders>
            <w:top w:val="none" w:sz="0" w:space="0"/>
            <w:left w:val="none" w:sz="0" w:space="0"/>
            <w:bottom w:val="none" w:sz="0" w:space="0"/>
            <w:right w:val="none" w:sz="0" w:space="0"/>
          </w:pgBorders>
          <w:pgNumType w:fmt="decimal"/>
          <w:cols w:space="0" w:num="1"/>
          <w:rtlGutter w:val="0"/>
          <w:docGrid w:linePitch="1" w:charSpace="0"/>
        </w:sectPr>
      </w:pPr>
      <w:r>
        <w:rPr>
          <w:rFonts w:hint="default" w:ascii="Times New Roman" w:hAnsi="Times New Roman" w:cs="Times New Roman"/>
          <w:sz w:val="24"/>
          <w:highlight w:val="none"/>
        </w:rPr>
        <mc:AlternateContent>
          <mc:Choice Requires="wps">
            <w:drawing>
              <wp:anchor distT="0" distB="0" distL="114300" distR="114300" simplePos="0" relativeHeight="251661312" behindDoc="0" locked="0" layoutInCell="1" allowOverlap="1">
                <wp:simplePos x="0" y="0"/>
                <wp:positionH relativeFrom="column">
                  <wp:posOffset>6363970</wp:posOffset>
                </wp:positionH>
                <wp:positionV relativeFrom="paragraph">
                  <wp:posOffset>3771265</wp:posOffset>
                </wp:positionV>
                <wp:extent cx="1614805" cy="1355090"/>
                <wp:effectExtent l="4445" t="4445" r="19050" b="12065"/>
                <wp:wrapNone/>
                <wp:docPr id="138" name="矩形 14"/>
                <wp:cNvGraphicFramePr/>
                <a:graphic xmlns:a="http://schemas.openxmlformats.org/drawingml/2006/main">
                  <a:graphicData uri="http://schemas.microsoft.com/office/word/2010/wordprocessingShape">
                    <wps:wsp>
                      <wps:cNvSpPr/>
                      <wps:spPr>
                        <a:xfrm>
                          <a:off x="0" y="0"/>
                          <a:ext cx="1614805" cy="1355090"/>
                        </a:xfrm>
                        <a:prstGeom prst="rect">
                          <a:avLst/>
                        </a:prstGeom>
                        <a:solidFill>
                          <a:srgbClr val="FFFFFF">
                            <a:alpha val="50000"/>
                          </a:srgbClr>
                        </a:solidFill>
                        <a:ln w="9525" cap="sq" cmpd="sng">
                          <a:solidFill>
                            <a:srgbClr val="000000"/>
                          </a:solidFill>
                          <a:prstDash val="sysDot"/>
                          <a:miter/>
                          <a:headEnd type="none" w="med" len="med"/>
                          <a:tailEnd type="none" w="med" len="med"/>
                        </a:ln>
                        <a:effectLst/>
                      </wps:spPr>
                      <wps:txb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4" o:spid="_x0000_s1026" o:spt="1" style="position:absolute;left:0pt;margin-left:501.1pt;margin-top:296.95pt;height:106.7pt;width:127.15pt;z-index:251661312;mso-width-relative:page;mso-height-relative:page;" fillcolor="#FFFFFF" filled="t" stroked="t" coordsize="21600,21600" o:gfxdata="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YKSP12wAAAA0BAAAPAAAAAAAAAAEAIAAAACIAAABkcnMvZG93bnJl&#10;di54bWxQSwECFAAUAAAACACHTuJA2p4PoqUCAAB2BQAADgAAAAAAAAABACAAAAAqAQAAZHJzL2Uy&#10;b0RvYy54bWxQSwUGAAAAAAYABgBZAQAAQQYAAAAA&#10;">
                <v:fill on="t" opacity="32768f" focussize="0,0"/>
                <v:stroke color="#000000" joinstyle="miter" dashstyle="1 1" endcap="square"/>
                <v:imagedata o:title=""/>
                <o:lock v:ext="edit" aspectratio="f"/>
                <v:textbo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v:textbox>
              </v:rect>
            </w:pict>
          </mc:Fallback>
        </mc:AlternateContent>
      </w:r>
    </w:p>
    <w:p>
      <w:pPr>
        <w:tabs>
          <w:tab w:val="left" w:pos="0"/>
        </w:tabs>
        <w:bidi w:val="0"/>
        <w:rPr>
          <w:rFonts w:hint="default" w:ascii="Times New Roman" w:hAnsi="Times New Roman" w:cs="Times New Roman"/>
          <w:highlight w:val="none"/>
        </w:rPr>
      </w:pPr>
      <w:r>
        <w:rPr>
          <w:rFonts w:hint="default" w:ascii="Times New Roman" w:hAnsi="Times New Roman" w:cs="Times New Roman"/>
          <w:sz w:val="24"/>
          <w:highlight w:val="none"/>
        </w:rPr>
        <mc:AlternateContent>
          <mc:Choice Requires="wpg">
            <w:drawing>
              <wp:anchor distT="0" distB="0" distL="114300" distR="114300" simplePos="0" relativeHeight="251695104" behindDoc="0" locked="0" layoutInCell="1" allowOverlap="1">
                <wp:simplePos x="0" y="0"/>
                <wp:positionH relativeFrom="column">
                  <wp:posOffset>6539865</wp:posOffset>
                </wp:positionH>
                <wp:positionV relativeFrom="paragraph">
                  <wp:posOffset>4674870</wp:posOffset>
                </wp:positionV>
                <wp:extent cx="727075" cy="285750"/>
                <wp:effectExtent l="25400" t="0" r="0" b="29210"/>
                <wp:wrapNone/>
                <wp:docPr id="150" name="组合 150"/>
                <wp:cNvGraphicFramePr/>
                <a:graphic xmlns:a="http://schemas.openxmlformats.org/drawingml/2006/main">
                  <a:graphicData uri="http://schemas.microsoft.com/office/word/2010/wordprocessingGroup">
                    <wpg:wgp>
                      <wpg:cNvGrpSpPr/>
                      <wpg:grpSpPr>
                        <a:xfrm>
                          <a:off x="0" y="0"/>
                          <a:ext cx="727075" cy="285750"/>
                          <a:chOff x="15006" y="264305"/>
                          <a:chExt cx="1802" cy="450"/>
                        </a:xfrm>
                      </wpg:grpSpPr>
                      <wps:wsp>
                        <wps:cNvPr id="151" name="直接连接符 1"/>
                        <wps:cNvCnPr/>
                        <wps:spPr>
                          <a:xfrm flipV="1">
                            <a:off x="15084" y="264544"/>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152" name="矩形 6"/>
                        <wps:cNvSpPr/>
                        <wps:spPr>
                          <a:xfrm>
                            <a:off x="15006" y="264305"/>
                            <a:ext cx="1802" cy="450"/>
                          </a:xfrm>
                          <a:prstGeom prst="rect">
                            <a:avLst/>
                          </a:prstGeom>
                          <a:noFill/>
                          <a:ln w="25400">
                            <a:noFill/>
                          </a:ln>
                          <a:effectLst>
                            <a:glow rad="25400">
                              <a:schemeClr val="bg1">
                                <a:alpha val="100000"/>
                              </a:schemeClr>
                            </a:glow>
                          </a:effectLst>
                        </wps:spPr>
                        <wps:txbx>
                          <w:txbxContent>
                            <w:p>
                              <w:pPr>
                                <w:pStyle w:val="19"/>
                                <w:jc w:val="both"/>
                                <w:rPr>
                                  <w:b/>
                                  <w:bCs/>
                                  <w:color w:val="000000"/>
                                  <w:w w:val="90"/>
                                  <w:sz w:val="24"/>
                                  <w:szCs w:val="24"/>
                                  <w:lang w:val="en-US"/>
                                </w:rPr>
                              </w:pPr>
                              <w:r>
                                <w:rPr>
                                  <w:rFonts w:hint="eastAsia"/>
                                  <w:b/>
                                  <w:bCs/>
                                  <w:color w:val="000000"/>
                                  <w:w w:val="90"/>
                                  <w:sz w:val="24"/>
                                  <w:szCs w:val="24"/>
                                  <w:lang w:val="en-US" w:eastAsia="zh-CN"/>
                                </w:rPr>
                                <w:t>5</w:t>
                              </w:r>
                              <w:r>
                                <w:rPr>
                                  <w:rFonts w:hint="eastAsia"/>
                                  <w:b/>
                                  <w:bCs/>
                                  <w:color w:val="000000"/>
                                  <w:w w:val="90"/>
                                  <w:sz w:val="24"/>
                                  <w:szCs w:val="24"/>
                                  <w:lang w:val="en-US"/>
                                </w:rPr>
                                <w:t>0</w:t>
                              </w:r>
                              <w:r>
                                <w:rPr>
                                  <w:rFonts w:hint="eastAsia"/>
                                  <w:b/>
                                  <w:bCs/>
                                  <w:color w:val="000000"/>
                                  <w:w w:val="90"/>
                                  <w:sz w:val="24"/>
                                  <w:szCs w:val="24"/>
                                  <w:lang w:val="en-US" w:eastAsia="zh-CN"/>
                                </w:rPr>
                                <w:t>0m</w:t>
                              </w:r>
                            </w:p>
                          </w:txbxContent>
                        </wps:txbx>
                        <wps:bodyPr anchor="ctr" upright="1"/>
                      </wps:wsp>
                      <wps:wsp>
                        <wps:cNvPr id="153" name="直接连接符 1"/>
                        <wps:cNvCnPr/>
                        <wps:spPr>
                          <a:xfrm flipV="1">
                            <a:off x="16454" y="264535"/>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154" name="直接连接符 3"/>
                        <wps:cNvCnPr/>
                        <wps:spPr>
                          <a:xfrm>
                            <a:off x="15063" y="264714"/>
                            <a:ext cx="1409" cy="0"/>
                          </a:xfrm>
                          <a:prstGeom prst="line">
                            <a:avLst/>
                          </a:prstGeom>
                          <a:ln>
                            <a:headEnd type="none" w="med" len="med"/>
                            <a:tailEnd type="none" w="med" len="med"/>
                          </a:ln>
                          <a:effectLst>
                            <a:glow rad="25400">
                              <a:schemeClr val="bg1"/>
                            </a:glow>
                          </a:effectLst>
                        </wps:spPr>
                        <wps:style>
                          <a:lnRef idx="2">
                            <a:schemeClr val="dk1"/>
                          </a:lnRef>
                          <a:fillRef idx="0">
                            <a:schemeClr val="dk1"/>
                          </a:fillRef>
                          <a:effectRef idx="1">
                            <a:schemeClr val="dk1"/>
                          </a:effectRef>
                          <a:fontRef idx="minor">
                            <a:schemeClr val="tx1"/>
                          </a:fontRef>
                        </wps:style>
                        <wps:bodyPr upright="1"/>
                      </wps:wsp>
                    </wpg:wgp>
                  </a:graphicData>
                </a:graphic>
              </wp:anchor>
            </w:drawing>
          </mc:Choice>
          <mc:Fallback>
            <w:pict>
              <v:group id="_x0000_s1026" o:spid="_x0000_s1026" o:spt="203" style="position:absolute;left:0pt;margin-left:514.95pt;margin-top:368.1pt;height:22.5pt;width:57.25pt;z-index:251695104;mso-width-relative:page;mso-height-relative:page;" coordorigin="15006,264305" coordsize="1802,450" o:gfxdata="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">
                <o:lock v:ext="edit" aspectratio="f"/>
                <v:line id="直接连接符 1" o:spid="_x0000_s1026" o:spt="20" style="position:absolute;left:15084;top:264544;flip:y;height:152;width:2;" filled="f" stroked="t" coordsize="21600,21600" o:gfxdata="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H9OJugAAANwA&#10;AAAPAAAAAAAAAAEAIAAAACIAAABkcnMvZG93bnJldi54bWxQSwECFAAUAAAACACHTuJAMy8FnjsA&#10;AAA5AAAAEAAAAAAAAAABACAAAAAJAQAAZHJzL3NoYXBleG1sLnhtbFBLBQYAAAAABgAGAFsBAACz&#10;AwAAAAA=&#10;">
                  <v:fill on="f" focussize="0,0"/>
                  <v:stroke weight="2pt" color="#000000" joinstyle="round"/>
                  <v:imagedata o:title=""/>
                  <o:lock v:ext="edit" aspectratio="f"/>
                </v:line>
                <v:rect id="矩形 6" o:spid="_x0000_s1026" o:spt="1" style="position:absolute;left:15006;top:264305;height:450;width:1802;v-text-anchor:middle;" filled="f" stroked="f" coordsize="21600,21600" o:gfxdata="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tNt+8AAAA&#10;3AAAAA8AAAAAAAAAAQAgAAAAIgAAAGRycy9kb3ducmV2LnhtbFBLAQIUABQAAAAIAIdO4kAzLwWe&#10;OwAAADkAAAAQAAAAAAAAAAEAIAAAAAsBAABkcnMvc2hhcGV4bWwueG1sUEsFBgAAAAAGAAYAWwEA&#10;ALUDAAAAAA==&#10;">
                  <v:fill on="f" focussize="0,0"/>
                  <v:stroke on="f" weight="2pt"/>
                  <v:imagedata o:title=""/>
                  <o:lock v:ext="edit" aspectratio="f"/>
                  <v:textbox>
                    <w:txbxContent>
                      <w:p>
                        <w:pPr>
                          <w:pStyle w:val="19"/>
                          <w:jc w:val="both"/>
                          <w:rPr>
                            <w:b/>
                            <w:bCs/>
                            <w:color w:val="000000"/>
                            <w:w w:val="90"/>
                            <w:sz w:val="24"/>
                            <w:szCs w:val="24"/>
                            <w:lang w:val="en-US"/>
                          </w:rPr>
                        </w:pPr>
                        <w:r>
                          <w:rPr>
                            <w:rFonts w:hint="eastAsia"/>
                            <w:b/>
                            <w:bCs/>
                            <w:color w:val="000000"/>
                            <w:w w:val="90"/>
                            <w:sz w:val="24"/>
                            <w:szCs w:val="24"/>
                            <w:lang w:val="en-US" w:eastAsia="zh-CN"/>
                          </w:rPr>
                          <w:t>5</w:t>
                        </w:r>
                        <w:r>
                          <w:rPr>
                            <w:rFonts w:hint="eastAsia"/>
                            <w:b/>
                            <w:bCs/>
                            <w:color w:val="000000"/>
                            <w:w w:val="90"/>
                            <w:sz w:val="24"/>
                            <w:szCs w:val="24"/>
                            <w:lang w:val="en-US"/>
                          </w:rPr>
                          <w:t>0</w:t>
                        </w:r>
                        <w:r>
                          <w:rPr>
                            <w:rFonts w:hint="eastAsia"/>
                            <w:b/>
                            <w:bCs/>
                            <w:color w:val="000000"/>
                            <w:w w:val="90"/>
                            <w:sz w:val="24"/>
                            <w:szCs w:val="24"/>
                            <w:lang w:val="en-US" w:eastAsia="zh-CN"/>
                          </w:rPr>
                          <w:t>0m</w:t>
                        </w:r>
                      </w:p>
                    </w:txbxContent>
                  </v:textbox>
                </v:rect>
                <v:line id="直接连接符 1" o:spid="_x0000_s1026" o:spt="20" style="position:absolute;left:16454;top:264535;flip:y;height:152;width:2;" filled="f" stroked="t" coordsize="21600,21600" o:gfxdata="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oHoZbsAAADc&#10;AAAADwAAAAAAAAABACAAAAAiAAAAZHJzL2Rvd25yZXYueG1sUEsBAhQAFAAAAAgAh07iQDMvBZ47&#10;AAAAOQAAABAAAAAAAAAAAQAgAAAACgEAAGRycy9zaGFwZXhtbC54bWxQSwUGAAAAAAYABgBbAQAA&#10;tAMAAAAA&#10;">
                  <v:fill on="f" focussize="0,0"/>
                  <v:stroke weight="2pt" color="#000000" joinstyle="round"/>
                  <v:imagedata o:title=""/>
                  <o:lock v:ext="edit" aspectratio="f"/>
                </v:line>
                <v:line id="直接连接符 3" o:spid="_x0000_s1026" o:spt="20" style="position:absolute;left:15063;top:264714;height:0;width:1409;" filled="f" stroked="t" coordsize="21600,21600" o:gfxdata="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DQOG8AAAA&#10;3AAAAA8AAAAAAAAAAQAgAAAAIgAAAGRycy9kb3ducmV2LnhtbFBLAQIUABQAAAAIAIdO4kAzLwWe&#10;OwAAADkAAAAQAAAAAAAAAAEAIAAAAAsBAABkcnMvc2hhcGV4bWwueG1sUEsFBgAAAAAGAAYAWwEA&#10;ALUDAAAAAA==&#10;">
                  <v:fill on="f" focussize="0,0"/>
                  <v:stroke weight="2pt" color="#000000 [3200]" joinstyle="round"/>
                  <v:imagedata o:title=""/>
                  <o:lock v:ext="edit" aspectratio="f"/>
                </v:line>
              </v:group>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92032" behindDoc="0" locked="0" layoutInCell="1" allowOverlap="1">
                <wp:simplePos x="0" y="0"/>
                <wp:positionH relativeFrom="column">
                  <wp:posOffset>6598285</wp:posOffset>
                </wp:positionH>
                <wp:positionV relativeFrom="paragraph">
                  <wp:posOffset>4368165</wp:posOffset>
                </wp:positionV>
                <wp:extent cx="266700" cy="0"/>
                <wp:effectExtent l="0" t="0" r="0" b="0"/>
                <wp:wrapNone/>
                <wp:docPr id="139" name="直接连接符 139"/>
                <wp:cNvGraphicFramePr/>
                <a:graphic xmlns:a="http://schemas.openxmlformats.org/drawingml/2006/main">
                  <a:graphicData uri="http://schemas.microsoft.com/office/word/2010/wordprocessingShape">
                    <wps:wsp>
                      <wps:cNvCnPr/>
                      <wps:spPr>
                        <a:xfrm>
                          <a:off x="0" y="0"/>
                          <a:ext cx="266700" cy="0"/>
                        </a:xfrm>
                        <a:prstGeom prst="line">
                          <a:avLst/>
                        </a:prstGeom>
                        <a:ln w="12700">
                          <a:solidFill>
                            <a:srgbClr val="00FDF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9.55pt;margin-top:343.95pt;height:0pt;width:21pt;z-index:251692032;mso-width-relative:page;mso-height-relative:page;" filled="f" stroked="t" coordsize="21600,21600" o:gfxdata="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OWHF2AAAAA0BAAAPAAAAAAAA&#10;AAEAIAAAACIAAABkcnMvZG93bnJldi54bWxQSwECFAAUAAAACACHTuJAQOENcdkBAACeAwAADgAA&#10;AAAAAAABACAAAAAnAQAAZHJzL2Uyb0RvYy54bWxQSwUGAAAAAAYABgBZAQAAcgUAAAAA&#10;">
                <v:fill on="f" focussize="0,0"/>
                <v:stroke weight="1pt" color="#00FDFD [3204]" joinstyle="round"/>
                <v:imagedata o:title=""/>
                <o:lock v:ext="edit" aspectratio="f"/>
              </v:lin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4864" behindDoc="0" locked="0" layoutInCell="1" allowOverlap="1">
                <wp:simplePos x="0" y="0"/>
                <wp:positionH relativeFrom="column">
                  <wp:posOffset>6575425</wp:posOffset>
                </wp:positionH>
                <wp:positionV relativeFrom="paragraph">
                  <wp:posOffset>4519930</wp:posOffset>
                </wp:positionV>
                <wp:extent cx="288290" cy="2540"/>
                <wp:effectExtent l="0" t="52070" r="16510" b="59690"/>
                <wp:wrapNone/>
                <wp:docPr id="114" name="直接箭头连接符 114"/>
                <wp:cNvGraphicFramePr/>
                <a:graphic xmlns:a="http://schemas.openxmlformats.org/drawingml/2006/main">
                  <a:graphicData uri="http://schemas.microsoft.com/office/word/2010/wordprocessingShape">
                    <wps:wsp>
                      <wps:cNvCnPr/>
                      <wps:spPr>
                        <a:xfrm>
                          <a:off x="0" y="0"/>
                          <a:ext cx="288290" cy="254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17.75pt;margin-top:355.9pt;height:0.2pt;width:22.7pt;z-index:251684864;mso-width-relative:page;mso-height-relative:page;" filled="f" stroked="t" coordsize="21600,21600" o:gfxdata="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mxpV1wAAAA0BAAAPAAAA&#10;AAAAAAEAIAAAACIAAABkcnMvZG93bnJldi54bWxQSwECFAAUAAAACACHTuJALyQkeRYCAAAGBAAA&#10;DgAAAAAAAAABACAAAAAmAQAAZHJzL2Uyb0RvYy54bWxQSwUGAAAAAAYABgBZAQAArgU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94080" behindDoc="0" locked="0" layoutInCell="1" allowOverlap="1">
                <wp:simplePos x="0" y="0"/>
                <wp:positionH relativeFrom="column">
                  <wp:posOffset>3743325</wp:posOffset>
                </wp:positionH>
                <wp:positionV relativeFrom="paragraph">
                  <wp:posOffset>3187700</wp:posOffset>
                </wp:positionV>
                <wp:extent cx="170180" cy="170180"/>
                <wp:effectExtent l="12700" t="12700" r="26670" b="26670"/>
                <wp:wrapNone/>
                <wp:docPr id="149" name="五角星 149"/>
                <wp:cNvGraphicFramePr/>
                <a:graphic xmlns:a="http://schemas.openxmlformats.org/drawingml/2006/main">
                  <a:graphicData uri="http://schemas.microsoft.com/office/word/2010/wordprocessingShape">
                    <wps:wsp>
                      <wps:cNvSpPr/>
                      <wps:spPr>
                        <a:xfrm>
                          <a:off x="0" y="0"/>
                          <a:ext cx="170180" cy="170180"/>
                        </a:xfrm>
                        <a:prstGeom prst="star5">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4.75pt;margin-top:251pt;height:13.4pt;width:13.4pt;z-index:251694080;v-text-anchor:middle;mso-width-relative:page;mso-height-relative:page;" fillcolor="#4F81BD [3204]" filled="t" stroked="t" coordsize="170180,170180" o:gfxdata="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8n/5fNUAAAALAQAADwAAAAAAAAABACAAAAAiAAAAZHJzL2Rvd25yZXYueG1s&#10;UEsBAhQAFAAAAAgAh07iQEwQU4ltAgAA5AQAAA4AAAAAAAAAAQAgAAAAJAEAAGRycy9lMm9Eb2Mu&#10;eG1sUEsFBgAAAAAGAAYAWQEAAAMGAAAAAA==&#10;" path="m0,65002l65003,65003,85090,0,105176,65003,170179,65002,117590,105176,137678,170179,85090,130005,32501,170179,52589,105176xe">
                <v:path o:connectlocs="85090,0;0,65002;32501,170179;137678,170179;170179,65002" o:connectangles="247,164,82,82,0"/>
                <v:fill on="t" focussize="0,0"/>
                <v:stroke weight="2pt" color="#FF0000 [3204]" joinstyle="round"/>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93056" behindDoc="0" locked="0" layoutInCell="1" allowOverlap="1">
                <wp:simplePos x="0" y="0"/>
                <wp:positionH relativeFrom="column">
                  <wp:posOffset>6615430</wp:posOffset>
                </wp:positionH>
                <wp:positionV relativeFrom="paragraph">
                  <wp:posOffset>3938270</wp:posOffset>
                </wp:positionV>
                <wp:extent cx="170180" cy="170180"/>
                <wp:effectExtent l="12700" t="12700" r="26670" b="26670"/>
                <wp:wrapNone/>
                <wp:docPr id="147" name="五角星 147"/>
                <wp:cNvGraphicFramePr/>
                <a:graphic xmlns:a="http://schemas.openxmlformats.org/drawingml/2006/main">
                  <a:graphicData uri="http://schemas.microsoft.com/office/word/2010/wordprocessingShape">
                    <wps:wsp>
                      <wps:cNvSpPr/>
                      <wps:spPr>
                        <a:xfrm>
                          <a:off x="7515225" y="4838065"/>
                          <a:ext cx="170180" cy="170180"/>
                        </a:xfrm>
                        <a:prstGeom prst="star5">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20.9pt;margin-top:310.1pt;height:13.4pt;width:13.4pt;z-index:251693056;v-text-anchor:middle;mso-width-relative:page;mso-height-relative:page;" fillcolor="#4F81BD [3204]" filled="t" stroked="t" coordsize="170180,170180" o:gfxdata="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iC9GHWAAAADQEAAA8AAAAAAAAAAQAgAAAAIgAA&#10;AGRycy9kb3ducmV2LnhtbFBLAQIUABQAAAAIAIdO4kB7eI5YfAIAAPAEAAAOAAAAAAAAAAEAIAAA&#10;ACUBAABkcnMvZTJvRG9jLnhtbFBLBQYAAAAABgAGAFkBAAATBgAAAAA=&#10;" path="m0,65002l65003,65003,85090,0,105176,65003,170179,65002,117590,105176,137678,170179,85090,130005,32501,170179,52589,105176xe">
                <v:path o:connectlocs="85090,0;0,65002;32501,170179;137678,170179;170179,65002" o:connectangles="247,164,82,82,0"/>
                <v:fill on="t" focussize="0,0"/>
                <v:stroke weight="2pt" color="#FF0000 [3204]" joinstyle="round"/>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2336" behindDoc="0" locked="0" layoutInCell="1" allowOverlap="1">
                <wp:simplePos x="0" y="0"/>
                <wp:positionH relativeFrom="column">
                  <wp:posOffset>6550025</wp:posOffset>
                </wp:positionH>
                <wp:positionV relativeFrom="paragraph">
                  <wp:posOffset>4184015</wp:posOffset>
                </wp:positionV>
                <wp:extent cx="330200" cy="635"/>
                <wp:effectExtent l="0" t="38100" r="12700" b="56515"/>
                <wp:wrapNone/>
                <wp:docPr id="18" name="直接连接符 18"/>
                <wp:cNvGraphicFramePr/>
                <a:graphic xmlns:a="http://schemas.openxmlformats.org/drawingml/2006/main">
                  <a:graphicData uri="http://schemas.microsoft.com/office/word/2010/wordprocessingShape">
                    <wps:wsp>
                      <wps:cNvCnPr/>
                      <wps:spPr>
                        <a:xfrm>
                          <a:off x="0" y="0"/>
                          <a:ext cx="330200" cy="635"/>
                        </a:xfrm>
                        <a:prstGeom prst="line">
                          <a:avLst/>
                        </a:prstGeom>
                        <a:ln w="762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15.75pt;margin-top:329.45pt;height:0.05pt;width:26pt;z-index:251662336;mso-width-relative:page;mso-height-relative:page;" filled="f" stroked="t" coordsize="21600,21600" o:gfxdata="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zXlTvZAAAADQEAAA8AAAAAAAAAAQAgAAAAIgAAAGRycy9kb3ducmV2LnhtbFBL&#10;AQIUABQAAAAIAIdO4kCy9YA/9QEAAOgDAAAOAAAAAAAAAAEAIAAAACgBAABkcnMvZTJvRG9jLnht&#10;bFBLBQYAAAAABgAGAFkBAACPBQAAAAA=&#10;">
                <v:fill on="f" focussize="0,0"/>
                <v:stroke weight="6pt" color="#FF0000" joinstyle="round"/>
                <v:imagedata o:title=""/>
                <o:lock v:ext="edit" aspectratio="f"/>
              </v:line>
            </w:pict>
          </mc:Fallback>
        </mc:AlternateContent>
      </w:r>
      <w:r>
        <w:rPr>
          <w:rFonts w:hint="default" w:ascii="Times New Roman" w:hAnsi="Times New Roman" w:cs="Times New Roman"/>
          <w:highlight w:val="none"/>
        </w:rPr>
        <w:drawing>
          <wp:anchor distT="0" distB="0" distL="114300" distR="114300" simplePos="0" relativeHeight="251679744" behindDoc="0" locked="0" layoutInCell="1" allowOverlap="1">
            <wp:simplePos x="0" y="0"/>
            <wp:positionH relativeFrom="column">
              <wp:posOffset>7283450</wp:posOffset>
            </wp:positionH>
            <wp:positionV relativeFrom="paragraph">
              <wp:posOffset>174625</wp:posOffset>
            </wp:positionV>
            <wp:extent cx="678180" cy="838200"/>
            <wp:effectExtent l="0" t="0" r="7620" b="0"/>
            <wp:wrapNone/>
            <wp:docPr id="12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9"/>
                    <pic:cNvPicPr>
                      <a:picLocks noChangeAspect="1"/>
                    </pic:cNvPicPr>
                  </pic:nvPicPr>
                  <pic:blipFill>
                    <a:blip r:embed="rId25"/>
                    <a:stretch>
                      <a:fillRect/>
                    </a:stretch>
                  </pic:blipFill>
                  <pic:spPr>
                    <a:xfrm>
                      <a:off x="0" y="0"/>
                      <a:ext cx="678180" cy="838200"/>
                    </a:xfrm>
                    <a:prstGeom prst="rect">
                      <a:avLst/>
                    </a:prstGeom>
                    <a:noFill/>
                    <a:ln>
                      <a:noFill/>
                    </a:ln>
                  </pic:spPr>
                </pic:pic>
              </a:graphicData>
            </a:graphic>
          </wp:anchor>
        </w:drawing>
      </w:r>
      <w:r>
        <w:rPr>
          <w:rFonts w:hint="default" w:ascii="Times New Roman" w:hAnsi="Times New Roman" w:cs="Times New Roman"/>
          <w:sz w:val="24"/>
          <w:highlight w:val="none"/>
        </w:rPr>
        <mc:AlternateContent>
          <mc:Choice Requires="wps">
            <w:drawing>
              <wp:anchor distT="0" distB="0" distL="114300" distR="114300" simplePos="0" relativeHeight="251676672" behindDoc="0" locked="0" layoutInCell="1" allowOverlap="1">
                <wp:simplePos x="0" y="0"/>
                <wp:positionH relativeFrom="column">
                  <wp:posOffset>6275070</wp:posOffset>
                </wp:positionH>
                <wp:positionV relativeFrom="paragraph">
                  <wp:posOffset>4394835</wp:posOffset>
                </wp:positionV>
                <wp:extent cx="118110" cy="127635"/>
                <wp:effectExtent l="12700" t="12700" r="21590" b="31115"/>
                <wp:wrapNone/>
                <wp:docPr id="122" name="矩形 122"/>
                <wp:cNvGraphicFramePr/>
                <a:graphic xmlns:a="http://schemas.openxmlformats.org/drawingml/2006/main">
                  <a:graphicData uri="http://schemas.microsoft.com/office/word/2010/wordprocessingShape">
                    <wps:wsp>
                      <wps:cNvSpPr/>
                      <wps:spPr>
                        <a:xfrm>
                          <a:off x="7425055" y="4420235"/>
                          <a:ext cx="118110" cy="127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4.1pt;margin-top:346.05pt;height:10.05pt;width:9.3pt;z-index:251676672;v-text-anchor:middle;mso-width-relative:page;mso-height-relative:page;" filled="f" stroked="t" coordsize="21600,21600" o:gfxdata="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JqX6dkAAAAMAQAADwAAAAAAAAABACAAAAAiAAAAZHJzL2Rvd25yZXYu&#10;eG1sUEsBAhQAFAAAAAgAh07iQAPe5JZsAgAAwwQAAA4AAAAAAAAAAQAgAAAAKAEAAGRycy9lMm9E&#10;b2MueG1sUEsFBgAAAAAGAAYAWQEAAAYGAAAAAA==&#10;">
                <v:fill on="f" focussize="0,0"/>
                <v:stroke weight="2pt" color="#FF0000 [3204]" joinstyle="round"/>
                <v:imagedata o:title=""/>
                <o:lock v:ext="edit" aspectratio="f"/>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5888" behindDoc="0" locked="0" layoutInCell="1" allowOverlap="1">
                <wp:simplePos x="0" y="0"/>
                <wp:positionH relativeFrom="column">
                  <wp:posOffset>5822315</wp:posOffset>
                </wp:positionH>
                <wp:positionV relativeFrom="paragraph">
                  <wp:posOffset>1043305</wp:posOffset>
                </wp:positionV>
                <wp:extent cx="1212850" cy="351155"/>
                <wp:effectExtent l="0" t="0" r="0" b="0"/>
                <wp:wrapNone/>
                <wp:docPr id="135" name="矩形 84"/>
                <wp:cNvGraphicFramePr/>
                <a:graphic xmlns:a="http://schemas.openxmlformats.org/drawingml/2006/main">
                  <a:graphicData uri="http://schemas.microsoft.com/office/word/2010/wordprocessingShape">
                    <wps:wsp>
                      <wps:cNvSpPr/>
                      <wps:spPr>
                        <a:xfrm>
                          <a:off x="0" y="0"/>
                          <a:ext cx="1212850" cy="351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西阳村龙井溪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4" o:spid="_x0000_s1026" o:spt="1" style="position:absolute;left:0pt;margin-left:458.45pt;margin-top:82.15pt;height:27.65pt;width:95.5pt;z-index:251685888;v-text-anchor:middle;mso-width-relative:page;mso-height-relative:page;" filled="f" stroked="f" coordsize="21600,21600" o:gfxdata="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55c9kAAAAM&#10;AQAADwAAAAAAAAABACAAAAAiAAAAZHJzL2Rvd25yZXYueG1sUEsBAhQAFAAAAAgAh07iQPQmjlxU&#10;AgAAmQQAAA4AAAAAAAAAAQAgAAAAKAEAAGRycy9lMm9Eb2MueG1sUEsFBgAAAAAGAAYAWQEAAO4F&#10;AAAAAA==&#10;">
                <v:fill on="f" focussize="0,0"/>
                <v:stroke on="f" weight="2pt"/>
                <v:imagedata o:title=""/>
                <o:lock v:ext="edit" aspectratio="f"/>
                <v:textbox>
                  <w:txbxContent>
                    <w:p>
                      <w:pPr>
                        <w:jc w:val="both"/>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西阳村龙井溪</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0768" behindDoc="0" locked="0" layoutInCell="1" allowOverlap="1">
                <wp:simplePos x="0" y="0"/>
                <wp:positionH relativeFrom="column">
                  <wp:posOffset>1661160</wp:posOffset>
                </wp:positionH>
                <wp:positionV relativeFrom="paragraph">
                  <wp:posOffset>1405890</wp:posOffset>
                </wp:positionV>
                <wp:extent cx="227965" cy="358140"/>
                <wp:effectExtent l="0" t="5080" r="19685" b="17780"/>
                <wp:wrapNone/>
                <wp:docPr id="113" name="直接箭头连接符 113"/>
                <wp:cNvGraphicFramePr/>
                <a:graphic xmlns:a="http://schemas.openxmlformats.org/drawingml/2006/main">
                  <a:graphicData uri="http://schemas.microsoft.com/office/word/2010/wordprocessingShape">
                    <wps:wsp>
                      <wps:cNvCnPr/>
                      <wps:spPr>
                        <a:xfrm flipH="1">
                          <a:off x="4610735" y="4949190"/>
                          <a:ext cx="227965" cy="35814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30.8pt;margin-top:110.7pt;height:28.2pt;width:17.95pt;z-index:251680768;mso-width-relative:page;mso-height-relative:page;" filled="f" stroked="t" coordsize="21600,21600" o:gfxdata="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qEvGx2gAAAAsBAAAPAAAAAAAAAAEAIAAAACIAAABkcnMvZG93bnJldi54bWxQSwEC&#10;FAAUAAAACACHTuJAs894nSsCAAAeBAAADgAAAAAAAAABACAAAAApAQAAZHJzL2Uyb0RvYy54bWxQ&#10;SwUGAAAAAAYABgBZAQAAxgU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1792" behindDoc="0" locked="0" layoutInCell="1" allowOverlap="1">
                <wp:simplePos x="0" y="0"/>
                <wp:positionH relativeFrom="column">
                  <wp:posOffset>3591560</wp:posOffset>
                </wp:positionH>
                <wp:positionV relativeFrom="paragraph">
                  <wp:posOffset>1845310</wp:posOffset>
                </wp:positionV>
                <wp:extent cx="368935" cy="58420"/>
                <wp:effectExtent l="0" t="10160" r="12065" b="45720"/>
                <wp:wrapNone/>
                <wp:docPr id="119" name="直接箭头连接符 119"/>
                <wp:cNvGraphicFramePr/>
                <a:graphic xmlns:a="http://schemas.openxmlformats.org/drawingml/2006/main">
                  <a:graphicData uri="http://schemas.microsoft.com/office/word/2010/wordprocessingShape">
                    <wps:wsp>
                      <wps:cNvCnPr/>
                      <wps:spPr>
                        <a:xfrm flipH="1">
                          <a:off x="0" y="0"/>
                          <a:ext cx="368935" cy="5842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2.8pt;margin-top:145.3pt;height:4.6pt;width:29.05pt;z-index:251681792;mso-width-relative:page;mso-height-relative:page;" filled="f" stroked="t" coordsize="21600,21600" o:gfxdata="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IIS2R&#10;2QAAAAsBAAAPAAAAAAAAAAEAIAAAACIAAABkcnMvZG93bnJldi54bWxQSwECFAAUAAAACACHTuJA&#10;7VGXOSACAAARBAAADgAAAAAAAAABACAAAAAoAQAAZHJzL2Uyb0RvYy54bWxQSwUGAAAAAAYABgBZ&#10;AQAAugU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3840" behindDoc="0" locked="0" layoutInCell="1" allowOverlap="1">
                <wp:simplePos x="0" y="0"/>
                <wp:positionH relativeFrom="column">
                  <wp:posOffset>5934075</wp:posOffset>
                </wp:positionH>
                <wp:positionV relativeFrom="paragraph">
                  <wp:posOffset>2045335</wp:posOffset>
                </wp:positionV>
                <wp:extent cx="99060" cy="426085"/>
                <wp:effectExtent l="31115" t="1905" r="22225" b="10160"/>
                <wp:wrapNone/>
                <wp:docPr id="115" name="直接箭头连接符 115"/>
                <wp:cNvGraphicFramePr/>
                <a:graphic xmlns:a="http://schemas.openxmlformats.org/drawingml/2006/main">
                  <a:graphicData uri="http://schemas.microsoft.com/office/word/2010/wordprocessingShape">
                    <wps:wsp>
                      <wps:cNvCnPr/>
                      <wps:spPr>
                        <a:xfrm flipH="1">
                          <a:off x="0" y="0"/>
                          <a:ext cx="99060" cy="426085"/>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67.25pt;margin-top:161.05pt;height:33.55pt;width:7.8pt;z-index:251683840;mso-width-relative:page;mso-height-relative:page;" filled="f" stroked="t" coordsize="21600,21600" o:gfxdata="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R6PDbNkA&#10;AAALAQAADwAAAAAAAAABACAAAAAiAAAAZHJzL2Rvd25yZXYueG1sUEsBAhQAFAAAAAgAh07iQIqU&#10;mTseAgAAEQQAAA4AAAAAAAAAAQAgAAAAKAEAAGRycy9lMm9Eb2MueG1sUEsFBgAAAAAGAAYAWQEA&#10;ALgFA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6912" behindDoc="0" locked="0" layoutInCell="1" allowOverlap="1">
                <wp:simplePos x="0" y="0"/>
                <wp:positionH relativeFrom="column">
                  <wp:posOffset>2677795</wp:posOffset>
                </wp:positionH>
                <wp:positionV relativeFrom="paragraph">
                  <wp:posOffset>3612515</wp:posOffset>
                </wp:positionV>
                <wp:extent cx="328295" cy="240030"/>
                <wp:effectExtent l="5715" t="7620" r="8890" b="0"/>
                <wp:wrapNone/>
                <wp:docPr id="136" name="直接箭头连接符 136"/>
                <wp:cNvGraphicFramePr/>
                <a:graphic xmlns:a="http://schemas.openxmlformats.org/drawingml/2006/main">
                  <a:graphicData uri="http://schemas.microsoft.com/office/word/2010/wordprocessingShape">
                    <wps:wsp>
                      <wps:cNvCnPr/>
                      <wps:spPr>
                        <a:xfrm>
                          <a:off x="0" y="0"/>
                          <a:ext cx="328295" cy="24003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0.85pt;margin-top:284.45pt;height:18.9pt;width:25.85pt;z-index:251686912;mso-width-relative:page;mso-height-relative:page;" filled="f" stroked="t" coordsize="21600,21600" o:gfxdata="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aT9/tgAAAALAQAA&#10;DwAAAAAAAAABACAAAAAiAAAAZHJzL2Rvd25yZXYueG1sUEsBAhQAFAAAAAgAh07iQKMbTGgZAgAA&#10;CAQAAA4AAAAAAAAAAQAgAAAAJwEAAGRycy9lMm9Eb2MueG1sUEsFBgAAAAAGAAYAWQEAALIFAAAA&#10;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2576" behindDoc="0" locked="0" layoutInCell="1" allowOverlap="1">
                <wp:simplePos x="0" y="0"/>
                <wp:positionH relativeFrom="column">
                  <wp:posOffset>2796540</wp:posOffset>
                </wp:positionH>
                <wp:positionV relativeFrom="paragraph">
                  <wp:posOffset>498475</wp:posOffset>
                </wp:positionV>
                <wp:extent cx="671830" cy="351155"/>
                <wp:effectExtent l="0" t="0" r="0" b="0"/>
                <wp:wrapNone/>
                <wp:docPr id="132" name="矩形 84"/>
                <wp:cNvGraphicFramePr/>
                <a:graphic xmlns:a="http://schemas.openxmlformats.org/drawingml/2006/main">
                  <a:graphicData uri="http://schemas.microsoft.com/office/word/2010/wordprocessingShape">
                    <wps:wsp>
                      <wps:cNvSpPr/>
                      <wps:spPr>
                        <a:xfrm>
                          <a:off x="2681605" y="4116070"/>
                          <a:ext cx="671830" cy="351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both"/>
                              <w:textAlignment w:val="auto"/>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天竹水库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4" o:spid="_x0000_s1026" o:spt="1" style="position:absolute;left:0pt;margin-left:220.2pt;margin-top:39.25pt;height:27.65pt;width:52.9pt;z-index:251672576;v-text-anchor:middle;mso-width-relative:page;mso-height-relative:page;" filled="f" stroked="f" coordsize="21600,21600" o:gfxdata="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EUe122QAAAAoBAAAPAAAAAAAAAAEAIAAAACIAAABkcnMvZG93bnJldi54bWxQSwECFAAUAAAA&#10;CACHTuJA0t5EkF8CAACkBAAADgAAAAAAAAABACAAAAAoAQAAZHJzL2Uyb0RvYy54bWxQSwUGAAAA&#10;AAYABgBZAQAA+QUAAAAA&#10;">
                <v:fill on="f" focussize="0,0"/>
                <v:stroke on="f" weight="2pt"/>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both"/>
                        <w:textAlignment w:val="auto"/>
                        <w:rPr>
                          <w:rFonts w:hint="default" w:eastAsia="宋体" w:cs="宋体"/>
                          <w:sz w:val="18"/>
                          <w:szCs w:val="18"/>
                          <w:lang w:val="en-US" w:eastAsia="zh-CN"/>
                          <w14:glow w14:rad="228600">
                            <w14:schemeClr w14:val="accent4">
                              <w14:satMod w14:val="175000"/>
                              <w14:alpha w14:val="60000"/>
                            </w14:schemeClr>
                          </w14:glow>
                        </w:rPr>
                      </w:pPr>
                      <w:r>
                        <w:rPr>
                          <w:rFonts w:hint="eastAsia" w:cs="宋体"/>
                          <w:sz w:val="18"/>
                          <w:szCs w:val="18"/>
                          <w:lang w:val="en-US" w:eastAsia="zh-CN"/>
                          <w14:glow w14:rad="228600">
                            <w14:schemeClr w14:val="accent4">
                              <w14:satMod w14:val="175000"/>
                              <w14:alpha w14:val="60000"/>
                            </w14:schemeClr>
                          </w14:glow>
                        </w:rPr>
                        <w:t>天竹水库</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7696" behindDoc="0" locked="0" layoutInCell="1" allowOverlap="1">
                <wp:simplePos x="0" y="0"/>
                <wp:positionH relativeFrom="column">
                  <wp:posOffset>2030095</wp:posOffset>
                </wp:positionH>
                <wp:positionV relativeFrom="paragraph">
                  <wp:posOffset>3752850</wp:posOffset>
                </wp:positionV>
                <wp:extent cx="671830" cy="351155"/>
                <wp:effectExtent l="0" t="0" r="0" b="0"/>
                <wp:wrapNone/>
                <wp:docPr id="131" name="矩形 131"/>
                <wp:cNvGraphicFramePr/>
                <a:graphic xmlns:a="http://schemas.openxmlformats.org/drawingml/2006/main">
                  <a:graphicData uri="http://schemas.microsoft.com/office/word/2010/wordprocessingShape">
                    <wps:wsp>
                      <wps:cNvSpPr/>
                      <wps:spPr>
                        <a:xfrm>
                          <a:off x="0" y="0"/>
                          <a:ext cx="671830" cy="3511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eastAsia="宋体"/>
                                <w:sz w:val="18"/>
                                <w:szCs w:val="18"/>
                                <w:lang w:val="en-US" w:eastAsia="zh-CN"/>
                                <w14:glow w14:rad="228600">
                                  <w14:schemeClr w14:val="accent4">
                                    <w14:satMod w14:val="175000"/>
                                    <w14:alpha w14:val="60000"/>
                                  </w14:schemeClr>
                                </w14:glow>
                              </w:rPr>
                            </w:pPr>
                            <w:r>
                              <w:rPr>
                                <w:rFonts w:hint="eastAsia"/>
                                <w:sz w:val="18"/>
                                <w:szCs w:val="18"/>
                                <w:lang w:val="en-US" w:eastAsia="zh-CN"/>
                                <w14:glow w14:rad="228600">
                                  <w14:schemeClr w14:val="accent4">
                                    <w14:satMod w14:val="175000"/>
                                    <w14:alpha w14:val="60000"/>
                                  </w14:schemeClr>
                                </w14:glow>
                              </w:rPr>
                              <w:t>村</w:t>
                            </w:r>
                            <w:r>
                              <w:rPr>
                                <w:rFonts w:hint="eastAsia" w:eastAsia="宋体"/>
                                <w:sz w:val="18"/>
                                <w:szCs w:val="18"/>
                                <w:lang w:val="en-US" w:eastAsia="zh-CN"/>
                                <w14:glow w14:rad="228600">
                                  <w14:schemeClr w14:val="accent4">
                                    <w14:satMod w14:val="175000"/>
                                    <w14:alpha w14:val="60000"/>
                                  </w14:schemeClr>
                                </w14:glow>
                              </w:rPr>
                              <w:t>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85pt;margin-top:295.5pt;height:27.65pt;width:52.9pt;z-index:251677696;v-text-anchor:middle;mso-width-relative:page;mso-height-relative:page;" filled="f" stroked="f" coordsize="21600,21600" o:gfxdata="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som/toAAAAL&#10;AQAADwAAAAAAAAABACAAAAAiAAAAZHJzL2Rvd25yZXYueG1sUEsBAhQAFAAAAAgAh07iQAqvT4tT&#10;AgAAmQQAAA4AAAAAAAAAAQAgAAAAKQEAAGRycy9lMm9Eb2MueG1sUEsFBgAAAAAGAAYAWQEAAO4F&#10;AAAAAA==&#10;">
                <v:fill on="f" focussize="0,0"/>
                <v:stroke on="f" weight="2pt"/>
                <v:imagedata o:title=""/>
                <o:lock v:ext="edit" aspectratio="f"/>
                <v:textbox>
                  <w:txbxContent>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eastAsia="宋体"/>
                          <w:sz w:val="18"/>
                          <w:szCs w:val="18"/>
                          <w:lang w:val="en-US" w:eastAsia="zh-CN"/>
                          <w14:glow w14:rad="228600">
                            <w14:schemeClr w14:val="accent4">
                              <w14:satMod w14:val="175000"/>
                              <w14:alpha w14:val="60000"/>
                            </w14:schemeClr>
                          </w14:glow>
                        </w:rPr>
                      </w:pPr>
                      <w:r>
                        <w:rPr>
                          <w:rFonts w:hint="eastAsia"/>
                          <w:sz w:val="18"/>
                          <w:szCs w:val="18"/>
                          <w:lang w:val="en-US" w:eastAsia="zh-CN"/>
                          <w14:glow w14:rad="228600">
                            <w14:schemeClr w14:val="accent4">
                              <w14:satMod w14:val="175000"/>
                              <w14:alpha w14:val="60000"/>
                            </w14:schemeClr>
                          </w14:glow>
                        </w:rPr>
                        <w:t>村</w:t>
                      </w:r>
                      <w:r>
                        <w:rPr>
                          <w:rFonts w:hint="eastAsia" w:eastAsia="宋体"/>
                          <w:sz w:val="18"/>
                          <w:szCs w:val="18"/>
                          <w:lang w:val="en-US" w:eastAsia="zh-CN"/>
                          <w14:glow w14:rad="228600">
                            <w14:schemeClr w14:val="accent4">
                              <w14:satMod w14:val="175000"/>
                              <w14:alpha w14:val="60000"/>
                            </w14:schemeClr>
                          </w14:glow>
                        </w:rPr>
                        <w:t>镇</w:t>
                      </w:r>
                    </w:p>
                  </w:txbxContent>
                </v:textbox>
              </v:rect>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82816" behindDoc="0" locked="0" layoutInCell="1" allowOverlap="1">
                <wp:simplePos x="0" y="0"/>
                <wp:positionH relativeFrom="column">
                  <wp:posOffset>4526280</wp:posOffset>
                </wp:positionH>
                <wp:positionV relativeFrom="paragraph">
                  <wp:posOffset>525145</wp:posOffset>
                </wp:positionV>
                <wp:extent cx="228600" cy="125730"/>
                <wp:effectExtent l="0" t="2540" r="19050" b="24130"/>
                <wp:wrapNone/>
                <wp:docPr id="118" name="直接箭头连接符 118"/>
                <wp:cNvGraphicFramePr/>
                <a:graphic xmlns:a="http://schemas.openxmlformats.org/drawingml/2006/main">
                  <a:graphicData uri="http://schemas.microsoft.com/office/word/2010/wordprocessingShape">
                    <wps:wsp>
                      <wps:cNvCnPr/>
                      <wps:spPr>
                        <a:xfrm flipH="1" flipV="1">
                          <a:off x="0" y="0"/>
                          <a:ext cx="228600" cy="125730"/>
                        </a:xfrm>
                        <a:prstGeom prst="straightConnector1">
                          <a:avLst/>
                        </a:prstGeom>
                        <a:ln w="19050">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56.4pt;margin-top:41.35pt;height:9.9pt;width:18pt;z-index:251682816;mso-width-relative:page;mso-height-relative:page;" filled="f" stroked="t" coordsize="21600,21600" o:gfxdata="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SGlVvV&#10;AAAACgEAAA8AAAAAAAAAAQAgAAAAIgAAAGRycy9kb3ducmV2LnhtbFBLAQIUABQAAAAIAIdO4kB0&#10;BXysIwIAABwEAAAOAAAAAAAAAAEAIAAAACQBAABkcnMvZTJvRG9jLnhtbFBLBQYAAAAABgAGAFkB&#10;AAC5BQAAAAA=&#10;">
                <v:fill on="f" focussize="0,0"/>
                <v:stroke weight="1.5pt" color="#0D0D0D [3069]" joinstyle="round" endarrow="open"/>
                <v:imagedata o:title=""/>
                <o:lock v:ext="edit" aspectratio="f"/>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0288" behindDoc="0" locked="0" layoutInCell="1" allowOverlap="1">
                <wp:simplePos x="0" y="0"/>
                <wp:positionH relativeFrom="column">
                  <wp:posOffset>6414770</wp:posOffset>
                </wp:positionH>
                <wp:positionV relativeFrom="paragraph">
                  <wp:posOffset>3698875</wp:posOffset>
                </wp:positionV>
                <wp:extent cx="1614805" cy="1355090"/>
                <wp:effectExtent l="4445" t="4445" r="19050" b="12065"/>
                <wp:wrapNone/>
                <wp:docPr id="140" name="矩形 14"/>
                <wp:cNvGraphicFramePr/>
                <a:graphic xmlns:a="http://schemas.openxmlformats.org/drawingml/2006/main">
                  <a:graphicData uri="http://schemas.microsoft.com/office/word/2010/wordprocessingShape">
                    <wps:wsp>
                      <wps:cNvSpPr/>
                      <wps:spPr>
                        <a:xfrm>
                          <a:off x="0" y="0"/>
                          <a:ext cx="1614805" cy="1355090"/>
                        </a:xfrm>
                        <a:prstGeom prst="rect">
                          <a:avLst/>
                        </a:prstGeom>
                        <a:solidFill>
                          <a:srgbClr val="FFFFFF">
                            <a:alpha val="50000"/>
                          </a:srgbClr>
                        </a:solidFill>
                        <a:ln w="9525" cap="sq" cmpd="sng">
                          <a:solidFill>
                            <a:srgbClr val="000000"/>
                          </a:solidFill>
                          <a:prstDash val="sysDot"/>
                          <a:miter/>
                          <a:headEnd type="none" w="med" len="med"/>
                          <a:tailEnd type="none" w="med" len="med"/>
                        </a:ln>
                        <a:effectLst/>
                      </wps:spPr>
                      <wps:txb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4" o:spid="_x0000_s1026" o:spt="1" style="position:absolute;left:0pt;margin-left:505.1pt;margin-top:291.25pt;height:106.7pt;width:127.15pt;z-index:251660288;mso-width-relative:page;mso-height-relative:page;" fillcolor="#FFFFFF" filled="t" stroked="t" coordsize="21600,21600" o:gfxdata="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Apw1/bAAAADQEAAA8AAAAAAAAAAQAgAAAAIgAAAGRycy9kb3ducmV2&#10;LnhtbFBLAQIUABQAAAAIAIdO4kCrXZXfpAIAAHYFAAAOAAAAAAAAAAEAIAAAACoBAABkcnMvZTJv&#10;RG9jLnhtbFBLBQYAAAAABgAGAFkBAABABgAAAAA=&#10;">
                <v:fill on="t" opacity="32768f" focussize="0,0"/>
                <v:stroke color="#000000" joinstyle="miter" dashstyle="1 1" endcap="square"/>
                <v:imagedata o:title=""/>
                <o:lock v:ext="edit" aspectratio="f"/>
                <v:textbo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v:textbox>
              </v:rect>
            </w:pict>
          </mc:Fallback>
        </mc:AlternateContent>
      </w:r>
      <w:r>
        <w:rPr>
          <w:rFonts w:hint="default" w:ascii="Times New Roman" w:hAnsi="Times New Roman" w:cs="Times New Roman"/>
          <w:highlight w:val="none"/>
        </w:rPr>
        <w:drawing>
          <wp:inline distT="0" distB="0" distL="114300" distR="114300">
            <wp:extent cx="7825740" cy="5213985"/>
            <wp:effectExtent l="0" t="0" r="3810" b="571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27"/>
                    <a:stretch>
                      <a:fillRect/>
                    </a:stretch>
                  </pic:blipFill>
                  <pic:spPr>
                    <a:xfrm>
                      <a:off x="0" y="0"/>
                      <a:ext cx="7825740" cy="5213985"/>
                    </a:xfrm>
                    <a:prstGeom prst="rect">
                      <a:avLst/>
                    </a:prstGeom>
                    <a:noFill/>
                    <a:ln>
                      <a:noFill/>
                    </a:ln>
                  </pic:spPr>
                </pic:pic>
              </a:graphicData>
            </a:graphic>
          </wp:inline>
        </w:drawing>
      </w:r>
    </w:p>
    <w:p>
      <w:pPr>
        <w:pStyle w:val="22"/>
        <w:bidi w:val="0"/>
        <w:rPr>
          <w:rFonts w:hint="default" w:ascii="Times New Roman" w:hAnsi="Times New Roman" w:cs="Times New Roman"/>
          <w:highlight w:val="none"/>
          <w:lang w:val="en-US" w:eastAsia="zh-CN"/>
        </w:rPr>
      </w:pPr>
      <w:bookmarkStart w:id="52" w:name="_Ref22874"/>
      <w:r>
        <w:rPr>
          <w:rFonts w:hint="default" w:ascii="Times New Roman" w:hAnsi="Times New Roman" w:cs="Times New Roman"/>
          <w:highlight w:val="none"/>
          <w:lang w:val="en-US" w:eastAsia="zh-CN"/>
        </w:rPr>
        <w:t>地表水评价范围图（2）</w:t>
      </w:r>
      <w:bookmarkEnd w:id="52"/>
    </w:p>
    <w:p>
      <w:pPr>
        <w:tabs>
          <w:tab w:val="left" w:pos="0"/>
        </w:tabs>
        <w:bidi w:val="0"/>
        <w:rPr>
          <w:rFonts w:hint="default" w:ascii="Times New Roman" w:hAnsi="Times New Roman" w:cs="Times New Roman"/>
          <w:highlight w:val="none"/>
        </w:rPr>
        <w:sectPr>
          <w:pgSz w:w="16783" w:h="11850" w:orient="landscape"/>
          <w:pgMar w:top="1417" w:right="1417" w:bottom="1417" w:left="1417" w:header="0" w:footer="680" w:gutter="0"/>
          <w:pgBorders>
            <w:top w:val="none" w:sz="0" w:space="0"/>
            <w:left w:val="none" w:sz="0" w:space="0"/>
            <w:bottom w:val="none" w:sz="0" w:space="0"/>
            <w:right w:val="none" w:sz="0" w:space="0"/>
          </w:pgBorders>
          <w:pgNumType w:fmt="decimal"/>
          <w:cols w:space="0" w:num="1"/>
          <w:rtlGutter w:val="0"/>
          <w:docGrid w:linePitch="1" w:charSpace="0"/>
        </w:sectPr>
      </w:pPr>
      <w:r>
        <w:rPr>
          <w:rFonts w:hint="default" w:ascii="Times New Roman" w:hAnsi="Times New Roman" w:cs="Times New Roman"/>
          <w:sz w:val="24"/>
          <w:highlight w:val="none"/>
        </w:rPr>
        <mc:AlternateContent>
          <mc:Choice Requires="wps">
            <w:drawing>
              <wp:anchor distT="0" distB="0" distL="114300" distR="114300" simplePos="0" relativeHeight="251678720" behindDoc="0" locked="0" layoutInCell="1" allowOverlap="1">
                <wp:simplePos x="0" y="0"/>
                <wp:positionH relativeFrom="column">
                  <wp:posOffset>6565900</wp:posOffset>
                </wp:positionH>
                <wp:positionV relativeFrom="paragraph">
                  <wp:posOffset>4274185</wp:posOffset>
                </wp:positionV>
                <wp:extent cx="266700" cy="0"/>
                <wp:effectExtent l="0" t="28575" r="0" b="28575"/>
                <wp:wrapNone/>
                <wp:docPr id="121" name="直接连接符 121"/>
                <wp:cNvGraphicFramePr/>
                <a:graphic xmlns:a="http://schemas.openxmlformats.org/drawingml/2006/main">
                  <a:graphicData uri="http://schemas.microsoft.com/office/word/2010/wordprocessingShape">
                    <wps:wsp>
                      <wps:cNvCnPr/>
                      <wps:spPr>
                        <a:xfrm>
                          <a:off x="0" y="0"/>
                          <a:ext cx="2667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7pt;margin-top:336.55pt;height:0pt;width:21pt;z-index:251678720;mso-width-relative:page;mso-height-relative:page;" filled="f" stroked="t" coordsize="21600,21600" o:gfxdata="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rhaSF9cAAAANAQAADwAAAAAA&#10;AAABACAAAAAiAAAAZHJzL2Rvd25yZXYueG1sUEsBAhQAFAAAAAgAh07iQNxhibLbAQAAngMAAA4A&#10;AAAAAAAAAQAgAAAAJgEAAGRycy9lMm9Eb2MueG1sUEsFBgAAAAAGAAYAWQEAAHMFAAAAAA==&#10;">
                <v:fill on="f" focussize="0,0"/>
                <v:stroke weight="4.5pt" color="#FF0000 [3204]" joinstyle="round"/>
                <v:imagedata o:title=""/>
                <o:lock v:ext="edit" aspectratio="f"/>
              </v:lin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5648" behindDoc="0" locked="0" layoutInCell="1" allowOverlap="1">
                <wp:simplePos x="0" y="0"/>
                <wp:positionH relativeFrom="column">
                  <wp:posOffset>6535420</wp:posOffset>
                </wp:positionH>
                <wp:positionV relativeFrom="paragraph">
                  <wp:posOffset>4434205</wp:posOffset>
                </wp:positionV>
                <wp:extent cx="266700" cy="0"/>
                <wp:effectExtent l="0" t="0" r="0" b="0"/>
                <wp:wrapNone/>
                <wp:docPr id="123" name="直接连接符 123"/>
                <wp:cNvGraphicFramePr/>
                <a:graphic xmlns:a="http://schemas.openxmlformats.org/drawingml/2006/main">
                  <a:graphicData uri="http://schemas.microsoft.com/office/word/2010/wordprocessingShape">
                    <wps:wsp>
                      <wps:cNvCnPr/>
                      <wps:spPr>
                        <a:xfrm>
                          <a:off x="0" y="0"/>
                          <a:ext cx="266700" cy="0"/>
                        </a:xfrm>
                        <a:prstGeom prst="line">
                          <a:avLst/>
                        </a:prstGeom>
                        <a:ln w="12700">
                          <a:solidFill>
                            <a:srgbClr val="00FDF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4.6pt;margin-top:349.15pt;height:0pt;width:21pt;z-index:251675648;mso-width-relative:page;mso-height-relative:page;" filled="f" stroked="t" coordsize="21600,21600" o:gfxdata="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AClOBPYAAAADQEAAA8AAAAAAAAA&#10;AQAgAAAAIgAAAGRycy9kb3ducmV2LnhtbFBLAQIUABQAAAAIAIdO4kCQwxT+2AEAAJ4DAAAOAAAA&#10;AAAAAAEAIAAAACcBAABkcnMvZTJvRG9jLnhtbFBLBQYAAAAABgAGAFkBAABxBQAAAAA=&#10;">
                <v:fill on="f" focussize="0,0"/>
                <v:stroke weight="1pt" color="#00FDFD [3204]" joinstyle="round"/>
                <v:imagedata o:title=""/>
                <o:lock v:ext="edit" aspectratio="f"/>
              </v:lin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73600" behindDoc="0" locked="0" layoutInCell="1" allowOverlap="1">
                <wp:simplePos x="0" y="0"/>
                <wp:positionH relativeFrom="column">
                  <wp:posOffset>6363970</wp:posOffset>
                </wp:positionH>
                <wp:positionV relativeFrom="paragraph">
                  <wp:posOffset>3771265</wp:posOffset>
                </wp:positionV>
                <wp:extent cx="1614805" cy="1355090"/>
                <wp:effectExtent l="4445" t="4445" r="19050" b="12065"/>
                <wp:wrapNone/>
                <wp:docPr id="124" name="矩形 14"/>
                <wp:cNvGraphicFramePr/>
                <a:graphic xmlns:a="http://schemas.openxmlformats.org/drawingml/2006/main">
                  <a:graphicData uri="http://schemas.microsoft.com/office/word/2010/wordprocessingShape">
                    <wps:wsp>
                      <wps:cNvSpPr/>
                      <wps:spPr>
                        <a:xfrm>
                          <a:off x="0" y="0"/>
                          <a:ext cx="1614805" cy="1355090"/>
                        </a:xfrm>
                        <a:prstGeom prst="rect">
                          <a:avLst/>
                        </a:prstGeom>
                        <a:solidFill>
                          <a:srgbClr val="FFFFFF">
                            <a:alpha val="50000"/>
                          </a:srgbClr>
                        </a:solidFill>
                        <a:ln w="9525" cap="sq" cmpd="sng">
                          <a:solidFill>
                            <a:srgbClr val="000000"/>
                          </a:solidFill>
                          <a:prstDash val="sysDot"/>
                          <a:miter/>
                          <a:headEnd type="none" w="med" len="med"/>
                          <a:tailEnd type="none" w="med" len="med"/>
                        </a:ln>
                        <a:effectLst/>
                      </wps:spPr>
                      <wps:txb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矩形 14" o:spid="_x0000_s1026" o:spt="1" style="position:absolute;left:0pt;margin-left:501.1pt;margin-top:296.95pt;height:106.7pt;width:127.15pt;z-index:251673600;mso-width-relative:page;mso-height-relative:page;" fillcolor="#FFFFFF" filled="t" stroked="t" coordsize="21600,21600" o:gfxdata="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YKSP12wAAAA0BAAAPAAAAAAAAAAEAIAAAACIAAABkcnMvZG93bnJl&#10;di54bWxQSwECFAAUAAAACACHTuJArAsWu6UCAAB2BQAADgAAAAAAAAABACAAAAAqAQAAZHJzL2Uy&#10;b0RvYy54bWxQSwUGAAAAAAYABgBZAQAAQQYAAAAA&#10;">
                <v:fill on="t" opacity="32768f" focussize="0,0"/>
                <v:stroke color="#000000" joinstyle="miter" dashstyle="1 1" endcap="square"/>
                <v:imagedata o:title=""/>
                <o:lock v:ext="edit" aspectratio="f"/>
                <v:textbox>
                  <w:txbxContent>
                    <w:p>
                      <w:pPr>
                        <w:pStyle w:val="19"/>
                        <w:jc w:val="both"/>
                        <w:rPr>
                          <w:color w:val="000000"/>
                          <w:lang w:val="en-US"/>
                        </w:rPr>
                      </w:pPr>
                      <w:r>
                        <w:rPr>
                          <w:rFonts w:hint="eastAsia"/>
                          <w:color w:val="000000"/>
                          <w:lang w:val="en-US"/>
                        </w:rPr>
                        <w:t>图例：</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西</w:t>
                      </w:r>
                      <w:r>
                        <w:rPr>
                          <w:rFonts w:hint="eastAsia" w:eastAsia="宋体" w:cs="宋体"/>
                          <w:color w:val="000000"/>
                          <w:lang w:val="en-US" w:eastAsia="zh-CN"/>
                        </w:rPr>
                        <w:t>阳水厂</w:t>
                      </w:r>
                    </w:p>
                    <w:p>
                      <w:pPr>
                        <w:pStyle w:val="19"/>
                        <w:ind w:firstLine="630" w:firstLineChars="300"/>
                        <w:jc w:val="both"/>
                        <w:rPr>
                          <w:rFonts w:hint="default" w:eastAsia="宋体" w:cs="宋体"/>
                          <w:color w:val="000000"/>
                          <w:lang w:val="en-US" w:eastAsia="zh-CN"/>
                        </w:rPr>
                      </w:pPr>
                      <w:r>
                        <w:rPr>
                          <w:rFonts w:hint="eastAsia" w:eastAsia="宋体" w:cs="宋体"/>
                          <w:color w:val="000000"/>
                          <w:lang w:val="en-US" w:eastAsia="zh-CN"/>
                        </w:rPr>
                        <w:t>:</w:t>
                      </w:r>
                      <w:r>
                        <w:rPr>
                          <w:rFonts w:hint="eastAsia" w:cs="宋体"/>
                          <w:color w:val="000000"/>
                          <w:lang w:val="en-US" w:eastAsia="zh-CN"/>
                        </w:rPr>
                        <w:t>地表水评价范围</w:t>
                      </w:r>
                    </w:p>
                    <w:p>
                      <w:pPr>
                        <w:pStyle w:val="19"/>
                        <w:ind w:firstLine="630" w:firstLineChars="300"/>
                        <w:jc w:val="both"/>
                        <w:rPr>
                          <w:rFonts w:hint="eastAsia"/>
                          <w:color w:val="000000"/>
                          <w:lang w:val="en-US" w:eastAsia="zh-CN"/>
                        </w:rPr>
                      </w:pPr>
                      <w:r>
                        <w:rPr>
                          <w:rFonts w:hint="eastAsia"/>
                          <w:color w:val="000000"/>
                          <w:lang w:val="en-US"/>
                        </w:rPr>
                        <w:t>:</w:t>
                      </w:r>
                      <w:r>
                        <w:rPr>
                          <w:rFonts w:hint="eastAsia"/>
                          <w:color w:val="000000"/>
                          <w:lang w:val="en-US" w:eastAsia="zh-CN"/>
                        </w:rPr>
                        <w:t>周边水系</w:t>
                      </w:r>
                    </w:p>
                    <w:p>
                      <w:pPr>
                        <w:ind w:firstLine="630" w:firstLineChars="300"/>
                        <w:rPr>
                          <w:rFonts w:hint="default" w:ascii="Times New Roman" w:hAnsi="Times New Roman" w:eastAsia="宋体" w:cs="宋体"/>
                          <w:color w:val="000000"/>
                          <w:kern w:val="0"/>
                          <w:sz w:val="21"/>
                          <w:szCs w:val="22"/>
                          <w:lang w:val="en-US" w:eastAsia="zh-CN" w:bidi="ar-SA"/>
                        </w:rPr>
                      </w:pPr>
                      <w:r>
                        <w:rPr>
                          <w:rFonts w:hint="eastAsia" w:ascii="Times New Roman" w:hAnsi="Times New Roman" w:eastAsia="宋体" w:cs="宋体"/>
                          <w:color w:val="000000"/>
                          <w:kern w:val="0"/>
                          <w:sz w:val="21"/>
                          <w:szCs w:val="22"/>
                          <w:lang w:val="en-US" w:eastAsia="zh-CN" w:bidi="ar-SA"/>
                        </w:rPr>
                        <w:t>:水系</w:t>
                      </w:r>
                      <w:r>
                        <w:rPr>
                          <w:rFonts w:hint="eastAsia" w:cs="宋体"/>
                          <w:color w:val="000000"/>
                          <w:kern w:val="0"/>
                          <w:sz w:val="21"/>
                          <w:szCs w:val="22"/>
                          <w:lang w:val="en-US" w:eastAsia="zh-CN" w:bidi="ar-SA"/>
                        </w:rPr>
                        <w:t>流向</w:t>
                      </w:r>
                    </w:p>
                  </w:txbxContent>
                </v:textbox>
              </v:rect>
            </w:pict>
          </mc:Fallback>
        </mc:AlternateContent>
      </w:r>
      <w:r>
        <w:rPr>
          <w:rFonts w:hint="default" w:ascii="Times New Roman" w:hAnsi="Times New Roman" w:cs="Times New Roman"/>
          <w:sz w:val="24"/>
          <w:highlight w:val="none"/>
        </w:rPr>
        <mc:AlternateContent>
          <mc:Choice Requires="wpg">
            <w:drawing>
              <wp:anchor distT="0" distB="0" distL="114300" distR="114300" simplePos="0" relativeHeight="251674624" behindDoc="0" locked="0" layoutInCell="1" allowOverlap="1">
                <wp:simplePos x="0" y="0"/>
                <wp:positionH relativeFrom="column">
                  <wp:posOffset>6517640</wp:posOffset>
                </wp:positionH>
                <wp:positionV relativeFrom="paragraph">
                  <wp:posOffset>4615180</wp:posOffset>
                </wp:positionV>
                <wp:extent cx="581660" cy="285750"/>
                <wp:effectExtent l="25400" t="0" r="0" b="29210"/>
                <wp:wrapNone/>
                <wp:docPr id="126" name="组合 126"/>
                <wp:cNvGraphicFramePr/>
                <a:graphic xmlns:a="http://schemas.openxmlformats.org/drawingml/2006/main">
                  <a:graphicData uri="http://schemas.microsoft.com/office/word/2010/wordprocessingGroup">
                    <wpg:wgp>
                      <wpg:cNvGrpSpPr/>
                      <wpg:grpSpPr>
                        <a:xfrm>
                          <a:off x="0" y="0"/>
                          <a:ext cx="581660" cy="285750"/>
                          <a:chOff x="15006" y="264305"/>
                          <a:chExt cx="1802" cy="450"/>
                        </a:xfrm>
                      </wpg:grpSpPr>
                      <wps:wsp>
                        <wps:cNvPr id="127" name="直接连接符 1"/>
                        <wps:cNvCnPr/>
                        <wps:spPr>
                          <a:xfrm flipV="1">
                            <a:off x="15084" y="264544"/>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128" name="矩形 6"/>
                        <wps:cNvSpPr/>
                        <wps:spPr>
                          <a:xfrm>
                            <a:off x="15006" y="264305"/>
                            <a:ext cx="1802" cy="450"/>
                          </a:xfrm>
                          <a:prstGeom prst="rect">
                            <a:avLst/>
                          </a:prstGeom>
                          <a:noFill/>
                          <a:ln w="25400">
                            <a:noFill/>
                          </a:ln>
                          <a:effectLst>
                            <a:glow rad="25400">
                              <a:schemeClr val="bg1">
                                <a:alpha val="100000"/>
                              </a:schemeClr>
                            </a:glow>
                          </a:effectLst>
                        </wps:spPr>
                        <wps:txbx>
                          <w:txbxContent>
                            <w:p>
                              <w:pPr>
                                <w:pStyle w:val="19"/>
                                <w:jc w:val="both"/>
                                <w:rPr>
                                  <w:b/>
                                  <w:bCs/>
                                  <w:color w:val="000000"/>
                                  <w:w w:val="90"/>
                                  <w:sz w:val="24"/>
                                  <w:szCs w:val="24"/>
                                  <w:lang w:val="en-US"/>
                                </w:rPr>
                              </w:pPr>
                              <w:r>
                                <w:rPr>
                                  <w:rFonts w:hint="eastAsia"/>
                                  <w:b/>
                                  <w:bCs/>
                                  <w:color w:val="000000"/>
                                  <w:w w:val="90"/>
                                  <w:sz w:val="24"/>
                                  <w:szCs w:val="24"/>
                                  <w:lang w:val="en-US" w:eastAsia="zh-CN"/>
                                </w:rPr>
                                <w:t>2</w:t>
                              </w:r>
                              <w:r>
                                <w:rPr>
                                  <w:rFonts w:hint="eastAsia"/>
                                  <w:b/>
                                  <w:bCs/>
                                  <w:color w:val="000000"/>
                                  <w:w w:val="90"/>
                                  <w:sz w:val="24"/>
                                  <w:szCs w:val="24"/>
                                  <w:lang w:val="en-US"/>
                                </w:rPr>
                                <w:t>0</w:t>
                              </w:r>
                              <w:r>
                                <w:rPr>
                                  <w:rFonts w:hint="eastAsia"/>
                                  <w:b/>
                                  <w:bCs/>
                                  <w:color w:val="000000"/>
                                  <w:w w:val="90"/>
                                  <w:sz w:val="24"/>
                                  <w:szCs w:val="24"/>
                                  <w:lang w:val="en-US" w:eastAsia="zh-CN"/>
                                </w:rPr>
                                <w:t>0m</w:t>
                              </w:r>
                            </w:p>
                          </w:txbxContent>
                        </wps:txbx>
                        <wps:bodyPr anchor="ctr" upright="1"/>
                      </wps:wsp>
                      <wps:wsp>
                        <wps:cNvPr id="129" name="直接连接符 1"/>
                        <wps:cNvCnPr/>
                        <wps:spPr>
                          <a:xfrm flipV="1">
                            <a:off x="16454" y="264535"/>
                            <a:ext cx="2" cy="152"/>
                          </a:xfrm>
                          <a:prstGeom prst="line">
                            <a:avLst/>
                          </a:prstGeom>
                          <a:ln w="25400" cap="flat" cmpd="sng">
                            <a:solidFill>
                              <a:srgbClr val="000000"/>
                            </a:solidFill>
                            <a:prstDash val="solid"/>
                            <a:round/>
                            <a:headEnd type="none" w="med" len="med"/>
                            <a:tailEnd type="none" w="med" len="med"/>
                          </a:ln>
                          <a:effectLst>
                            <a:glow rad="25400">
                              <a:schemeClr val="bg1"/>
                            </a:glow>
                          </a:effectLst>
                        </wps:spPr>
                        <wps:bodyPr upright="1"/>
                      </wps:wsp>
                      <wps:wsp>
                        <wps:cNvPr id="130" name="直接连接符 3"/>
                        <wps:cNvCnPr/>
                        <wps:spPr>
                          <a:xfrm>
                            <a:off x="15063" y="264714"/>
                            <a:ext cx="1409" cy="0"/>
                          </a:xfrm>
                          <a:prstGeom prst="line">
                            <a:avLst/>
                          </a:prstGeom>
                          <a:ln>
                            <a:headEnd type="none" w="med" len="med"/>
                            <a:tailEnd type="none" w="med" len="med"/>
                          </a:ln>
                          <a:effectLst>
                            <a:glow rad="25400">
                              <a:schemeClr val="bg1"/>
                            </a:glow>
                          </a:effectLst>
                        </wps:spPr>
                        <wps:style>
                          <a:lnRef idx="2">
                            <a:schemeClr val="dk1"/>
                          </a:lnRef>
                          <a:fillRef idx="0">
                            <a:schemeClr val="dk1"/>
                          </a:fillRef>
                          <a:effectRef idx="1">
                            <a:schemeClr val="dk1"/>
                          </a:effectRef>
                          <a:fontRef idx="minor">
                            <a:schemeClr val="tx1"/>
                          </a:fontRef>
                        </wps:style>
                        <wps:bodyPr upright="1"/>
                      </wps:wsp>
                    </wpg:wgp>
                  </a:graphicData>
                </a:graphic>
              </wp:anchor>
            </w:drawing>
          </mc:Choice>
          <mc:Fallback>
            <w:pict>
              <v:group id="_x0000_s1026" o:spid="_x0000_s1026" o:spt="203" style="position:absolute;left:0pt;margin-left:513.2pt;margin-top:363.4pt;height:22.5pt;width:45.8pt;z-index:251674624;mso-width-relative:page;mso-height-relative:page;" coordorigin="15006,264305" coordsize="1802,450" o:gfxdata="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">
                <o:lock v:ext="edit" aspectratio="f"/>
                <v:line id="直接连接符 1" o:spid="_x0000_s1026" o:spt="20" style="position:absolute;left:15084;top:264544;flip:y;height:152;width:2;" filled="f" stroked="t" coordsize="21600,21600" o:gfxdata="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vJ0bugAAANwA&#10;AAAPAAAAAAAAAAEAIAAAACIAAABkcnMvZG93bnJldi54bWxQSwECFAAUAAAACACHTuJAMy8FnjsA&#10;AAA5AAAAEAAAAAAAAAABACAAAAAJAQAAZHJzL3NoYXBleG1sLnhtbFBLBQYAAAAABgAGAFsBAACz&#10;AwAAAAA=&#10;">
                  <v:fill on="f" focussize="0,0"/>
                  <v:stroke weight="2pt" color="#000000" joinstyle="round"/>
                  <v:imagedata o:title=""/>
                  <o:lock v:ext="edit" aspectratio="f"/>
                </v:line>
                <v:rect id="矩形 6" o:spid="_x0000_s1026" o:spt="1" style="position:absolute;left:15006;top:264305;height:450;width:1802;v-text-anchor:middle;" filled="f" stroked="f" coordsize="21600,21600" o:gfxdata="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w3JIvQAA&#10;ANwAAAAPAAAAAAAAAAEAIAAAACIAAABkcnMvZG93bnJldi54bWxQSwECFAAUAAAACACHTuJAMy8F&#10;njsAAAA5AAAAEAAAAAAAAAABACAAAAAMAQAAZHJzL3NoYXBleG1sLnhtbFBLBQYAAAAABgAGAFsB&#10;AAC2AwAAAAA=&#10;">
                  <v:fill on="f" focussize="0,0"/>
                  <v:stroke on="f" weight="2pt"/>
                  <v:imagedata o:title=""/>
                  <o:lock v:ext="edit" aspectratio="f"/>
                  <v:textbox>
                    <w:txbxContent>
                      <w:p>
                        <w:pPr>
                          <w:pStyle w:val="19"/>
                          <w:jc w:val="both"/>
                          <w:rPr>
                            <w:b/>
                            <w:bCs/>
                            <w:color w:val="000000"/>
                            <w:w w:val="90"/>
                            <w:sz w:val="24"/>
                            <w:szCs w:val="24"/>
                            <w:lang w:val="en-US"/>
                          </w:rPr>
                        </w:pPr>
                        <w:r>
                          <w:rPr>
                            <w:rFonts w:hint="eastAsia"/>
                            <w:b/>
                            <w:bCs/>
                            <w:color w:val="000000"/>
                            <w:w w:val="90"/>
                            <w:sz w:val="24"/>
                            <w:szCs w:val="24"/>
                            <w:lang w:val="en-US" w:eastAsia="zh-CN"/>
                          </w:rPr>
                          <w:t>2</w:t>
                        </w:r>
                        <w:r>
                          <w:rPr>
                            <w:rFonts w:hint="eastAsia"/>
                            <w:b/>
                            <w:bCs/>
                            <w:color w:val="000000"/>
                            <w:w w:val="90"/>
                            <w:sz w:val="24"/>
                            <w:szCs w:val="24"/>
                            <w:lang w:val="en-US"/>
                          </w:rPr>
                          <w:t>0</w:t>
                        </w:r>
                        <w:r>
                          <w:rPr>
                            <w:rFonts w:hint="eastAsia"/>
                            <w:b/>
                            <w:bCs/>
                            <w:color w:val="000000"/>
                            <w:w w:val="90"/>
                            <w:sz w:val="24"/>
                            <w:szCs w:val="24"/>
                            <w:lang w:val="en-US" w:eastAsia="zh-CN"/>
                          </w:rPr>
                          <w:t>0m</w:t>
                        </w:r>
                      </w:p>
                    </w:txbxContent>
                  </v:textbox>
                </v:rect>
                <v:line id="直接连接符 1" o:spid="_x0000_s1026" o:spt="20" style="position:absolute;left:16454;top:264535;flip:y;height:152;width:2;" filled="f" stroked="t" coordsize="21600,21600" o:gfxdata="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b6zyugAAANwA&#10;AAAPAAAAAAAAAAEAIAAAACIAAABkcnMvZG93bnJldi54bWxQSwECFAAUAAAACACHTuJAMy8FnjsA&#10;AAA5AAAAEAAAAAAAAAABACAAAAAJAQAAZHJzL3NoYXBleG1sLnhtbFBLBQYAAAAABgAGAFsBAACz&#10;AwAAAAA=&#10;">
                  <v:fill on="f" focussize="0,0"/>
                  <v:stroke weight="2pt" color="#000000" joinstyle="round"/>
                  <v:imagedata o:title=""/>
                  <o:lock v:ext="edit" aspectratio="f"/>
                </v:line>
                <v:line id="直接连接符 3" o:spid="_x0000_s1026" o:spt="20" style="position:absolute;left:15063;top:264714;height:0;width:1409;" filled="f" stroked="t" coordsize="21600,21600" o:gfxdata="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no0K/&#10;AAAA3AAAAA8AAAAAAAAAAQAgAAAAIgAAAGRycy9kb3ducmV2LnhtbFBLAQIUABQAAAAIAIdO4kAz&#10;LwWeOwAAADkAAAAQAAAAAAAAAAEAIAAAAA4BAABkcnMvc2hhcGV4bWwueG1sUEsFBgAAAAAGAAYA&#10;WwEAALgDAAAAAA==&#10;">
                  <v:fill on="f" focussize="0,0"/>
                  <v:stroke weight="2pt" color="#000000 [3200]" joinstyle="round"/>
                  <v:imagedata o:title=""/>
                  <o:lock v:ext="edit" aspectratio="f"/>
                </v:line>
              </v:group>
            </w:pict>
          </mc:Fallback>
        </mc:AlternateContent>
      </w:r>
    </w:p>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地下水环境</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color w:val="000000"/>
          <w:kern w:val="0"/>
          <w:sz w:val="24"/>
          <w:szCs w:val="24"/>
          <w:highlight w:val="none"/>
          <w:lang w:val="en-US" w:eastAsia="zh-CN" w:bidi="ar"/>
        </w:rPr>
        <w:t>本项目属线性工程，</w:t>
      </w:r>
      <w:r>
        <w:rPr>
          <w:rFonts w:hint="default" w:ascii="Times New Roman" w:hAnsi="Times New Roman" w:eastAsia="宋体" w:cs="Times New Roman"/>
          <w:color w:val="000000"/>
          <w:kern w:val="0"/>
          <w:sz w:val="24"/>
          <w:szCs w:val="24"/>
          <w:highlight w:val="none"/>
          <w:lang w:val="en-US" w:eastAsia="zh-CN" w:bidi="ar"/>
        </w:rPr>
        <w:t>地</w:t>
      </w:r>
      <w:r>
        <w:rPr>
          <w:rFonts w:hint="default" w:ascii="Times New Roman" w:hAnsi="Times New Roman" w:cs="Times New Roman"/>
          <w:color w:val="000000"/>
          <w:kern w:val="0"/>
          <w:sz w:val="24"/>
          <w:szCs w:val="24"/>
          <w:highlight w:val="none"/>
          <w:lang w:val="en-US" w:eastAsia="zh-CN" w:bidi="ar"/>
        </w:rPr>
        <w:t>下</w:t>
      </w:r>
      <w:r>
        <w:rPr>
          <w:rFonts w:hint="default" w:ascii="Times New Roman" w:hAnsi="Times New Roman" w:eastAsia="宋体" w:cs="Times New Roman"/>
          <w:color w:val="000000"/>
          <w:kern w:val="0"/>
          <w:sz w:val="24"/>
          <w:szCs w:val="24"/>
          <w:highlight w:val="none"/>
          <w:lang w:val="en-US" w:eastAsia="zh-CN" w:bidi="ar"/>
        </w:rPr>
        <w:t>水</w:t>
      </w:r>
      <w:r>
        <w:rPr>
          <w:rFonts w:hint="default" w:ascii="Times New Roman" w:hAnsi="Times New Roman" w:cs="Times New Roman"/>
          <w:color w:val="000000"/>
          <w:kern w:val="0"/>
          <w:sz w:val="24"/>
          <w:szCs w:val="24"/>
          <w:highlight w:val="none"/>
          <w:lang w:val="en-US" w:eastAsia="zh-CN" w:bidi="ar"/>
        </w:rPr>
        <w:t>评价范围为</w:t>
      </w:r>
      <w:r>
        <w:rPr>
          <w:rFonts w:hint="default" w:ascii="Times New Roman" w:hAnsi="Times New Roman" w:cs="Times New Roman"/>
          <w:highlight w:val="none"/>
          <w:lang w:val="en-US" w:eastAsia="zh-CN"/>
        </w:rPr>
        <w:t>本项目所在水文地质单元</w:t>
      </w:r>
      <w:r>
        <w:rPr>
          <w:rFonts w:hint="default" w:ascii="Times New Roman" w:hAnsi="Times New Roman" w:cs="Times New Roman"/>
          <w:color w:val="000000"/>
          <w:kern w:val="0"/>
          <w:sz w:val="24"/>
          <w:szCs w:val="24"/>
          <w:highlight w:val="none"/>
          <w:lang w:val="en-US" w:eastAsia="zh-CN" w:bidi="ar"/>
        </w:rPr>
        <w:t>。</w:t>
      </w:r>
    </w:p>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大气环境</w:t>
      </w:r>
    </w:p>
    <w:p>
      <w:pPr>
        <w:tabs>
          <w:tab w:val="left" w:pos="0"/>
        </w:tabs>
        <w:bidi w:val="0"/>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本项目</w:t>
      </w:r>
      <w:r>
        <w:rPr>
          <w:rFonts w:hint="default" w:ascii="Times New Roman" w:hAnsi="Times New Roman" w:cs="Times New Roman"/>
          <w:highlight w:val="none"/>
          <w:lang w:val="en-US" w:eastAsia="zh-CN"/>
        </w:rPr>
        <w:t>大气环境影响评价工作等级为三级</w:t>
      </w:r>
      <w:r>
        <w:rPr>
          <w:rFonts w:hint="default" w:ascii="Times New Roman" w:hAnsi="Times New Roman" w:cs="Times New Roman"/>
          <w:color w:val="000000"/>
          <w:kern w:val="0"/>
          <w:sz w:val="24"/>
          <w:szCs w:val="24"/>
          <w:highlight w:val="none"/>
          <w:lang w:val="en-US" w:eastAsia="zh-CN" w:bidi="ar"/>
        </w:rPr>
        <w:t>，不设置</w:t>
      </w:r>
      <w:r>
        <w:rPr>
          <w:rFonts w:hint="default" w:ascii="Times New Roman" w:hAnsi="Times New Roman" w:cs="Times New Roman"/>
          <w:highlight w:val="none"/>
          <w:lang w:val="en-US" w:eastAsia="zh-CN"/>
        </w:rPr>
        <w:t>大气环境影响评价范围</w:t>
      </w:r>
      <w:r>
        <w:rPr>
          <w:rFonts w:hint="default" w:ascii="Times New Roman" w:hAnsi="Times New Roman" w:eastAsia="宋体" w:cs="Times New Roman"/>
          <w:color w:val="000000"/>
          <w:kern w:val="0"/>
          <w:sz w:val="24"/>
          <w:szCs w:val="24"/>
          <w:highlight w:val="none"/>
          <w:lang w:val="en-US" w:eastAsia="zh-CN" w:bidi="ar"/>
        </w:rPr>
        <w:t>。</w:t>
      </w:r>
    </w:p>
    <w:p>
      <w:pPr>
        <w:pStyle w:val="5"/>
        <w:bidi w:val="0"/>
        <w:ind w:left="864" w:leftChars="0" w:hanging="864"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声环境</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声环境现状调查和评价范围为管线</w:t>
      </w:r>
      <w:r>
        <w:rPr>
          <w:rFonts w:hint="default" w:ascii="Times New Roman" w:hAnsi="Times New Roman" w:eastAsia="宋体" w:cs="Times New Roman"/>
          <w:color w:val="000000"/>
          <w:kern w:val="0"/>
          <w:sz w:val="24"/>
          <w:szCs w:val="24"/>
          <w:highlight w:val="none"/>
          <w:lang w:val="en-US" w:eastAsia="zh-CN" w:bidi="ar"/>
        </w:rPr>
        <w:t>两侧外200 m范围内和泵房红线外200 m范围内。</w:t>
      </w:r>
    </w:p>
    <w:p>
      <w:pPr>
        <w:pStyle w:val="5"/>
        <w:bidi w:val="0"/>
        <w:ind w:left="864" w:leftChars="0" w:hanging="864"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生态环境</w:t>
      </w:r>
    </w:p>
    <w:p>
      <w:pPr>
        <w:tabs>
          <w:tab w:val="left" w:pos="0"/>
        </w:tabs>
        <w:bidi w:val="0"/>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本次生态评价范围的划定，以生态因子之间相互影响和相互依存的关系为原则和依据，并主要根据评价区与周边环境的生态完整性确定。</w:t>
      </w:r>
      <w:r>
        <w:rPr>
          <w:rFonts w:hint="default" w:ascii="Times New Roman" w:hAnsi="Times New Roman" w:cs="Times New Roman"/>
          <w:color w:val="000000"/>
          <w:kern w:val="0"/>
          <w:sz w:val="24"/>
          <w:szCs w:val="24"/>
          <w:highlight w:val="none"/>
          <w:lang w:val="en-US" w:eastAsia="zh-CN" w:bidi="ar"/>
        </w:rPr>
        <w:t>生态环境现状调查与影响评价</w:t>
      </w:r>
      <w:r>
        <w:rPr>
          <w:rFonts w:hint="default" w:ascii="Times New Roman" w:hAnsi="Times New Roman" w:eastAsia="宋体" w:cs="Times New Roman"/>
          <w:color w:val="000000"/>
          <w:kern w:val="0"/>
          <w:sz w:val="24"/>
          <w:szCs w:val="24"/>
          <w:highlight w:val="none"/>
          <w:lang w:val="en-US" w:eastAsia="zh-CN" w:bidi="ar"/>
        </w:rPr>
        <w:t>范围为管线中心线两侧及减水段中心线各200m以内区域。</w:t>
      </w:r>
    </w:p>
    <w:p>
      <w:pPr>
        <w:pStyle w:val="4"/>
        <w:bidi w:val="0"/>
        <w:ind w:left="720" w:leftChars="0" w:hanging="720"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评价预测时段</w:t>
      </w:r>
    </w:p>
    <w:p>
      <w:pPr>
        <w:bidi w:val="0"/>
        <w:ind w:firstLine="480" w:firstLineChars="200"/>
        <w:rPr>
          <w:rFonts w:hint="default" w:ascii="Times New Roman" w:hAnsi="Times New Roman" w:cs="Times New Roman"/>
          <w:highlight w:val="none"/>
        </w:rPr>
      </w:pPr>
      <w:r>
        <w:rPr>
          <w:rFonts w:hint="default" w:ascii="Times New Roman" w:hAnsi="Times New Roman" w:cs="Times New Roman"/>
          <w:highlight w:val="none"/>
          <w:lang w:val="en-US" w:eastAsia="zh-CN"/>
        </w:rPr>
        <w:t>项目环境影响评价按施工期和运行期进行。</w:t>
      </w:r>
    </w:p>
    <w:p>
      <w:pPr>
        <w:pStyle w:val="3"/>
        <w:bidi w:val="0"/>
        <w:rPr>
          <w:rFonts w:hint="default" w:ascii="Times New Roman" w:hAnsi="Times New Roman" w:cs="Times New Roman"/>
          <w:highlight w:val="none"/>
        </w:rPr>
      </w:pPr>
      <w:bookmarkStart w:id="53" w:name="_Toc23160"/>
      <w:bookmarkStart w:id="54" w:name="_Toc30720"/>
      <w:r>
        <w:rPr>
          <w:rFonts w:hint="default" w:ascii="Times New Roman" w:hAnsi="Times New Roman" w:cs="Times New Roman"/>
          <w:highlight w:val="none"/>
          <w:lang w:val="en-US" w:eastAsia="zh-CN"/>
        </w:rPr>
        <w:t>评价标准</w:t>
      </w:r>
      <w:bookmarkEnd w:id="53"/>
      <w:bookmarkEnd w:id="54"/>
    </w:p>
    <w:p>
      <w:pPr>
        <w:pStyle w:val="4"/>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环境质量标准</w:t>
      </w:r>
    </w:p>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大气环境</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项目所在区域环境空气执行《环境空气质量标准》（GB3095-2012）二级标准及修改单要求。</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环境空气质量标准一览表(摘录)</w:t>
      </w:r>
    </w:p>
    <w:tbl>
      <w:tblPr>
        <w:tblStyle w:val="16"/>
        <w:tblW w:w="9282"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935"/>
        <w:gridCol w:w="1485"/>
        <w:gridCol w:w="1905"/>
        <w:gridCol w:w="1860"/>
        <w:gridCol w:w="3097"/>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blHeader/>
          <w:jc w:val="center"/>
        </w:trPr>
        <w:tc>
          <w:tcPr>
            <w:tcW w:w="93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序号</w:t>
            </w:r>
          </w:p>
        </w:tc>
        <w:tc>
          <w:tcPr>
            <w:tcW w:w="148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污染物名称</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取值时间</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浓度限值</w:t>
            </w:r>
          </w:p>
        </w:tc>
        <w:tc>
          <w:tcPr>
            <w:tcW w:w="3097"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PM</w:t>
            </w:r>
            <w: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t>10</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70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《环境空气质量标准》(GB3095-2012)中的二级标准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150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PM</w:t>
            </w:r>
            <w: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t>2.5</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35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75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3</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TSP</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200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300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4</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SO</w:t>
            </w:r>
            <w: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t>2</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60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150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500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5</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NO</w:t>
            </w:r>
            <w: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t>2</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40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80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200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6</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氮氧化物（NO</w:t>
            </w:r>
            <w:r>
              <w:rPr>
                <w:rFonts w:hint="default" w:ascii="Times New Roman" w:hAnsi="Times New Roman" w:cs="Times New Roman"/>
                <w:color w:val="000000" w:themeColor="text1"/>
                <w:kern w:val="2"/>
                <w:sz w:val="21"/>
                <w:szCs w:val="24"/>
                <w:highlight w:val="none"/>
                <w:vertAlign w:val="subscript"/>
                <w:lang w:val="en-US" w:eastAsia="zh-CN" w:bidi="ar-SA"/>
                <w14:textFill>
                  <w14:solidFill>
                    <w14:schemeClr w14:val="tx1"/>
                  </w14:solidFill>
                </w14:textFill>
              </w:rPr>
              <w:t>X</w:t>
            </w: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w:t>
            </w:r>
          </w:p>
        </w:tc>
        <w:tc>
          <w:tcPr>
            <w:tcW w:w="1905"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年平均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50</w:t>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 xml:space="preserve">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 xml:space="preserve">100 </w:t>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 xml:space="preserve">250 </w:t>
            </w: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7</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CO</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24小时平均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4 mg/m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10 mg/m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lang w:val="en-US" w:eastAsia="zh-CN" w:bidi="ar-SA"/>
                <w14:textFill>
                  <w14:solidFill>
                    <w14:schemeClr w14:val="tx1"/>
                  </w14:solidFill>
                </w14:textFill>
              </w:rPr>
              <w:t>8</w:t>
            </w:r>
          </w:p>
        </w:tc>
        <w:tc>
          <w:tcPr>
            <w:tcW w:w="1485" w:type="dxa"/>
            <w:vMerge w:val="restart"/>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O</w:t>
            </w:r>
            <w: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t>3</w:t>
            </w: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日最大8小时平均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160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40" w:hRule="atLeast"/>
          <w:jc w:val="center"/>
        </w:trPr>
        <w:tc>
          <w:tcPr>
            <w:tcW w:w="93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485"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c>
          <w:tcPr>
            <w:tcW w:w="1905"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1小时平均</w:t>
            </w:r>
          </w:p>
        </w:tc>
        <w:tc>
          <w:tcPr>
            <w:tcW w:w="1860" w:type="dxa"/>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t>200 μg/m</w:t>
            </w:r>
            <w:r>
              <w:rPr>
                <w:rFonts w:hint="default" w:ascii="Times New Roman" w:hAnsi="Times New Roman" w:eastAsia="宋体" w:cs="Times New Roman"/>
                <w:color w:val="000000" w:themeColor="text1"/>
                <w:kern w:val="2"/>
                <w:sz w:val="21"/>
                <w:szCs w:val="24"/>
                <w:highlight w:val="none"/>
                <w:vertAlign w:val="superscript"/>
                <w:lang w:val="en-US" w:eastAsia="zh-CN" w:bidi="ar-SA"/>
                <w14:textFill>
                  <w14:solidFill>
                    <w14:schemeClr w14:val="tx1"/>
                  </w14:solidFill>
                </w14:textFill>
              </w:rPr>
              <w:t>3</w:t>
            </w:r>
          </w:p>
        </w:tc>
        <w:tc>
          <w:tcPr>
            <w:tcW w:w="3097" w:type="dxa"/>
            <w:vMerge w:val="continue"/>
            <w:vAlign w:val="center"/>
          </w:tcPr>
          <w:p>
            <w:pPr>
              <w:keepNext w:val="0"/>
              <w:keepLines w:val="0"/>
              <w:widowControl w:val="0"/>
              <w:suppressLineNumbers w:val="0"/>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p>
        </w:tc>
      </w:tr>
    </w:tbl>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地表水环境</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本</w:t>
      </w:r>
      <w:r>
        <w:rPr>
          <w:rFonts w:hint="default" w:ascii="Times New Roman" w:hAnsi="Times New Roman" w:cs="Times New Roman"/>
          <w:highlight w:val="none"/>
          <w:lang w:val="en-US" w:eastAsia="zh-CN"/>
        </w:rPr>
        <w:t>工程分别从上安水库、天竹水库和</w:t>
      </w:r>
      <w:r>
        <w:rPr>
          <w:rFonts w:hint="default" w:ascii="Times New Roman" w:hAnsi="Times New Roman" w:eastAsia="宋体" w:cs="Times New Roman"/>
          <w:spacing w:val="-11"/>
          <w:sz w:val="24"/>
          <w:szCs w:val="24"/>
          <w:highlight w:val="none"/>
          <w:lang w:eastAsia="zh-CN"/>
        </w:rPr>
        <w:t>龙井溪山涧水</w:t>
      </w:r>
      <w:r>
        <w:rPr>
          <w:rFonts w:hint="default" w:ascii="Times New Roman" w:hAnsi="Times New Roman" w:eastAsia="宋体" w:cs="Times New Roman"/>
          <w:spacing w:val="-11"/>
          <w:sz w:val="24"/>
          <w:szCs w:val="24"/>
          <w:highlight w:val="none"/>
          <w:lang w:val="en-US" w:eastAsia="zh-CN"/>
        </w:rPr>
        <w:t>取水，其中</w:t>
      </w:r>
      <w:r>
        <w:rPr>
          <w:rFonts w:hint="default" w:ascii="Times New Roman" w:hAnsi="Times New Roman" w:cs="Times New Roman"/>
          <w:highlight w:val="none"/>
          <w:lang w:val="en-US" w:eastAsia="zh-CN"/>
        </w:rPr>
        <w:t>上安水库为划定饮用水水源地保护区，一级保护区执行</w:t>
      </w:r>
      <w:r>
        <w:rPr>
          <w:rFonts w:hint="default" w:ascii="Times New Roman" w:hAnsi="Times New Roman" w:cs="Times New Roman"/>
          <w:highlight w:val="none"/>
        </w:rPr>
        <w:t>《地表水环境质量标准》（GB3838-2002）表1</w:t>
      </w:r>
      <w:r>
        <w:rPr>
          <w:rFonts w:hint="default" w:ascii="Times New Roman" w:hAnsi="Times New Roman" w:cs="Times New Roman"/>
          <w:highlight w:val="none"/>
          <w:lang w:val="en-US" w:eastAsia="zh-CN"/>
        </w:rPr>
        <w:t>中Ⅱ类水质标准，二级保护区执行</w:t>
      </w:r>
      <w:r>
        <w:rPr>
          <w:rFonts w:hint="default" w:ascii="Times New Roman" w:hAnsi="Times New Roman" w:cs="Times New Roman"/>
          <w:highlight w:val="none"/>
        </w:rPr>
        <w:t>《地表水环境质量标准》（GB3838-2002）表1</w:t>
      </w:r>
      <w:r>
        <w:rPr>
          <w:rFonts w:hint="default" w:ascii="Times New Roman" w:hAnsi="Times New Roman" w:cs="Times New Roman"/>
          <w:highlight w:val="none"/>
          <w:lang w:val="en-US" w:eastAsia="zh-CN"/>
        </w:rPr>
        <w:t>中Ⅲ类水质标准类地表水环境质量标准</w:t>
      </w:r>
      <w:r>
        <w:rPr>
          <w:rFonts w:hint="default" w:ascii="Times New Roman" w:hAnsi="Times New Roman" w:cs="Times New Roman"/>
          <w:highlight w:val="none"/>
        </w:rPr>
        <w:t>，根据《宁德市地表水环境功能区划分方案的批复》（闽政文[2012]187号）</w:t>
      </w:r>
      <w:r>
        <w:rPr>
          <w:rFonts w:hint="default" w:ascii="Times New Roman" w:hAnsi="Times New Roman" w:cs="Times New Roman"/>
          <w:highlight w:val="none"/>
          <w:lang w:val="en-US" w:eastAsia="zh-CN"/>
        </w:rPr>
        <w:t>天竹水库、</w:t>
      </w:r>
      <w:r>
        <w:rPr>
          <w:rFonts w:hint="default" w:ascii="Times New Roman" w:hAnsi="Times New Roman" w:eastAsia="宋体" w:cs="Times New Roman"/>
          <w:spacing w:val="-11"/>
          <w:sz w:val="24"/>
          <w:szCs w:val="24"/>
          <w:highlight w:val="none"/>
          <w:lang w:eastAsia="zh-CN"/>
        </w:rPr>
        <w:t>龙井溪、</w:t>
      </w:r>
      <w:r>
        <w:rPr>
          <w:rFonts w:hint="default" w:ascii="Times New Roman" w:hAnsi="Times New Roman" w:cs="Times New Roman"/>
          <w:highlight w:val="none"/>
          <w:lang w:val="en-US" w:eastAsia="zh-CN"/>
        </w:rPr>
        <w:t>管阳溪等周边区域</w:t>
      </w:r>
      <w:r>
        <w:rPr>
          <w:rFonts w:hint="default" w:ascii="Times New Roman" w:hAnsi="Times New Roman" w:cs="Times New Roman"/>
          <w:highlight w:val="none"/>
        </w:rPr>
        <w:t>为Ⅲ类水环境功能区，水质执行《地表水环境质量标准》（GB3838-2002）表1中Ⅲ类水质标准。具体标准详见</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_Ref5666 \n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lang w:eastAsia="zh-CN"/>
        </w:rPr>
        <w:t>表1.6-2</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rPr>
        <w:t>。</w:t>
      </w:r>
    </w:p>
    <w:p>
      <w:pPr>
        <w:pStyle w:val="21"/>
        <w:bidi w:val="0"/>
        <w:rPr>
          <w:rFonts w:hint="default" w:ascii="Times New Roman" w:hAnsi="Times New Roman" w:cs="Times New Roman"/>
          <w:highlight w:val="none"/>
        </w:rPr>
      </w:pPr>
      <w:bookmarkStart w:id="55" w:name="_Ref5666"/>
      <w:r>
        <w:rPr>
          <w:rFonts w:hint="default" w:ascii="Times New Roman" w:hAnsi="Times New Roman" w:cs="Times New Roman"/>
          <w:highlight w:val="none"/>
        </w:rPr>
        <w:t>《地表水环境质量标准》（GB3838－2002）（摘录） 单位：mg/L</w:t>
      </w:r>
      <w:bookmarkEnd w:id="55"/>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295"/>
        <w:gridCol w:w="1295"/>
        <w:gridCol w:w="1295"/>
        <w:gridCol w:w="1295"/>
        <w:gridCol w:w="1295"/>
        <w:gridCol w:w="1295"/>
        <w:gridCol w:w="12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pH（无量纲）</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w:t>
            </w:r>
          </w:p>
        </w:tc>
        <w:tc>
          <w:tcPr>
            <w:tcW w:w="715"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14"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II</w:t>
            </w:r>
            <w:r>
              <w:rPr>
                <w:rFonts w:hint="default" w:ascii="Times New Roman" w:hAnsi="Times New Roman" w:cs="Times New Roman"/>
                <w:color w:val="auto"/>
                <w:highlight w:val="none"/>
              </w:rPr>
              <w:t>类标准</w:t>
            </w:r>
          </w:p>
        </w:tc>
        <w:tc>
          <w:tcPr>
            <w:tcW w:w="714" w:type="pct"/>
            <w:noWrap w:val="0"/>
            <w:vAlign w:val="center"/>
          </w:tcPr>
          <w:p>
            <w:pPr>
              <w:pStyle w:val="19"/>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714"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15</w:t>
            </w:r>
          </w:p>
        </w:tc>
        <w:tc>
          <w:tcPr>
            <w:tcW w:w="714"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0.5</w:t>
            </w:r>
          </w:p>
        </w:tc>
        <w:tc>
          <w:tcPr>
            <w:tcW w:w="714"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w:t>
            </w:r>
          </w:p>
        </w:tc>
        <w:tc>
          <w:tcPr>
            <w:tcW w:w="714"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0.1</w:t>
            </w:r>
          </w:p>
        </w:tc>
        <w:tc>
          <w:tcPr>
            <w:tcW w:w="715" w:type="pct"/>
            <w:noWrap w:val="0"/>
            <w:vAlign w:val="center"/>
          </w:tcPr>
          <w:p>
            <w:pPr>
              <w:pStyle w:val="19"/>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Ⅲ类标准</w:t>
            </w:r>
          </w:p>
        </w:tc>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6～9</w:t>
            </w:r>
          </w:p>
        </w:tc>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≤20</w:t>
            </w:r>
          </w:p>
        </w:tc>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≤1.0</w:t>
            </w:r>
          </w:p>
        </w:tc>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≤4</w:t>
            </w:r>
          </w:p>
        </w:tc>
        <w:tc>
          <w:tcPr>
            <w:tcW w:w="714"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≤0.2</w:t>
            </w:r>
          </w:p>
        </w:tc>
        <w:tc>
          <w:tcPr>
            <w:tcW w:w="715" w:type="pct"/>
            <w:noWrap w:val="0"/>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2"/>
                <w:highlight w:val="none"/>
                <w:lang w:val="zh-CN" w:eastAsia="zh-CN" w:bidi="ar-SA"/>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p>
        </w:tc>
      </w:tr>
    </w:tbl>
    <w:p>
      <w:pPr>
        <w:keepNext w:val="0"/>
        <w:keepLines w:val="0"/>
        <w:widowControl/>
        <w:suppressLineNumbers w:val="0"/>
        <w:jc w:val="left"/>
        <w:rPr>
          <w:rFonts w:hint="default" w:ascii="Times New Roman" w:hAnsi="Times New Roman" w:cs="Times New Roman"/>
          <w:highlight w:val="none"/>
        </w:rPr>
      </w:pPr>
    </w:p>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声环境功能区划 </w:t>
      </w:r>
    </w:p>
    <w:p>
      <w:pPr>
        <w:bidi w:val="0"/>
        <w:ind w:firstLine="480" w:firstLineChars="200"/>
        <w:rPr>
          <w:rFonts w:hint="default" w:ascii="Times New Roman" w:hAnsi="Times New Roman" w:cs="Times New Roman"/>
          <w:highlight w:val="none"/>
        </w:rPr>
      </w:pPr>
      <w:r>
        <w:rPr>
          <w:rFonts w:hint="default" w:ascii="Times New Roman" w:hAnsi="Times New Roman" w:cs="Times New Roman"/>
          <w:highlight w:val="none"/>
          <w:lang w:val="en-US" w:eastAsia="zh-CN"/>
        </w:rPr>
        <w:t>评价区域内声环境执行《声环境质量标准》(GB3096-2008)中的2类标准：昼间60dB（A），夜间50dB（A）。</w:t>
      </w:r>
    </w:p>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地下水环境功能区划</w:t>
      </w:r>
    </w:p>
    <w:p>
      <w:pPr>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根据评价区域地下水水质状况和使用功能，地下水执行《地下水质量标准》（GB/T14848-2017）Ⅲ类标准，具体评价标准见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_Ref5728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表1.6-3</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lang w:val="en-US" w:eastAsia="zh-CN"/>
        </w:rPr>
      </w:pPr>
      <w:bookmarkStart w:id="56" w:name="_Ref5728"/>
      <w:r>
        <w:rPr>
          <w:rFonts w:hint="default" w:ascii="Times New Roman" w:hAnsi="Times New Roman" w:cs="Times New Roman"/>
          <w:highlight w:val="none"/>
          <w:lang w:val="en-US" w:eastAsia="zh-CN"/>
        </w:rPr>
        <w:t xml:space="preserve">地下水质量标准（摘录） </w:t>
      </w:r>
      <w:bookmarkEnd w:id="56"/>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21"/>
        <w:gridCol w:w="3779"/>
        <w:gridCol w:w="1756"/>
        <w:gridCol w:w="25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污染物名称</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浓度限值</w:t>
            </w:r>
          </w:p>
        </w:tc>
        <w:tc>
          <w:tcPr>
            <w:tcW w:w="1417"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标准依据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pH</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6.5~8.5</w:t>
            </w:r>
          </w:p>
        </w:tc>
        <w:tc>
          <w:tcPr>
            <w:tcW w:w="1417" w:type="pct"/>
            <w:vMerge w:val="restar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《地下水质量标准》（GB/T 14848-2017）Ⅲ类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耗氧量（COD</w:t>
            </w:r>
            <w:r>
              <w:rPr>
                <w:rFonts w:hint="default" w:ascii="Times New Roman" w:hAnsi="Times New Roman" w:cs="Times New Roman"/>
                <w:highlight w:val="none"/>
                <w:vertAlign w:val="subscript"/>
              </w:rPr>
              <w:t>Mn</w:t>
            </w:r>
            <w:r>
              <w:rPr>
                <w:rFonts w:hint="default" w:ascii="Times New Roman" w:hAnsi="Times New Roman" w:cs="Times New Roman"/>
                <w:highlight w:val="none"/>
              </w:rPr>
              <w:t>法，以O</w:t>
            </w:r>
            <w:r>
              <w:rPr>
                <w:rFonts w:hint="default" w:ascii="Times New Roman" w:hAnsi="Times New Roman" w:cs="Times New Roman"/>
                <w:highlight w:val="none"/>
                <w:vertAlign w:val="subscript"/>
              </w:rPr>
              <w:t>2</w:t>
            </w:r>
            <w:r>
              <w:rPr>
                <w:rFonts w:hint="default" w:ascii="Times New Roman" w:hAnsi="Times New Roman" w:cs="Times New Roman"/>
                <w:highlight w:val="none"/>
              </w:rPr>
              <w:t>计）（</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3.0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3</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氨氮（</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0.50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4</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铜（</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5</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锌（</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6</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砷（</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7</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汞（</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0.001</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8</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镉（</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9</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六价铬（</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10</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铅（</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11</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锰</w:t>
            </w:r>
            <w:r>
              <w:rPr>
                <w:rFonts w:hint="default" w:ascii="Times New Roman" w:hAnsi="Times New Roman" w:cs="Times New Roman"/>
                <w:highlight w:val="none"/>
              </w:rPr>
              <w:t>（</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0.10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12</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铁</w:t>
            </w:r>
            <w:r>
              <w:rPr>
                <w:rFonts w:hint="default" w:ascii="Times New Roman" w:hAnsi="Times New Roman" w:cs="Times New Roman"/>
                <w:highlight w:val="none"/>
              </w:rPr>
              <w:t>（</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0.3</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13</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氟化物（</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14</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硫酸盐（</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250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15</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氯化物（</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250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16</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rPr>
              <w:t>氰化物</w:t>
            </w:r>
            <w:r>
              <w:rPr>
                <w:rFonts w:hint="default" w:ascii="Times New Roman" w:hAnsi="Times New Roman" w:cs="Times New Roman"/>
                <w:highlight w:val="none"/>
              </w:rPr>
              <w:t>（</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0.05</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17</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rPr>
              <w:t>菌落总数（CFU/mL）</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18</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硝酸盐（以N计）（</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20.0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19</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亚硝酸盐（以N计）（</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20</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总硬度（</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450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21</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挥发性酚类（以苯酚计）（</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22</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rPr>
              <w:t>总大肠菌群（</w:t>
            </w:r>
            <w:r>
              <w:rPr>
                <w:rFonts w:hint="default" w:ascii="Times New Roman" w:hAnsi="Times New Roman" w:cs="Times New Roman"/>
                <w:highlight w:val="none"/>
                <w:lang w:val="en-US"/>
              </w:rPr>
              <w:t>MPN/100mL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3.0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23</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lang w:val="en-US"/>
              </w:rPr>
              <w:t>阴离子表面活性剂</w:t>
            </w:r>
            <w:r>
              <w:rPr>
                <w:rFonts w:hint="default" w:ascii="Times New Roman" w:hAnsi="Times New Roman" w:cs="Times New Roman"/>
                <w:highlight w:val="none"/>
              </w:rPr>
              <w:t>（</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0.3</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25</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Na</w:t>
            </w:r>
            <w:r>
              <w:rPr>
                <w:rFonts w:hint="default" w:ascii="Times New Roman" w:hAnsi="Times New Roman" w:cs="Times New Roman"/>
                <w:highlight w:val="none"/>
                <w:vertAlign w:val="superscript"/>
              </w:rPr>
              <w:t>+</w:t>
            </w:r>
            <w:r>
              <w:rPr>
                <w:rFonts w:hint="default" w:ascii="Times New Roman" w:hAnsi="Times New Roman" w:cs="Times New Roman"/>
                <w:highlight w:val="none"/>
              </w:rPr>
              <w:t>（</w:t>
            </w:r>
            <w:r>
              <w:rPr>
                <w:rFonts w:hint="default" w:ascii="Times New Roman" w:hAnsi="Times New Roman" w:cs="Times New Roman"/>
                <w:highlight w:val="none"/>
                <w:lang w:val="en-US"/>
              </w:rPr>
              <w:t>mg/L</w:t>
            </w:r>
            <w:r>
              <w:rPr>
                <w:rFonts w:hint="default" w:ascii="Times New Roman" w:hAnsi="Times New Roman" w:cs="Times New Roman"/>
                <w:highlight w:val="none"/>
              </w:rPr>
              <w:t>）</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200</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1"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26</w:t>
            </w:r>
          </w:p>
        </w:tc>
        <w:tc>
          <w:tcPr>
            <w:tcW w:w="2096"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硫化物（mg/L）</w:t>
            </w:r>
          </w:p>
        </w:tc>
        <w:tc>
          <w:tcPr>
            <w:tcW w:w="974" w:type="pct"/>
            <w:tcBorders>
              <w:tl2br w:val="nil"/>
              <w:tr2bl w:val="nil"/>
            </w:tcBorders>
            <w:vAlign w:val="center"/>
          </w:tcPr>
          <w:p>
            <w:pPr>
              <w:pStyle w:val="19"/>
              <w:bidi w:val="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t>0.02</w:t>
            </w:r>
          </w:p>
        </w:tc>
        <w:tc>
          <w:tcPr>
            <w:tcW w:w="1417" w:type="pct"/>
            <w:vMerge w:val="continue"/>
            <w:tcBorders>
              <w:tl2br w:val="nil"/>
              <w:tr2bl w:val="nil"/>
            </w:tcBorders>
            <w:vAlign w:val="center"/>
          </w:tcPr>
          <w:p>
            <w:pPr>
              <w:pStyle w:val="19"/>
              <w:bidi w:val="0"/>
              <w:jc w:val="center"/>
              <w:rPr>
                <w:rFonts w:hint="default" w:ascii="Times New Roman" w:hAnsi="Times New Roman" w:cs="Times New Roman"/>
                <w:highlight w:val="none"/>
              </w:rPr>
            </w:pPr>
          </w:p>
        </w:tc>
      </w:tr>
    </w:tbl>
    <w:p>
      <w:pPr>
        <w:bidi w:val="0"/>
        <w:rPr>
          <w:rFonts w:hint="default" w:ascii="Times New Roman" w:hAnsi="Times New Roman" w:cs="Times New Roman"/>
          <w:highlight w:val="none"/>
        </w:rPr>
      </w:pPr>
    </w:p>
    <w:p>
      <w:pPr>
        <w:pStyle w:val="4"/>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污染物排放标准</w:t>
      </w:r>
    </w:p>
    <w:p>
      <w:pPr>
        <w:pStyle w:val="5"/>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废气排放标准 </w:t>
      </w:r>
    </w:p>
    <w:p>
      <w:pPr>
        <w:bidi w:val="0"/>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lang w:val="en-US" w:eastAsia="zh-CN"/>
        </w:rPr>
        <w:t>项目运行期不产生废气，施工期废气排放执行《大气污染物综合排放标准》（GB16297-1996）中表2无组织排放监控浓度限值，具体标准值见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_Ref5806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表1.6-4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rPr>
      </w:pPr>
      <w:bookmarkStart w:id="57" w:name="_Ref5806"/>
      <w:r>
        <w:rPr>
          <w:rFonts w:hint="default" w:ascii="Times New Roman" w:hAnsi="Times New Roman" w:cs="Times New Roman"/>
          <w:highlight w:val="none"/>
          <w:lang w:val="en-US" w:eastAsia="zh-CN"/>
        </w:rPr>
        <w:t>大气污染物浓度排放标准</w:t>
      </w:r>
      <w:bookmarkEnd w:id="57"/>
    </w:p>
    <w:tbl>
      <w:tblPr>
        <w:tblStyle w:val="1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3992"/>
        <w:gridCol w:w="3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tblHeader/>
          <w:jc w:val="center"/>
        </w:trPr>
        <w:tc>
          <w:tcPr>
            <w:tcW w:w="1157"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污染物</w:t>
            </w:r>
          </w:p>
        </w:tc>
        <w:tc>
          <w:tcPr>
            <w:tcW w:w="3842"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无组织排放监控浓度限值（mg/m³）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tblHeader/>
          <w:jc w:val="center"/>
        </w:trPr>
        <w:tc>
          <w:tcPr>
            <w:tcW w:w="115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p>
        </w:tc>
        <w:tc>
          <w:tcPr>
            <w:tcW w:w="21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监控点</w:t>
            </w:r>
          </w:p>
        </w:tc>
        <w:tc>
          <w:tcPr>
            <w:tcW w:w="168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颗粒物</w:t>
            </w:r>
          </w:p>
        </w:tc>
        <w:tc>
          <w:tcPr>
            <w:tcW w:w="21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周界外浓度最高点</w:t>
            </w:r>
          </w:p>
        </w:tc>
        <w:tc>
          <w:tcPr>
            <w:tcW w:w="168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20" w:lineRule="exact"/>
              <w:ind w:left="0" w:right="0"/>
              <w:jc w:val="center"/>
              <w:textAlignment w:val="auto"/>
              <w:outlineLvl w:val="9"/>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1.0</w:t>
            </w:r>
          </w:p>
        </w:tc>
      </w:tr>
    </w:tbl>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废水排放标准</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eastAsia="宋体" w:cs="Times New Roman"/>
          <w:color w:val="auto"/>
          <w:spacing w:val="-5"/>
          <w:highlight w:val="none"/>
          <w:lang w:val="en-US" w:eastAsia="zh-CN"/>
        </w:rPr>
        <w:t>本项目</w:t>
      </w:r>
      <w:r>
        <w:rPr>
          <w:rFonts w:hint="default" w:ascii="Times New Roman" w:hAnsi="Times New Roman" w:eastAsia="宋体" w:cs="Times New Roman"/>
          <w:color w:val="auto"/>
          <w:spacing w:val="-5"/>
          <w:highlight w:val="none"/>
        </w:rPr>
        <w:t>施工废水经处理后用于施工场地的石料</w:t>
      </w:r>
      <w:r>
        <w:rPr>
          <w:rFonts w:hint="default" w:ascii="Times New Roman" w:hAnsi="Times New Roman" w:cs="Times New Roman"/>
          <w:color w:val="auto"/>
          <w:spacing w:val="-5"/>
          <w:highlight w:val="none"/>
          <w:lang w:val="en-US" w:eastAsia="zh-CN"/>
        </w:rPr>
        <w:t>现场</w:t>
      </w:r>
      <w:r>
        <w:rPr>
          <w:rFonts w:hint="default" w:ascii="Times New Roman" w:hAnsi="Times New Roman" w:eastAsia="宋体" w:cs="Times New Roman"/>
          <w:color w:val="auto"/>
          <w:spacing w:val="-5"/>
          <w:highlight w:val="none"/>
        </w:rPr>
        <w:t>拌和</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以</w:t>
      </w:r>
      <w:r>
        <w:rPr>
          <w:rFonts w:hint="default" w:ascii="Times New Roman" w:hAnsi="Times New Roman" w:cs="Times New Roman"/>
          <w:color w:val="auto"/>
          <w:spacing w:val="-5"/>
          <w:highlight w:val="none"/>
          <w:lang w:val="en-US" w:eastAsia="zh-CN"/>
        </w:rPr>
        <w:t>及用于施工场地</w:t>
      </w:r>
      <w:r>
        <w:rPr>
          <w:rFonts w:hint="default" w:ascii="Times New Roman" w:hAnsi="Times New Roman" w:eastAsia="宋体" w:cs="Times New Roman"/>
          <w:color w:val="auto"/>
          <w:spacing w:val="-5"/>
          <w:highlight w:val="none"/>
        </w:rPr>
        <w:t>洒水抑尘，不外排</w:t>
      </w:r>
      <w:r>
        <w:rPr>
          <w:rFonts w:hint="default" w:ascii="Times New Roman" w:hAnsi="Times New Roman" w:eastAsia="宋体" w:cs="Times New Roman"/>
          <w:color w:val="auto"/>
          <w:spacing w:val="-5"/>
          <w:highlight w:val="none"/>
          <w:lang w:eastAsia="zh-CN"/>
        </w:rPr>
        <w:t>，</w:t>
      </w:r>
      <w:r>
        <w:rPr>
          <w:rFonts w:hint="default" w:ascii="Times New Roman" w:hAnsi="Times New Roman" w:eastAsia="宋体" w:cs="Times New Roman"/>
          <w:color w:val="auto"/>
          <w:spacing w:val="-5"/>
          <w:highlight w:val="none"/>
        </w:rPr>
        <w:t>施工人员</w:t>
      </w:r>
      <w:r>
        <w:rPr>
          <w:rFonts w:hint="default" w:ascii="Times New Roman" w:hAnsi="Times New Roman" w:cs="Times New Roman"/>
          <w:color w:val="auto"/>
          <w:spacing w:val="-5"/>
          <w:highlight w:val="none"/>
          <w:lang w:val="en-US" w:eastAsia="zh-CN"/>
        </w:rPr>
        <w:t>和巡场人员</w:t>
      </w:r>
      <w:r>
        <w:rPr>
          <w:rFonts w:hint="default" w:ascii="Times New Roman" w:hAnsi="Times New Roman" w:eastAsia="宋体" w:cs="Times New Roman"/>
          <w:color w:val="auto"/>
          <w:spacing w:val="-5"/>
          <w:highlight w:val="none"/>
        </w:rPr>
        <w:t>租用</w:t>
      </w:r>
      <w:r>
        <w:rPr>
          <w:rFonts w:hint="default" w:ascii="Times New Roman" w:hAnsi="Times New Roman" w:eastAsia="宋体" w:cs="Times New Roman"/>
          <w:color w:val="auto"/>
          <w:spacing w:val="-5"/>
          <w:highlight w:val="none"/>
        </w:rPr>
        <w:t>项目周边居民住宅，产生的生活污水依托居民区内现有污水处理设施处理，不单独外排</w:t>
      </w:r>
      <w:r>
        <w:rPr>
          <w:rFonts w:hint="default" w:ascii="Times New Roman" w:hAnsi="Times New Roman" w:cs="Times New Roman"/>
          <w:highlight w:val="none"/>
          <w:lang w:val="en-US" w:eastAsia="zh-CN"/>
        </w:rPr>
        <w:t>。</w:t>
      </w:r>
    </w:p>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噪声</w:t>
      </w:r>
    </w:p>
    <w:p>
      <w:pPr>
        <w:ind w:firstLine="480"/>
        <w:rPr>
          <w:rFonts w:hint="default" w:ascii="Times New Roman" w:hAnsi="Times New Roman" w:cs="Times New Roman"/>
          <w:highlight w:val="none"/>
        </w:rPr>
      </w:pPr>
      <w:r>
        <w:rPr>
          <w:rFonts w:hint="default" w:ascii="Times New Roman" w:hAnsi="Times New Roman" w:cs="Times New Roman"/>
          <w:highlight w:val="none"/>
          <w:lang w:val="en-US" w:eastAsia="zh-CN"/>
        </w:rPr>
        <w:t>本工程运行</w:t>
      </w:r>
      <w:r>
        <w:rPr>
          <w:rFonts w:hint="default" w:ascii="Times New Roman" w:hAnsi="Times New Roman" w:cs="Times New Roman"/>
          <w:highlight w:val="none"/>
        </w:rPr>
        <w:t>期</w:t>
      </w:r>
      <w:r>
        <w:rPr>
          <w:rFonts w:hint="default" w:ascii="Times New Roman" w:hAnsi="Times New Roman" w:cs="Times New Roman"/>
          <w:highlight w:val="none"/>
          <w:lang w:val="en-US" w:eastAsia="zh-CN"/>
        </w:rPr>
        <w:t>不产生</w:t>
      </w:r>
      <w:r>
        <w:rPr>
          <w:rFonts w:hint="default" w:ascii="Times New Roman" w:hAnsi="Times New Roman" w:cs="Times New Roman"/>
          <w:highlight w:val="none"/>
        </w:rPr>
        <w:t>噪声</w:t>
      </w:r>
      <w:r>
        <w:rPr>
          <w:rFonts w:hint="default" w:ascii="Times New Roman" w:hAnsi="Times New Roman" w:cs="Times New Roman"/>
          <w:highlight w:val="none"/>
          <w:lang w:eastAsia="zh-CN"/>
        </w:rPr>
        <w:t>，</w:t>
      </w:r>
      <w:r>
        <w:rPr>
          <w:rFonts w:hint="default" w:ascii="Times New Roman" w:hAnsi="Times New Roman" w:cs="Times New Roman"/>
          <w:highlight w:val="none"/>
        </w:rPr>
        <w:t>施工期场界噪声执行《建筑施工场界环境噪声排放标准》（GB 12523-2011）</w:t>
      </w:r>
      <w:r>
        <w:rPr>
          <w:rFonts w:hint="default" w:ascii="Times New Roman" w:hAnsi="Times New Roman" w:cs="Times New Roman"/>
          <w:color w:val="000000" w:themeColor="text1"/>
          <w:highlight w:val="none"/>
          <w:lang w:val="en-US" w:eastAsia="zh-CN"/>
          <w14:textFill>
            <w14:solidFill>
              <w14:schemeClr w14:val="tx1"/>
            </w14:solidFill>
          </w14:textFill>
        </w:rPr>
        <w:t>中</w:t>
      </w: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表1规定的排放限值，详</w:t>
      </w:r>
      <w:r>
        <w:rPr>
          <w:rFonts w:hint="default" w:ascii="Times New Roman" w:hAnsi="Times New Roman" w:cs="Times New Roman"/>
          <w:highlight w:val="none"/>
          <w:lang w:val="en-US" w:eastAsia="zh-CN"/>
        </w:rPr>
        <w:t>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_Ref5773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表1.6-5</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rPr>
      </w:pPr>
      <w:bookmarkStart w:id="58" w:name="_Ref20274"/>
      <w:bookmarkStart w:id="59" w:name="_Ref5773"/>
      <w:r>
        <w:rPr>
          <w:rFonts w:hint="default" w:ascii="Times New Roman" w:hAnsi="Times New Roman" w:cs="Times New Roman"/>
          <w:highlight w:val="none"/>
        </w:rPr>
        <w:t>《建筑施工场界环境噪声排放标准》</w:t>
      </w:r>
      <w:bookmarkEnd w:id="58"/>
      <w:r>
        <w:rPr>
          <w:rFonts w:hint="default" w:ascii="Times New Roman" w:hAnsi="Times New Roman" w:cs="Times New Roman"/>
          <w:highlight w:val="none"/>
        </w:rPr>
        <w:t>（GB12523-2011）</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摘录</w:t>
      </w:r>
      <w:r>
        <w:rPr>
          <w:rFonts w:hint="default" w:ascii="Times New Roman" w:hAnsi="Times New Roman" w:cs="Times New Roman"/>
          <w:highlight w:val="none"/>
          <w:lang w:eastAsia="zh-CN"/>
        </w:rPr>
        <w:t>）</w:t>
      </w:r>
      <w:bookmarkEnd w:id="59"/>
    </w:p>
    <w:tbl>
      <w:tblPr>
        <w:tblStyle w:val="17"/>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5"/>
        <w:gridCol w:w="3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95"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单位</w:t>
            </w:r>
          </w:p>
        </w:tc>
        <w:tc>
          <w:tcPr>
            <w:tcW w:w="3095"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昼间</w:t>
            </w:r>
          </w:p>
        </w:tc>
        <w:tc>
          <w:tcPr>
            <w:tcW w:w="3098"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95"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dB（A）</w:t>
            </w:r>
          </w:p>
        </w:tc>
        <w:tc>
          <w:tcPr>
            <w:tcW w:w="3095"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70</w:t>
            </w:r>
          </w:p>
        </w:tc>
        <w:tc>
          <w:tcPr>
            <w:tcW w:w="3098" w:type="dxa"/>
            <w:tcBorders>
              <w:tl2br w:val="nil"/>
              <w:tr2bl w:val="nil"/>
            </w:tcBorders>
            <w:vAlign w:val="top"/>
          </w:tcPr>
          <w:p>
            <w:pPr>
              <w:pStyle w:val="19"/>
              <w:keepNext w:val="0"/>
              <w:keepLines w:val="0"/>
              <w:widowControl w:val="0"/>
              <w:suppressLineNumbers w:val="0"/>
              <w:bidi w:val="0"/>
              <w:spacing w:before="0" w:beforeAutospacing="0" w:after="0" w:afterAutospacing="0"/>
              <w:ind w:left="0" w:right="0"/>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gridSpan w:val="3"/>
            <w:tcBorders>
              <w:tl2br w:val="nil"/>
              <w:tr2bl w:val="nil"/>
            </w:tcBorders>
            <w:vAlign w:val="top"/>
          </w:tcPr>
          <w:p>
            <w:pPr>
              <w:pStyle w:val="19"/>
              <w:keepNext w:val="0"/>
              <w:keepLines w:val="0"/>
              <w:widowControl w:val="0"/>
              <w:suppressLineNumbers w:val="0"/>
              <w:bidi w:val="0"/>
              <w:spacing w:before="0" w:beforeAutospacing="0" w:after="0" w:afterAutospacing="0"/>
              <w:ind w:right="0"/>
              <w:jc w:val="left"/>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注：[1] 夜间噪声最大声级超过限值的幅度不得高于15 dB；</w:t>
            </w:r>
          </w:p>
          <w:p>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right="0" w:firstLine="420" w:firstLineChars="200"/>
              <w:jc w:val="left"/>
              <w:textAlignment w:val="auto"/>
              <w:rPr>
                <w:rFonts w:hint="default" w:ascii="Times New Roman" w:hAnsi="Times New Roman" w:cs="Times New Roman"/>
                <w:color w:val="000000" w:themeColor="text1"/>
                <w:kern w:val="0"/>
                <w:szCs w:val="20"/>
                <w:highlight w:val="none"/>
                <w:lang w:val="en-US" w:eastAsia="zh-CN"/>
                <w14:textFill>
                  <w14:solidFill>
                    <w14:schemeClr w14:val="tx1"/>
                  </w14:solidFill>
                </w14:textFill>
              </w:rPr>
            </w:pPr>
            <w:r>
              <w:rPr>
                <w:rFonts w:hint="default" w:ascii="Times New Roman" w:hAnsi="Times New Roman" w:cs="Times New Roman"/>
                <w:color w:val="000000" w:themeColor="text1"/>
                <w:kern w:val="0"/>
                <w:szCs w:val="20"/>
                <w:highlight w:val="none"/>
                <w:lang w:val="en-US" w:eastAsia="zh-CN"/>
                <w14:textFill>
                  <w14:solidFill>
                    <w14:schemeClr w14:val="tx1"/>
                  </w14:solidFill>
                </w14:textFill>
              </w:rPr>
              <w:t>[2] 当场界距离噪声敏感建筑物较近，其室外不满足测量条件时，可在噪声敏感建筑物室内测量，并将表中相应的限值减10 dB作为评价依据。</w:t>
            </w:r>
          </w:p>
        </w:tc>
      </w:tr>
    </w:tbl>
    <w:p>
      <w:pPr>
        <w:rPr>
          <w:rFonts w:hint="default" w:ascii="Times New Roman" w:hAnsi="Times New Roman" w:cs="Times New Roman"/>
          <w:highlight w:val="none"/>
          <w:lang w:val="en-US"/>
        </w:rPr>
      </w:pPr>
    </w:p>
    <w:p>
      <w:pPr>
        <w:pStyle w:val="5"/>
        <w:bidi w:val="0"/>
        <w:ind w:left="864" w:leftChars="0" w:hanging="864" w:firstLineChars="0"/>
        <w:rPr>
          <w:rFonts w:hint="default" w:ascii="Times New Roman" w:hAnsi="Times New Roman" w:cs="Times New Roman"/>
          <w:highlight w:val="none"/>
        </w:rPr>
      </w:pPr>
      <w:r>
        <w:rPr>
          <w:rFonts w:hint="default" w:ascii="Times New Roman" w:hAnsi="Times New Roman" w:cs="Times New Roman"/>
          <w:highlight w:val="none"/>
          <w:lang w:val="en-US" w:eastAsia="zh-CN"/>
        </w:rPr>
        <w:t>固体废物</w:t>
      </w:r>
    </w:p>
    <w:p>
      <w:pPr>
        <w:tabs>
          <w:tab w:val="left" w:pos="0"/>
        </w:tabs>
        <w:bidi w:val="0"/>
        <w:jc w:val="both"/>
        <w:rPr>
          <w:rFonts w:hint="default" w:ascii="Times New Roman" w:hAnsi="Times New Roman" w:cs="Times New Roman"/>
          <w:highlight w:val="none"/>
        </w:rPr>
      </w:pPr>
      <w:r>
        <w:rPr>
          <w:rFonts w:hint="default" w:ascii="Times New Roman" w:hAnsi="Times New Roman" w:eastAsia="宋体" w:cs="Times New Roman"/>
          <w:color w:val="auto"/>
          <w:kern w:val="0"/>
          <w:sz w:val="24"/>
          <w:szCs w:val="24"/>
          <w:highlight w:val="none"/>
          <w:lang w:val="zh-CN" w:eastAsia="zh-CN" w:bidi="ar-SA"/>
        </w:rPr>
        <w:t>工业及生活垃圾执行《一般工业固体废物贮存、处置场污染控制标准》（GB18599-</w:t>
      </w:r>
      <w:r>
        <w:rPr>
          <w:rFonts w:hint="default" w:ascii="Times New Roman" w:hAnsi="Times New Roman" w:eastAsia="宋体" w:cs="Times New Roman"/>
          <w:color w:val="auto"/>
          <w:kern w:val="0"/>
          <w:sz w:val="24"/>
          <w:szCs w:val="24"/>
          <w:highlight w:val="none"/>
          <w:lang w:val="en-US" w:eastAsia="zh-CN" w:bidi="ar-SA"/>
        </w:rPr>
        <w:t>2020</w:t>
      </w:r>
      <w:r>
        <w:rPr>
          <w:rFonts w:hint="default" w:ascii="Times New Roman" w:hAnsi="Times New Roman" w:eastAsia="宋体" w:cs="Times New Roman"/>
          <w:color w:val="auto"/>
          <w:kern w:val="0"/>
          <w:sz w:val="24"/>
          <w:szCs w:val="24"/>
          <w:highlight w:val="none"/>
          <w:lang w:val="zh-CN" w:eastAsia="zh-CN" w:bidi="ar-SA"/>
        </w:rPr>
        <w:t>）</w:t>
      </w:r>
      <w:r>
        <w:rPr>
          <w:rFonts w:hint="default" w:ascii="Times New Roman" w:hAnsi="Times New Roman" w:cs="Times New Roman"/>
          <w:szCs w:val="24"/>
          <w:highlight w:val="none"/>
        </w:rPr>
        <w:t>；</w:t>
      </w:r>
      <w:r>
        <w:rPr>
          <w:rFonts w:hint="default" w:ascii="Times New Roman" w:hAnsi="Times New Roman" w:cs="Times New Roman"/>
          <w:szCs w:val="24"/>
          <w:highlight w:val="none"/>
          <w:lang w:val="en-US"/>
        </w:rPr>
        <w:t>危险废物</w:t>
      </w:r>
      <w:r>
        <w:rPr>
          <w:rFonts w:hint="default" w:ascii="Times New Roman" w:hAnsi="Times New Roman" w:cs="Times New Roman"/>
          <w:szCs w:val="24"/>
          <w:highlight w:val="none"/>
        </w:rPr>
        <w:t>执行《危险废物贮存污染控制标准》（GB18597-2001）及其2013标准修改单</w:t>
      </w:r>
      <w:r>
        <w:rPr>
          <w:rFonts w:hint="default" w:ascii="Times New Roman" w:hAnsi="Times New Roman" w:eastAsia="宋体" w:cs="Times New Roman"/>
          <w:color w:val="000000"/>
          <w:kern w:val="0"/>
          <w:sz w:val="24"/>
          <w:szCs w:val="24"/>
          <w:highlight w:val="none"/>
          <w:lang w:val="en-US" w:eastAsia="zh-CN" w:bidi="ar"/>
        </w:rPr>
        <w:t>。</w:t>
      </w:r>
    </w:p>
    <w:p>
      <w:pPr>
        <w:pStyle w:val="3"/>
        <w:keepNext w:val="0"/>
        <w:keepLines w:val="0"/>
        <w:pageBreakBefore w:val="0"/>
        <w:widowControl w:val="0"/>
        <w:kinsoku/>
        <w:wordWrap/>
        <w:overflowPunct/>
        <w:topLinePunct w:val="0"/>
        <w:autoSpaceDE w:val="0"/>
        <w:autoSpaceDN w:val="0"/>
        <w:bidi w:val="0"/>
        <w:adjustRightInd/>
        <w:snapToGrid/>
        <w:ind w:left="0" w:firstLine="0"/>
        <w:textAlignment w:val="auto"/>
        <w:rPr>
          <w:rFonts w:hint="default" w:ascii="Times New Roman" w:hAnsi="Times New Roman" w:cs="Times New Roman"/>
          <w:highlight w:val="none"/>
        </w:rPr>
      </w:pPr>
      <w:bookmarkStart w:id="60" w:name="_Toc6796"/>
      <w:bookmarkStart w:id="61" w:name="_Toc10308"/>
      <w:r>
        <w:rPr>
          <w:rFonts w:hint="default" w:ascii="Times New Roman" w:hAnsi="Times New Roman" w:cs="Times New Roman"/>
          <w:highlight w:val="none"/>
        </w:rPr>
        <w:t>环境保护目标</w:t>
      </w:r>
      <w:bookmarkEnd w:id="60"/>
      <w:bookmarkEnd w:id="61"/>
    </w:p>
    <w:p>
      <w:pPr>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本工程位于福鼎市管阳镇周边，经调查工程评价范围内没有国家公园、自然保护区、风景名胜区、世界文化和自然遗产地、海洋特别保护区，不涉及永久基本农田、基本草原、自然公园、重要湿地、天然林、重点保护也是动物栖息地，重点保护野生植物生长繁殖地，重要水生生物的自然产卵场、索饵场、越冬场和洄游通道，天然渔场，水土流失重点预防区和治理区、沙化土地封禁保护区、封闭区及半封闭海域，但项目周边有饮用水水源保护区、居住区、学校等环境敏感点，环境保护目标情况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_Ref26025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表1.7-1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，位置见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_Ref19104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图1.7-1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_Ref19117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图1.7-2</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rPr>
      </w:pPr>
      <w:bookmarkStart w:id="62" w:name="_Ref26025"/>
      <w:r>
        <w:rPr>
          <w:rFonts w:hint="default" w:ascii="Times New Roman" w:hAnsi="Times New Roman" w:cs="Times New Roman"/>
          <w:highlight w:val="none"/>
        </w:rPr>
        <w:t>项目环境保护目标一览表</w:t>
      </w:r>
      <w:bookmarkEnd w:id="62"/>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25"/>
        <w:gridCol w:w="1541"/>
        <w:gridCol w:w="1135"/>
        <w:gridCol w:w="1110"/>
        <w:gridCol w:w="1724"/>
        <w:gridCol w:w="1636"/>
        <w:gridCol w:w="14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3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保护要素</w:t>
            </w: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环境保护目标</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color w:val="auto"/>
                <w:sz w:val="18"/>
                <w:szCs w:val="18"/>
                <w:highlight w:val="none"/>
                <w:lang w:val="en-US" w:eastAsia="zh-CN"/>
              </w:rPr>
              <w:t>经度</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纬度</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方位和最近距离</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规模</w:t>
            </w:r>
          </w:p>
        </w:tc>
        <w:tc>
          <w:tcPr>
            <w:tcW w:w="79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环境质量要求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restar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大气</w:t>
            </w:r>
          </w:p>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环境</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声环境</w:t>
            </w: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管阳镇区</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120.033059</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27.251339</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1100户，5650人</w:t>
            </w:r>
          </w:p>
        </w:tc>
        <w:tc>
          <w:tcPr>
            <w:tcW w:w="799" w:type="pct"/>
            <w:vMerge w:val="restar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rPr>
              <w:t>《环境空气质量标准》(GB3095-2012)二级</w:t>
            </w:r>
            <w:r>
              <w:rPr>
                <w:rFonts w:hint="default" w:ascii="Times New Roman" w:hAnsi="Times New Roman" w:cs="Times New Roman"/>
                <w:highlight w:val="none"/>
                <w:lang w:val="en-US" w:eastAsia="zh-CN"/>
              </w:rPr>
              <w:t>；</w:t>
            </w:r>
            <w:r>
              <w:rPr>
                <w:rFonts w:hint="default" w:ascii="Times New Roman" w:hAnsi="Times New Roman" w:cs="Times New Roman"/>
                <w:highlight w:val="none"/>
              </w:rPr>
              <w:t>《声环境质量标准》(GB3096-2008)2类</w:t>
            </w:r>
          </w:p>
          <w:p>
            <w:pPr>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广化村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120.016022</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27.276965</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330户，2017人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茶阳村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120.026300</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27.279177</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220户，1346人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七浦村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120.003469</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27.298418</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210户，1290人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乾头村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119.980960</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27.303033</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230户，1438人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元潭村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119.976711</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27.292297</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250户，1618人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溪头村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119.954073</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27.309630</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330户，1988人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徐陈村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120.002471</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27.319925</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270户，1655人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西阳村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119.978986</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27.323032</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600户，3643人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天竹村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119.974029</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27.336185</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660户，3978人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缙阳村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119.991785</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27.321450</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180户，1138人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楮楼村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119.959159</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27.321335</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270户，1658人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西昆村</w:t>
            </w:r>
          </w:p>
        </w:tc>
        <w:tc>
          <w:tcPr>
            <w:tcW w:w="62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119.989049</w:t>
            </w:r>
          </w:p>
        </w:tc>
        <w:tc>
          <w:tcPr>
            <w:tcW w:w="61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27.274371</w:t>
            </w:r>
          </w:p>
        </w:tc>
        <w:tc>
          <w:tcPr>
            <w:tcW w:w="956"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穿越</w:t>
            </w:r>
          </w:p>
        </w:tc>
        <w:tc>
          <w:tcPr>
            <w:tcW w:w="907"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330户，2017人</w:t>
            </w: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restar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水环境</w:t>
            </w: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上安水库</w:t>
            </w:r>
          </w:p>
        </w:tc>
        <w:tc>
          <w:tcPr>
            <w:tcW w:w="629"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120.015640</w:t>
            </w:r>
          </w:p>
        </w:tc>
        <w:tc>
          <w:tcPr>
            <w:tcW w:w="615"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27.254295</w:t>
            </w:r>
          </w:p>
        </w:tc>
        <w:tc>
          <w:tcPr>
            <w:tcW w:w="956"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取水点</w:t>
            </w:r>
          </w:p>
        </w:tc>
        <w:tc>
          <w:tcPr>
            <w:tcW w:w="907"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一级保护区</w:t>
            </w:r>
          </w:p>
        </w:tc>
        <w:tc>
          <w:tcPr>
            <w:tcW w:w="79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II</w:t>
            </w:r>
            <w:r>
              <w:rPr>
                <w:rFonts w:hint="default" w:ascii="Times New Roman" w:hAnsi="Times New Roman" w:cs="Times New Roman"/>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西阳村龙井溪</w:t>
            </w:r>
          </w:p>
        </w:tc>
        <w:tc>
          <w:tcPr>
            <w:tcW w:w="629"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120.010188</w:t>
            </w:r>
          </w:p>
        </w:tc>
        <w:tc>
          <w:tcPr>
            <w:tcW w:w="615"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27.343879</w:t>
            </w:r>
          </w:p>
        </w:tc>
        <w:tc>
          <w:tcPr>
            <w:tcW w:w="956"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取水点</w:t>
            </w:r>
          </w:p>
        </w:tc>
        <w:tc>
          <w:tcPr>
            <w:tcW w:w="907" w:type="pct"/>
            <w:vMerge w:val="restar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未划入饮用水水源地保护区</w:t>
            </w:r>
          </w:p>
        </w:tc>
        <w:tc>
          <w:tcPr>
            <w:tcW w:w="799" w:type="pct"/>
            <w:vMerge w:val="restar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III</w:t>
            </w:r>
            <w:r>
              <w:rPr>
                <w:rFonts w:hint="default" w:ascii="Times New Roman" w:hAnsi="Times New Roman" w:cs="Times New Roman"/>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天竹水库</w:t>
            </w:r>
          </w:p>
        </w:tc>
        <w:tc>
          <w:tcPr>
            <w:tcW w:w="629"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119.979572</w:t>
            </w:r>
          </w:p>
        </w:tc>
        <w:tc>
          <w:tcPr>
            <w:tcW w:w="615"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0"/>
                <w:sz w:val="21"/>
                <w:szCs w:val="22"/>
                <w:highlight w:val="none"/>
                <w:lang w:val="zh-CN" w:eastAsia="zh-CN" w:bidi="ar-SA"/>
              </w:rPr>
            </w:pPr>
            <w:r>
              <w:rPr>
                <w:rFonts w:hint="default" w:ascii="Times New Roman" w:hAnsi="Times New Roman" w:cs="Times New Roman"/>
                <w:i w:val="0"/>
                <w:color w:val="000000"/>
                <w:spacing w:val="0"/>
                <w:sz w:val="21"/>
                <w:szCs w:val="21"/>
                <w:highlight w:val="none"/>
                <w:vertAlign w:val="baseline"/>
              </w:rPr>
              <w:t>27.346260</w:t>
            </w:r>
          </w:p>
        </w:tc>
        <w:tc>
          <w:tcPr>
            <w:tcW w:w="956"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取水点</w:t>
            </w:r>
          </w:p>
        </w:tc>
        <w:tc>
          <w:tcPr>
            <w:tcW w:w="907" w:type="pct"/>
            <w:vMerge w:val="continue"/>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cs="Times New Roman"/>
                <w:kern w:val="0"/>
                <w:sz w:val="21"/>
                <w:szCs w:val="22"/>
                <w:highlight w:val="none"/>
                <w:lang w:val="en-US" w:eastAsia="zh-CN" w:bidi="ar-SA"/>
              </w:rPr>
            </w:pPr>
          </w:p>
        </w:tc>
        <w:tc>
          <w:tcPr>
            <w:tcW w:w="799"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Merge w:val="continue"/>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管</w:t>
            </w:r>
            <w:r>
              <w:rPr>
                <w:rFonts w:hint="default" w:ascii="Times New Roman" w:hAnsi="Times New Roman" w:cs="Times New Roman"/>
                <w:highlight w:val="none"/>
                <w:lang w:val="en-US" w:eastAsia="zh-CN"/>
              </w:rPr>
              <w:t>阳</w:t>
            </w:r>
            <w:r>
              <w:rPr>
                <w:rFonts w:hint="default" w:ascii="Times New Roman" w:hAnsi="Times New Roman" w:cs="Times New Roman"/>
                <w:highlight w:val="none"/>
                <w:lang w:val="en-US" w:eastAsia="zh-CN"/>
              </w:rPr>
              <w:t>溪</w:t>
            </w:r>
          </w:p>
        </w:tc>
        <w:tc>
          <w:tcPr>
            <w:tcW w:w="3110" w:type="pct"/>
            <w:gridSpan w:val="4"/>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eastAsia="宋体" w:cs="Times New Roman"/>
                <w:highlight w:val="none"/>
                <w:lang w:val="en-US" w:eastAsia="zh-CN"/>
              </w:rPr>
              <w:t>配水管网与管溪纵横交错</w:t>
            </w:r>
          </w:p>
        </w:tc>
        <w:tc>
          <w:tcPr>
            <w:tcW w:w="79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III</w:t>
            </w:r>
            <w:r>
              <w:rPr>
                <w:rFonts w:hint="default" w:ascii="Times New Roman" w:hAnsi="Times New Roman" w:cs="Times New Roman"/>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地下水</w:t>
            </w:r>
          </w:p>
        </w:tc>
        <w:tc>
          <w:tcPr>
            <w:tcW w:w="855"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629"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w:t>
            </w:r>
          </w:p>
        </w:tc>
        <w:tc>
          <w:tcPr>
            <w:tcW w:w="615"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w:t>
            </w:r>
          </w:p>
        </w:tc>
        <w:tc>
          <w:tcPr>
            <w:tcW w:w="956"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w:t>
            </w:r>
          </w:p>
        </w:tc>
        <w:tc>
          <w:tcPr>
            <w:tcW w:w="907" w:type="pct"/>
            <w:vAlign w:val="center"/>
          </w:tcPr>
          <w:p>
            <w:pPr>
              <w:pStyle w:val="19"/>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0"/>
                <w:sz w:val="21"/>
                <w:szCs w:val="22"/>
                <w:highlight w:val="none"/>
                <w:lang w:val="en-US" w:eastAsia="zh-CN" w:bidi="ar-SA"/>
              </w:rPr>
            </w:pPr>
            <w:r>
              <w:rPr>
                <w:rFonts w:hint="default" w:ascii="Times New Roman" w:hAnsi="Times New Roman" w:cs="Times New Roman"/>
                <w:kern w:val="0"/>
                <w:sz w:val="21"/>
                <w:szCs w:val="22"/>
                <w:highlight w:val="none"/>
                <w:lang w:val="en-US" w:eastAsia="zh-CN" w:bidi="ar-SA"/>
              </w:rPr>
              <w:t>/</w:t>
            </w:r>
          </w:p>
        </w:tc>
        <w:tc>
          <w:tcPr>
            <w:tcW w:w="799" w:type="pct"/>
            <w:vAlign w:val="center"/>
          </w:tcPr>
          <w:p>
            <w:pPr>
              <w:pStyle w:val="19"/>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szCs w:val="21"/>
                <w:highlight w:val="none"/>
              </w:rPr>
              <w:t>（《地下水质量标准》</w:t>
            </w:r>
            <w:r>
              <w:rPr>
                <w:rFonts w:hint="default" w:ascii="Times New Roman" w:hAnsi="Times New Roman" w:cs="Times New Roman"/>
                <w:szCs w:val="21"/>
                <w:highlight w:val="none"/>
                <w:lang w:eastAsia="zh-CN"/>
              </w:rPr>
              <w:t>（</w:t>
            </w:r>
            <w:r>
              <w:rPr>
                <w:rFonts w:hint="default" w:ascii="Times New Roman" w:hAnsi="Times New Roman" w:cs="Times New Roman"/>
                <w:szCs w:val="21"/>
                <w:highlight w:val="none"/>
              </w:rPr>
              <w:t>GB/T4848-2017）Ⅲ类水质标准</w:t>
            </w:r>
          </w:p>
        </w:tc>
      </w:tr>
    </w:tbl>
    <w:p>
      <w:pPr>
        <w:pStyle w:val="4"/>
        <w:rPr>
          <w:rFonts w:hint="default" w:ascii="Times New Roman" w:hAnsi="Times New Roman" w:cs="Times New Roman"/>
          <w:highlight w:val="none"/>
        </w:rPr>
        <w:sectPr>
          <w:pgSz w:w="11850" w:h="16783"/>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pPr>
    </w:p>
    <w:p>
      <w:pPr>
        <w:bidi w:val="0"/>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12816205" cy="7976870"/>
            <wp:effectExtent l="0" t="0" r="4445" b="5080"/>
            <wp:docPr id="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pic:cNvPicPr>
                      <a:picLocks noChangeAspect="1"/>
                    </pic:cNvPicPr>
                  </pic:nvPicPr>
                  <pic:blipFill>
                    <a:blip r:embed="rId28"/>
                    <a:stretch>
                      <a:fillRect/>
                    </a:stretch>
                  </pic:blipFill>
                  <pic:spPr>
                    <a:xfrm>
                      <a:off x="0" y="0"/>
                      <a:ext cx="12816205" cy="7976870"/>
                    </a:xfrm>
                    <a:prstGeom prst="rect">
                      <a:avLst/>
                    </a:prstGeom>
                    <a:noFill/>
                    <a:ln>
                      <a:noFill/>
                    </a:ln>
                  </pic:spPr>
                </pic:pic>
              </a:graphicData>
            </a:graphic>
          </wp:inline>
        </w:drawing>
      </w:r>
    </w:p>
    <w:p>
      <w:pPr>
        <w:pStyle w:val="22"/>
        <w:bidi w:val="0"/>
        <w:rPr>
          <w:rFonts w:hint="default" w:ascii="Times New Roman" w:hAnsi="Times New Roman" w:cs="Times New Roman"/>
          <w:highlight w:val="none"/>
        </w:rPr>
      </w:pPr>
      <w:bookmarkStart w:id="63" w:name="_Ref19104"/>
      <w:r>
        <w:rPr>
          <w:rFonts w:hint="default" w:ascii="Times New Roman" w:hAnsi="Times New Roman" w:cs="Times New Roman"/>
          <w:highlight w:val="none"/>
          <w:lang w:val="en-US" w:eastAsia="zh-CN"/>
        </w:rPr>
        <w:t>管阳水厂配管周边环境保护目标</w:t>
      </w:r>
      <w:bookmarkEnd w:id="63"/>
    </w:p>
    <w:p>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12799695" cy="8375650"/>
            <wp:effectExtent l="0" t="0" r="1905" b="6350"/>
            <wp:docPr id="1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8"/>
                    <pic:cNvPicPr>
                      <a:picLocks noChangeAspect="1"/>
                    </pic:cNvPicPr>
                  </pic:nvPicPr>
                  <pic:blipFill>
                    <a:blip r:embed="rId29"/>
                    <a:stretch>
                      <a:fillRect/>
                    </a:stretch>
                  </pic:blipFill>
                  <pic:spPr>
                    <a:xfrm>
                      <a:off x="0" y="0"/>
                      <a:ext cx="12799695" cy="8375650"/>
                    </a:xfrm>
                    <a:prstGeom prst="rect">
                      <a:avLst/>
                    </a:prstGeom>
                    <a:noFill/>
                    <a:ln>
                      <a:noFill/>
                    </a:ln>
                  </pic:spPr>
                </pic:pic>
              </a:graphicData>
            </a:graphic>
          </wp:inline>
        </w:drawing>
      </w:r>
      <w:r>
        <w:rPr>
          <w:rFonts w:hint="default" w:ascii="Times New Roman" w:hAnsi="Times New Roman" w:cs="Times New Roman"/>
          <w:sz w:val="24"/>
          <w:highlight w:val="none"/>
        </w:rPr>
        <mc:AlternateContent>
          <mc:Choice Requires="wps">
            <w:drawing>
              <wp:anchor distT="0" distB="0" distL="114300" distR="114300" simplePos="0" relativeHeight="251698176" behindDoc="0" locked="0" layoutInCell="1" allowOverlap="1">
                <wp:simplePos x="0" y="0"/>
                <wp:positionH relativeFrom="column">
                  <wp:posOffset>5814695</wp:posOffset>
                </wp:positionH>
                <wp:positionV relativeFrom="paragraph">
                  <wp:posOffset>2054225</wp:posOffset>
                </wp:positionV>
                <wp:extent cx="272415" cy="395605"/>
                <wp:effectExtent l="12700" t="0" r="19685" b="15875"/>
                <wp:wrapNone/>
                <wp:docPr id="222" name="任意多边形 222"/>
                <wp:cNvGraphicFramePr/>
                <a:graphic xmlns:a="http://schemas.openxmlformats.org/drawingml/2006/main">
                  <a:graphicData uri="http://schemas.microsoft.com/office/word/2010/wordprocessingShape">
                    <wps:wsp>
                      <wps:cNvSpPr/>
                      <wps:spPr>
                        <a:xfrm>
                          <a:off x="6708140" y="2954020"/>
                          <a:ext cx="272415" cy="395605"/>
                        </a:xfrm>
                        <a:custGeom>
                          <a:avLst/>
                          <a:gdLst>
                            <a:gd name="connisteX0" fmla="*/ 10795 w 272415"/>
                            <a:gd name="connsiteY0" fmla="*/ 395605 h 395605"/>
                            <a:gd name="connisteX1" fmla="*/ 0 w 272415"/>
                            <a:gd name="connsiteY1" fmla="*/ 374015 h 395605"/>
                            <a:gd name="connisteX2" fmla="*/ 40005 w 272415"/>
                            <a:gd name="connsiteY2" fmla="*/ 327025 h 395605"/>
                            <a:gd name="connisteX3" fmla="*/ 50800 w 272415"/>
                            <a:gd name="connsiteY3" fmla="*/ 283210 h 395605"/>
                            <a:gd name="connisteX4" fmla="*/ 65405 w 272415"/>
                            <a:gd name="connsiteY4" fmla="*/ 257810 h 395605"/>
                            <a:gd name="connisteX5" fmla="*/ 86995 w 272415"/>
                            <a:gd name="connsiteY5" fmla="*/ 243205 h 395605"/>
                            <a:gd name="connisteX6" fmla="*/ 105410 w 272415"/>
                            <a:gd name="connsiteY6" fmla="*/ 239395 h 395605"/>
                            <a:gd name="connisteX7" fmla="*/ 105410 w 272415"/>
                            <a:gd name="connsiteY7" fmla="*/ 217805 h 395605"/>
                            <a:gd name="connisteX8" fmla="*/ 116205 w 272415"/>
                            <a:gd name="connsiteY8" fmla="*/ 192405 h 395605"/>
                            <a:gd name="connisteX9" fmla="*/ 116205 w 272415"/>
                            <a:gd name="connsiteY9" fmla="*/ 170815 h 395605"/>
                            <a:gd name="connisteX10" fmla="*/ 120015 w 272415"/>
                            <a:gd name="connsiteY10" fmla="*/ 156210 h 395605"/>
                            <a:gd name="connisteX11" fmla="*/ 130810 w 272415"/>
                            <a:gd name="connsiteY11" fmla="*/ 83820 h 395605"/>
                            <a:gd name="connisteX12" fmla="*/ 156210 w 272415"/>
                            <a:gd name="connsiteY12" fmla="*/ 98425 h 395605"/>
                            <a:gd name="connisteX13" fmla="*/ 203200 w 272415"/>
                            <a:gd name="connsiteY13" fmla="*/ 54610 h 395605"/>
                            <a:gd name="connisteX14" fmla="*/ 254000 w 272415"/>
                            <a:gd name="connsiteY14" fmla="*/ 54610 h 395605"/>
                            <a:gd name="connisteX15" fmla="*/ 272415 w 272415"/>
                            <a:gd name="connsiteY15" fmla="*/ 43815 h 395605"/>
                            <a:gd name="connisteX16" fmla="*/ 272415 w 272415"/>
                            <a:gd name="connsiteY16" fmla="*/ 0 h 3956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272415" h="395605">
                              <a:moveTo>
                                <a:pt x="10795" y="395605"/>
                              </a:moveTo>
                              <a:lnTo>
                                <a:pt x="0" y="374015"/>
                              </a:lnTo>
                              <a:lnTo>
                                <a:pt x="40005" y="327025"/>
                              </a:lnTo>
                              <a:lnTo>
                                <a:pt x="50800" y="283210"/>
                              </a:lnTo>
                              <a:lnTo>
                                <a:pt x="65405" y="257810"/>
                              </a:lnTo>
                              <a:lnTo>
                                <a:pt x="86995" y="243205"/>
                              </a:lnTo>
                              <a:lnTo>
                                <a:pt x="105410" y="239395"/>
                              </a:lnTo>
                              <a:lnTo>
                                <a:pt x="105410" y="217805"/>
                              </a:lnTo>
                              <a:lnTo>
                                <a:pt x="116205" y="192405"/>
                              </a:lnTo>
                              <a:lnTo>
                                <a:pt x="116205" y="170815"/>
                              </a:lnTo>
                              <a:lnTo>
                                <a:pt x="120015" y="156210"/>
                              </a:lnTo>
                              <a:lnTo>
                                <a:pt x="130810" y="83820"/>
                              </a:lnTo>
                              <a:lnTo>
                                <a:pt x="156210" y="98425"/>
                              </a:lnTo>
                              <a:lnTo>
                                <a:pt x="203200" y="54610"/>
                              </a:lnTo>
                              <a:lnTo>
                                <a:pt x="254000" y="54610"/>
                              </a:lnTo>
                              <a:lnTo>
                                <a:pt x="272415" y="43815"/>
                              </a:lnTo>
                              <a:lnTo>
                                <a:pt x="272415"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wps:wsp>
                  </a:graphicData>
                </a:graphic>
              </wp:anchor>
            </w:drawing>
          </mc:Choice>
          <mc:Fallback>
            <w:pict>
              <v:shape id="_x0000_s1026" o:spid="_x0000_s1026" o:spt="100" style="position:absolute;left:0pt;margin-left:457.85pt;margin-top:161.75pt;height:31.15pt;width:21.45pt;z-index:251698176;mso-width-relative:page;mso-height-relative:page;" filled="f" stroked="t" coordsize="272415,395605" o:gfxdata="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" path="m10795,395605l0,374015,40005,327025,50800,283210,65405,257810,86995,243205,105410,239395,105410,217805,116205,192405,116205,170815,120015,156210,130810,83820,156210,98425,203200,54610,254000,54610,272415,43815,272415,0e">
                <v:path textboxrect="0,0,272415,395605" o:connectlocs="10795,395605;0,374015;40005,327025;50800,283210;65405,257810;86995,243205;105410,239395;105410,217805;116205,192405;116205,170815;120015,156210;130810,83820;156210,98425;203200,54610;254000,54610;272415,43815;272415,0" o:connectangles="0,0,0,0,0,0,0,0,0,0,0,0,0,0,0,0,0"/>
                <v:fill on="f" focussize="0,0"/>
                <v:stroke weight="2pt" color="#000000 [3213]" joinstyle="round"/>
                <v:imagedata o:title=""/>
                <o:lock v:ext="edit" aspectratio="f"/>
                <v:textbox>
                  <w:txbxContent>
                    <w:p>
                      <w:pPr>
                        <w:jc w:val="center"/>
                      </w:pPr>
                    </w:p>
                  </w:txbxContent>
                </v:textbox>
              </v:shape>
            </w:pict>
          </mc:Fallback>
        </mc:AlternateContent>
      </w:r>
    </w:p>
    <w:p>
      <w:pPr>
        <w:pStyle w:val="22"/>
        <w:bidi w:val="0"/>
        <w:rPr>
          <w:rFonts w:hint="default" w:ascii="Times New Roman" w:hAnsi="Times New Roman" w:cs="Times New Roman"/>
          <w:highlight w:val="none"/>
          <w:lang w:val="en-US" w:eastAsia="zh-CN"/>
        </w:rPr>
      </w:pPr>
      <w:bookmarkStart w:id="64" w:name="_Ref19117"/>
      <w:r>
        <w:rPr>
          <w:rFonts w:hint="default" w:ascii="Times New Roman" w:hAnsi="Times New Roman" w:cs="Times New Roman"/>
          <w:highlight w:val="none"/>
          <w:lang w:val="en-US" w:eastAsia="zh-CN"/>
        </w:rPr>
        <w:t>西阳水厂配管周边环境保护目标</w:t>
      </w:r>
      <w:bookmarkEnd w:id="64"/>
    </w:p>
    <w:p>
      <w:pPr>
        <w:rPr>
          <w:rFonts w:hint="default" w:ascii="Times New Roman" w:hAnsi="Times New Roman" w:cs="Times New Roman"/>
          <w:highlight w:val="none"/>
        </w:rPr>
        <w:sectPr>
          <w:pgSz w:w="23811" w:h="16838" w:orient="landscape"/>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pPr>
    </w:p>
    <w:p>
      <w:pPr>
        <w:pStyle w:val="2"/>
        <w:tabs>
          <w:tab w:val="left" w:pos="0"/>
          <w:tab w:val="clear" w:pos="420"/>
        </w:tabs>
        <w:bidi w:val="0"/>
        <w:rPr>
          <w:rFonts w:hint="default" w:ascii="Times New Roman" w:hAnsi="Times New Roman" w:cs="Times New Roman"/>
          <w:highlight w:val="none"/>
          <w:lang w:val="en-US" w:eastAsia="zh-CN"/>
        </w:rPr>
      </w:pPr>
      <w:bookmarkStart w:id="65" w:name="_Toc19185"/>
      <w:bookmarkStart w:id="66" w:name="_Toc18007"/>
      <w:r>
        <w:rPr>
          <w:rFonts w:hint="default" w:ascii="Times New Roman" w:hAnsi="Times New Roman" w:cs="Times New Roman"/>
          <w:highlight w:val="none"/>
          <w:lang w:val="en-US" w:eastAsia="zh-CN"/>
        </w:rPr>
        <w:t>工程概况与工程分析</w:t>
      </w:r>
      <w:bookmarkEnd w:id="65"/>
      <w:bookmarkEnd w:id="66"/>
    </w:p>
    <w:p>
      <w:pPr>
        <w:pStyle w:val="3"/>
        <w:bidi w:val="0"/>
        <w:rPr>
          <w:rFonts w:hint="default" w:ascii="Times New Roman" w:hAnsi="Times New Roman" w:cs="Times New Roman"/>
          <w:highlight w:val="none"/>
          <w:lang w:val="en-US" w:eastAsia="zh-CN"/>
        </w:rPr>
      </w:pPr>
      <w:bookmarkStart w:id="67" w:name="_Toc3864"/>
      <w:bookmarkStart w:id="68" w:name="_Toc9063"/>
      <w:r>
        <w:rPr>
          <w:rFonts w:hint="default" w:ascii="Times New Roman" w:hAnsi="Times New Roman" w:cs="Times New Roman"/>
          <w:highlight w:val="none"/>
          <w:lang w:val="en-US" w:eastAsia="zh-CN"/>
        </w:rPr>
        <w:t>工程概况</w:t>
      </w:r>
      <w:bookmarkEnd w:id="67"/>
      <w:bookmarkEnd w:id="68"/>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工程地理位置</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福鼎市管阳片区农村安全饮水工程管网部分（福鼎市城乡供水一体化二期）项目位于福建省宁德市福鼎市管阳镇，工程设计总供水规模6500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/d，其中管阳水厂设计供水规模3000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/d，西阳水厂设计供水规模为3500m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p>
      <w:pPr>
        <w:bidi w:val="0"/>
        <w:rPr>
          <w:rFonts w:hint="default" w:ascii="Times New Roman" w:hAnsi="Times New Roman" w:cs="Times New Roman"/>
          <w:b/>
          <w:bCs/>
          <w:i/>
          <w:iCs/>
          <w:color w:val="000000"/>
          <w:highlight w:val="none"/>
          <w:lang w:val="en-US" w:eastAsia="zh-CN"/>
        </w:rPr>
      </w:pPr>
      <w:r>
        <w:rPr>
          <w:rFonts w:hint="default" w:ascii="Times New Roman" w:hAnsi="Times New Roman" w:cs="Times New Roman"/>
          <w:b/>
          <w:bCs/>
          <w:i/>
          <w:iCs/>
          <w:color w:val="000000"/>
          <w:highlight w:val="none"/>
          <w:lang w:val="en-US" w:eastAsia="zh-CN"/>
        </w:rPr>
        <w:t>本次管网部分评价内容包含取水工程、输水工程、配水工程，水厂部分另行开展环境影响评价，不在本次评价范围。</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工程任务和规模</w:t>
      </w:r>
    </w:p>
    <w:p>
      <w:pPr>
        <w:pStyle w:val="5"/>
        <w:bidi w:val="0"/>
        <w:rPr>
          <w:rFonts w:hint="default" w:ascii="Times New Roman" w:hAnsi="Times New Roman" w:cs="Times New Roman"/>
          <w:color w:val="000000"/>
          <w:highlight w:val="none"/>
          <w:lang w:val="en-US" w:eastAsia="zh-CN"/>
        </w:rPr>
      </w:pPr>
      <w:bookmarkStart w:id="271" w:name="_GoBack"/>
      <w:bookmarkEnd w:id="271"/>
      <w:r>
        <w:rPr>
          <w:rFonts w:hint="default" w:ascii="Times New Roman" w:hAnsi="Times New Roman" w:cs="Times New Roman"/>
          <w:color w:val="000000"/>
          <w:highlight w:val="none"/>
          <w:lang w:val="en-US" w:eastAsia="zh-CN"/>
        </w:rPr>
        <w:t>工程任务</w:t>
      </w:r>
    </w:p>
    <w:p>
      <w:pPr>
        <w:bidi w:val="0"/>
        <w:rPr>
          <w:rFonts w:hint="default" w:ascii="Times New Roman" w:hAnsi="Times New Roman" w:cs="Times New Roman"/>
          <w:color w:val="FF0000"/>
          <w:highlight w:val="none"/>
          <w:lang w:eastAsia="zh-CN"/>
        </w:rPr>
      </w:pPr>
      <w:r>
        <w:rPr>
          <w:rFonts w:hint="default" w:ascii="Times New Roman" w:hAnsi="Times New Roman" w:cs="Times New Roman"/>
          <w:color w:val="FF0000"/>
          <w:highlight w:val="none"/>
          <w:lang w:val="en-US" w:eastAsia="zh-CN"/>
        </w:rPr>
        <w:t>工程任务：</w:t>
      </w:r>
      <w:r>
        <w:rPr>
          <w:rFonts w:hint="default" w:ascii="Times New Roman" w:hAnsi="Times New Roman" w:cs="Times New Roman"/>
          <w:color w:val="FF0000"/>
          <w:highlight w:val="none"/>
        </w:rPr>
        <w:t>解决</w:t>
      </w:r>
      <w:r>
        <w:rPr>
          <w:rFonts w:hint="default" w:ascii="Times New Roman" w:hAnsi="Times New Roman" w:cs="Times New Roman"/>
          <w:color w:val="FF0000"/>
          <w:highlight w:val="none"/>
          <w:lang w:val="en-US" w:eastAsia="zh-CN"/>
        </w:rPr>
        <w:t>管阳镇区及管阳村、章边村等13个行政村，33765人的城乡供水问题，保障城乡供水安全，促进城乡统筹发展。</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取水水源及水量</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（1）管阳片区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管阳水厂以上安水库为水源，利用现状取水口，取水方式为：引水管伸入水库进水口取水，采用中途泵房加压取水，日平均取水量为3300m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kern w:val="0"/>
          <w:highlight w:val="none"/>
          <w:lang w:val="en-US" w:eastAsia="zh-CN"/>
        </w:rPr>
        <w:t>根据福建省人民政府“关于蕉城区飞鸾镇等47个建制镇生活饮用水地表水源保护区划定方案的批复”（闽政文[2007] 141号），</w:t>
      </w:r>
      <w:r>
        <w:rPr>
          <w:rFonts w:hint="default" w:ascii="Times New Roman" w:hAnsi="Times New Roman" w:cs="Times New Roman"/>
          <w:color w:val="000000"/>
          <w:highlight w:val="none"/>
          <w:lang w:val="en-US" w:eastAsia="zh-CN"/>
        </w:rPr>
        <w:t>上安水库已被划定为饮用水水源保护区，根据2019年9月29日国家城市供水水质监测网福州监测站对本项目上安水库水源的水质检测结果表明，上安水库除总磷、总氮（湖、库以N计）、粪大肠菌群略超标外，其余监测因子均能满足《地表水环境质量标准》（GB3838-2002）中Ⅱ类标准限值，超标原因主要是因为库边落叶、雨水冲刷地表土壤所致。</w:t>
      </w:r>
    </w:p>
    <w:p>
      <w:pPr>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根据《福鼎市管阳片区农村安全饮水工程管网部分（福鼎市城乡供水一体化二期）可行性研究报告》，管阳水厂日平均需取水量为3300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，年取水量120.45万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，上安水库在特枯年份（P=95%）的情况下，径流量为202.7万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 xml:space="preserve">，年平均径流量为0.064 </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/s，占现状P=95%年平均可供水量的59.4%。</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vertAlign w:val="baseline"/>
          <w:lang w:val="en-US" w:eastAsia="zh-CN"/>
        </w:rPr>
        <w:t>（2）西阳片区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西阳水厂以天竹水库和龙井溪山涧水为水源，互为备用，天竹水库取水口</w:t>
      </w:r>
      <w:r>
        <w:rPr>
          <w:rFonts w:hint="default" w:ascii="Times New Roman" w:hAnsi="Times New Roman" w:cs="Times New Roman"/>
          <w:color w:val="000000"/>
          <w:highlight w:val="none"/>
          <w:lang w:val="en-US" w:eastAsia="zh-CN"/>
        </w:rPr>
        <w:t>拟结合天竹水库除险加固，将取水管由现有涵洞伸入水库进水口</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龙井溪水源地取水口设置于现状取水坝处，</w:t>
      </w:r>
      <w:r>
        <w:rPr>
          <w:rFonts w:hint="default" w:ascii="Times New Roman" w:hAnsi="Times New Roman" w:cs="Times New Roman"/>
          <w:color w:val="000000"/>
          <w:highlight w:val="none"/>
          <w:lang w:val="en-US" w:eastAsia="zh-CN"/>
        </w:rPr>
        <w:t>利用现有拦河坝及引水管道，采用重力自流管取水。</w:t>
      </w:r>
      <w:r>
        <w:rPr>
          <w:rFonts w:hint="default" w:ascii="Times New Roman" w:hAnsi="Times New Roman" w:cs="Times New Roman"/>
          <w:color w:val="000000"/>
          <w:highlight w:val="none"/>
          <w:lang w:val="en-US" w:eastAsia="zh-CN"/>
        </w:rPr>
        <w:t>天竹水库-水厂</w:t>
      </w:r>
      <w:r>
        <w:rPr>
          <w:rFonts w:hint="default" w:ascii="Times New Roman" w:hAnsi="Times New Roman" w:cs="Times New Roman"/>
          <w:color w:val="000000"/>
          <w:highlight w:val="none"/>
        </w:rPr>
        <w:t>输水管道为1根D</w:t>
      </w:r>
      <w:r>
        <w:rPr>
          <w:rFonts w:hint="default" w:ascii="Times New Roman" w:hAnsi="Times New Roman" w:cs="Times New Roman"/>
          <w:color w:val="000000"/>
          <w:highlight w:val="none"/>
          <w:lang w:val="en-US" w:eastAsia="zh-CN"/>
        </w:rPr>
        <w:t>e</w:t>
      </w: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t>6</w:t>
      </w:r>
      <w:r>
        <w:rPr>
          <w:rFonts w:hint="default" w:ascii="Times New Roman" w:hAnsi="Times New Roman" w:cs="Times New Roman"/>
          <w:color w:val="000000"/>
          <w:highlight w:val="none"/>
        </w:rPr>
        <w:t>0PE管，PN1.0</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与龙井溪现有De160原水管合并后，新建</w:t>
      </w:r>
      <w:r>
        <w:rPr>
          <w:rFonts w:hint="default" w:ascii="Times New Roman" w:hAnsi="Times New Roman" w:cs="Times New Roman"/>
          <w:color w:val="000000"/>
          <w:highlight w:val="none"/>
        </w:rPr>
        <w:t>DN</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0的球墨铸铁管</w:t>
      </w:r>
      <w:r>
        <w:rPr>
          <w:rFonts w:hint="default" w:ascii="Times New Roman" w:hAnsi="Times New Roman" w:cs="Times New Roman"/>
          <w:color w:val="000000"/>
          <w:highlight w:val="none"/>
          <w:lang w:val="en-US" w:eastAsia="zh-CN"/>
        </w:rPr>
        <w:t>至西阳水厂。天竹水库和龙井溪未划定饮用水水源保护区，本次地表水功能区划按Ⅲ类区评价，根据2019年9月29日国家城市供水水质监测网福州监测站对本项目天竹水库和龙井溪水源的水质检测结果表明，天竹水库和龙井溪的水质均可满足《地表水环境质量标准》（GB3838-2002）中Ⅲ类标准限值。</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根据《福鼎市管阳片区农村安全饮水工程管网部分（福鼎市城乡供水一体化二期）可行性研究报告》，西阳水厂日平均需取水量为3850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，年取水量140.525万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val="en-US" w:eastAsia="zh-CN"/>
        </w:rPr>
        <w:t>，</w:t>
      </w:r>
      <w:r>
        <w:rPr>
          <w:rFonts w:hint="default" w:ascii="Times New Roman" w:hAnsi="Times New Roman" w:eastAsia="宋体" w:cs="Times New Roman"/>
          <w:color w:val="000000"/>
          <w:szCs w:val="24"/>
          <w:highlight w:val="none"/>
        </w:rPr>
        <w:t>天竹水库在特枯年份（P=95%）的情况下，径流量为110.60万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eastAsia="宋体" w:cs="Times New Roman"/>
          <w:color w:val="000000"/>
          <w:szCs w:val="24"/>
          <w:highlight w:val="none"/>
        </w:rPr>
        <w:t>，年平均径流量为0.035</w:t>
      </w:r>
      <w:r>
        <w:rPr>
          <w:rFonts w:hint="default" w:ascii="Times New Roman" w:hAnsi="Times New Roman" w:cs="Times New Roman"/>
          <w:color w:val="000000"/>
          <w:szCs w:val="24"/>
          <w:highlight w:val="none"/>
          <w:lang w:val="en-US" w:eastAsia="zh-CN"/>
        </w:rPr>
        <w:t xml:space="preserve"> </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eastAsia="宋体" w:cs="Times New Roman"/>
          <w:color w:val="000000"/>
          <w:szCs w:val="24"/>
          <w:highlight w:val="none"/>
        </w:rPr>
        <w:t>/s</w:t>
      </w:r>
      <w:r>
        <w:rPr>
          <w:rFonts w:hint="default" w:ascii="Times New Roman" w:hAnsi="Times New Roman" w:cs="Times New Roman"/>
          <w:color w:val="000000"/>
          <w:highlight w:val="none"/>
          <w:vertAlign w:val="baseline"/>
          <w:lang w:val="en-US" w:eastAsia="zh-CN"/>
        </w:rPr>
        <w:t>；</w:t>
      </w:r>
      <w:r>
        <w:rPr>
          <w:rFonts w:hint="default" w:ascii="Times New Roman" w:hAnsi="Times New Roman" w:cs="Times New Roman"/>
          <w:color w:val="000000"/>
          <w:highlight w:val="none"/>
          <w:lang w:val="en-US" w:eastAsia="zh-CN"/>
        </w:rPr>
        <w:t>龙井溪山涧水</w:t>
      </w:r>
      <w:r>
        <w:rPr>
          <w:rFonts w:hint="default" w:ascii="Times New Roman" w:hAnsi="Times New Roman" w:cs="Times New Roman"/>
          <w:color w:val="000000"/>
          <w:highlight w:val="none"/>
        </w:rPr>
        <w:t>多年平均径流量602.33万</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，多年平均流量0.191</w:t>
      </w:r>
      <w:r>
        <w:rPr>
          <w:rFonts w:hint="default" w:ascii="Times New Roman" w:hAnsi="Times New Roman" w:cs="Times New Roman"/>
          <w:color w:val="000000"/>
          <w:highlight w:val="none"/>
          <w:lang w:val="en-US" w:eastAsia="zh-CN"/>
        </w:rPr>
        <w:t xml:space="preserve">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/s</w:t>
      </w:r>
      <w:r>
        <w:rPr>
          <w:rFonts w:hint="default" w:ascii="Times New Roman" w:hAnsi="Times New Roman" w:cs="Times New Roman"/>
          <w:color w:val="000000"/>
          <w:highlight w:val="none"/>
          <w:vertAlign w:val="baseline"/>
          <w:lang w:val="en-US" w:eastAsia="zh-CN"/>
        </w:rPr>
        <w:t>。</w:t>
      </w:r>
      <w:r>
        <w:rPr>
          <w:rFonts w:hint="default" w:ascii="Times New Roman" w:hAnsi="Times New Roman" w:eastAsia="宋体" w:cs="Times New Roman"/>
          <w:color w:val="000000"/>
          <w:spacing w:val="-3"/>
          <w:sz w:val="24"/>
          <w:szCs w:val="24"/>
          <w:highlight w:val="none"/>
        </w:rPr>
        <w:t>天竹水库和龙井溪山涧取水口可供建</w:t>
      </w:r>
      <w:r>
        <w:rPr>
          <w:rFonts w:hint="default" w:ascii="Times New Roman" w:hAnsi="Times New Roman" w:cs="Times New Roman"/>
          <w:color w:val="000000"/>
          <w:spacing w:val="-3"/>
          <w:sz w:val="24"/>
          <w:szCs w:val="24"/>
          <w:highlight w:val="none"/>
          <w:lang w:val="en-US" w:eastAsia="zh-CN"/>
        </w:rPr>
        <w:t>设</w:t>
      </w:r>
      <w:r>
        <w:rPr>
          <w:rFonts w:hint="default" w:ascii="Times New Roman" w:hAnsi="Times New Roman" w:eastAsia="Times New Roman" w:cs="Times New Roman"/>
          <w:color w:val="000000"/>
          <w:spacing w:val="-3"/>
          <w:sz w:val="24"/>
          <w:szCs w:val="24"/>
          <w:highlight w:val="none"/>
        </w:rPr>
        <w:t>11363.6</w:t>
      </w:r>
      <w:r>
        <w:rPr>
          <w:rFonts w:hint="default" w:ascii="Times New Roman" w:hAnsi="Times New Roman" w:eastAsia="宋体" w:cs="Times New Roman"/>
          <w:color w:val="000000"/>
          <w:spacing w:val="-3"/>
          <w:sz w:val="24"/>
          <w:szCs w:val="24"/>
          <w:highlight w:val="none"/>
          <w:lang w:val="en-US" w:eastAsia="zh-CN"/>
        </w:rPr>
        <w:t xml:space="preserve"> </w:t>
      </w:r>
      <w:r>
        <w:rPr>
          <w:rFonts w:hint="default" w:ascii="Times New Roman" w:hAnsi="Times New Roman" w:cs="Times New Roman"/>
          <w:color w:val="000000"/>
          <w:highlight w:val="none"/>
          <w:lang w:val="en-US" w:eastAsia="zh-CN"/>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eastAsia="Times New Roman" w:cs="Times New Roman"/>
          <w:color w:val="000000"/>
          <w:spacing w:val="-3"/>
          <w:sz w:val="24"/>
          <w:szCs w:val="24"/>
          <w:highlight w:val="none"/>
        </w:rPr>
        <w:t>/d</w:t>
      </w:r>
      <w:r>
        <w:rPr>
          <w:rFonts w:hint="default" w:ascii="Times New Roman" w:hAnsi="Times New Roman" w:eastAsia="宋体" w:cs="Times New Roman"/>
          <w:color w:val="000000"/>
          <w:spacing w:val="-3"/>
          <w:sz w:val="24"/>
          <w:szCs w:val="24"/>
          <w:highlight w:val="none"/>
          <w:lang w:val="en-US" w:eastAsia="zh-CN"/>
        </w:rPr>
        <w:t>取水工程</w:t>
      </w:r>
      <w:r>
        <w:rPr>
          <w:rFonts w:hint="default" w:ascii="Times New Roman" w:hAnsi="Times New Roman" w:eastAsia="宋体" w:cs="Times New Roman"/>
          <w:color w:val="000000"/>
          <w:spacing w:val="-3"/>
          <w:sz w:val="24"/>
          <w:szCs w:val="24"/>
          <w:highlight w:val="none"/>
        </w:rPr>
        <w:t>，满足西阳水厂</w:t>
      </w:r>
      <w:r>
        <w:rPr>
          <w:rFonts w:hint="default" w:ascii="Times New Roman" w:hAnsi="Times New Roman" w:eastAsia="Times New Roman" w:cs="Times New Roman"/>
          <w:color w:val="000000"/>
          <w:spacing w:val="-3"/>
          <w:sz w:val="24"/>
          <w:szCs w:val="24"/>
          <w:highlight w:val="none"/>
        </w:rPr>
        <w:t>3</w:t>
      </w:r>
      <w:r>
        <w:rPr>
          <w:rFonts w:hint="default" w:ascii="Times New Roman" w:hAnsi="Times New Roman" w:eastAsia="宋体" w:cs="Times New Roman"/>
          <w:color w:val="000000"/>
          <w:spacing w:val="-3"/>
          <w:sz w:val="24"/>
          <w:szCs w:val="24"/>
          <w:highlight w:val="none"/>
          <w:lang w:val="en-US" w:eastAsia="zh-CN"/>
        </w:rPr>
        <w:t>85</w:t>
      </w:r>
      <w:r>
        <w:rPr>
          <w:rFonts w:hint="default" w:ascii="Times New Roman" w:hAnsi="Times New Roman" w:eastAsia="Times New Roman" w:cs="Times New Roman"/>
          <w:color w:val="000000"/>
          <w:spacing w:val="-3"/>
          <w:sz w:val="24"/>
          <w:szCs w:val="24"/>
          <w:highlight w:val="none"/>
        </w:rPr>
        <w:t>0</w:t>
      </w:r>
      <w:r>
        <w:rPr>
          <w:rFonts w:hint="default" w:ascii="Times New Roman" w:hAnsi="Times New Roman" w:eastAsia="宋体" w:cs="Times New Roman"/>
          <w:color w:val="000000"/>
          <w:spacing w:val="-3"/>
          <w:sz w:val="24"/>
          <w:szCs w:val="24"/>
          <w:highlight w:val="none"/>
          <w:lang w:val="en-US" w:eastAsia="zh-CN"/>
        </w:rPr>
        <w:t xml:space="preserve"> </w:t>
      </w:r>
      <w:r>
        <w:rPr>
          <w:rFonts w:hint="default" w:ascii="Times New Roman" w:hAnsi="Times New Roman" w:eastAsia="Times New Roman" w:cs="Times New Roman"/>
          <w:color w:val="000000"/>
          <w:spacing w:val="-3"/>
          <w:sz w:val="24"/>
          <w:szCs w:val="24"/>
          <w:highlight w:val="none"/>
        </w:rPr>
        <w:t>t/d</w:t>
      </w:r>
      <w:r>
        <w:rPr>
          <w:rFonts w:hint="default" w:ascii="Times New Roman" w:hAnsi="Times New Roman" w:eastAsia="宋体" w:cs="Times New Roman"/>
          <w:color w:val="000000"/>
          <w:spacing w:val="-3"/>
          <w:sz w:val="24"/>
          <w:szCs w:val="24"/>
          <w:highlight w:val="none"/>
        </w:rPr>
        <w:t>规模的取</w:t>
      </w:r>
      <w:r>
        <w:rPr>
          <w:rFonts w:hint="default" w:ascii="Times New Roman" w:hAnsi="Times New Roman" w:eastAsia="宋体" w:cs="Times New Roman"/>
          <w:color w:val="000000"/>
          <w:spacing w:val="-2"/>
          <w:sz w:val="24"/>
          <w:szCs w:val="24"/>
          <w:highlight w:val="none"/>
        </w:rPr>
        <w:t>水要求。</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工程供、配水范围</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供水范围覆盖管阳镇镇区及周边13个村，其中管阳水厂供水范围为：管阳镇镇区、管阳村、章边村、广化村，至2030年受益人口共计12096人；西阳水厂供水范围为：七浦村、乾头村、元潭村、溪头村、徐陈村、西阳村、天竹村、缙阳村、楮楼村、西昆村等10个村。受益人口共计21669人。</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工程规模</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根据项目区水资源状况、实际情况与远期发展状况，结合规划报告布局和建设单位要求，</w:t>
      </w:r>
      <w:r>
        <w:rPr>
          <w:rFonts w:hint="default" w:ascii="Times New Roman" w:hAnsi="Times New Roman" w:cs="Times New Roman"/>
          <w:color w:val="000000"/>
          <w:highlight w:val="none"/>
          <w:lang w:val="en-US" w:eastAsia="zh-CN"/>
        </w:rPr>
        <w:t>工程设计供水总规模为6500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/d，其中管阳水厂设计供水规模3000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/d，西阳水厂设计供水规模为3500m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/d，建设内容均包括引水工程和配水工程，项目具体信息如下：</w:t>
      </w:r>
    </w:p>
    <w:p>
      <w:pPr>
        <w:pStyle w:val="2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项目基本信息</w:t>
      </w:r>
    </w:p>
    <w:tbl>
      <w:tblPr>
        <w:tblStyle w:val="1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3793"/>
        <w:gridCol w:w="37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项目名称</w:t>
            </w:r>
          </w:p>
        </w:tc>
        <w:tc>
          <w:tcPr>
            <w:tcW w:w="4088"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福鼎市管阳片区农村安全饮水工程管网部分（福鼎市城乡供水一体化二期）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片区</w:t>
            </w:r>
          </w:p>
        </w:tc>
        <w:tc>
          <w:tcPr>
            <w:tcW w:w="2043"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val="en-US" w:eastAsia="zh-CN"/>
              </w:rPr>
              <w:t>管阳片区</w:t>
            </w:r>
          </w:p>
        </w:tc>
        <w:tc>
          <w:tcPr>
            <w:tcW w:w="204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val="en-US" w:eastAsia="zh-CN"/>
              </w:rPr>
              <w:t>西阳片区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建设地点</w:t>
            </w:r>
          </w:p>
        </w:tc>
        <w:tc>
          <w:tcPr>
            <w:tcW w:w="4088"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福鼎市管阳镇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建设单位</w:t>
            </w:r>
          </w:p>
        </w:tc>
        <w:tc>
          <w:tcPr>
            <w:tcW w:w="4088"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福建省水务发展集团福鼎水务有限公司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建设性质</w:t>
            </w:r>
          </w:p>
        </w:tc>
        <w:tc>
          <w:tcPr>
            <w:tcW w:w="2043"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新建</w:t>
            </w:r>
          </w:p>
        </w:tc>
        <w:tc>
          <w:tcPr>
            <w:tcW w:w="2044"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建设规模</w:t>
            </w:r>
          </w:p>
        </w:tc>
        <w:tc>
          <w:tcPr>
            <w:tcW w:w="2043" w:type="pct"/>
            <w:tcBorders>
              <w:tl2br w:val="nil"/>
              <w:tr2bl w:val="nil"/>
            </w:tcBorders>
            <w:noWrap w:val="0"/>
            <w:vAlign w:val="center"/>
          </w:tcPr>
          <w:p>
            <w:pPr>
              <w:pStyle w:val="19"/>
              <w:bidi w:val="0"/>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供水规模3000 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/d，新建原水输水管道0.35 km，原水提升泵房1座，配水管网9.96 km，配水加压泵房2座等</w:t>
            </w:r>
          </w:p>
        </w:tc>
        <w:tc>
          <w:tcPr>
            <w:tcW w:w="2044"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供水规模3500 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/d，新建原水输水管道7.31 km，配水管网厂27.60 km及附属设施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水源及年取水量</w:t>
            </w:r>
          </w:p>
        </w:tc>
        <w:tc>
          <w:tcPr>
            <w:tcW w:w="2043"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上安水库，取水量约为120.45万m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/a</w:t>
            </w:r>
          </w:p>
        </w:tc>
        <w:tc>
          <w:tcPr>
            <w:tcW w:w="2044"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天竹水库和龙井溪山涧水拦水坝，取水量约为140.525万m</w:t>
            </w:r>
            <w:r>
              <w:rPr>
                <w:rFonts w:hint="default" w:ascii="Times New Roman" w:hAnsi="Times New Roman" w:cs="Times New Roman"/>
                <w:color w:val="000000"/>
                <w:kern w:val="0"/>
                <w:sz w:val="21"/>
                <w:szCs w:val="21"/>
                <w:highlight w:val="none"/>
                <w:vertAlign w:val="superscript"/>
                <w:lang w:val="en-US" w:eastAsia="zh-CN"/>
              </w:rPr>
              <w:t>3</w:t>
            </w:r>
            <w:r>
              <w:rPr>
                <w:rFonts w:hint="default" w:ascii="Times New Roman" w:hAnsi="Times New Roman" w:cs="Times New Roman"/>
                <w:color w:val="000000"/>
                <w:kern w:val="0"/>
                <w:sz w:val="21"/>
                <w:szCs w:val="21"/>
                <w:highlight w:val="no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 w:type="pct"/>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投资</w:t>
            </w:r>
          </w:p>
        </w:tc>
        <w:tc>
          <w:tcPr>
            <w:tcW w:w="4088"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 w:val="21"/>
                <w:szCs w:val="21"/>
                <w:highlight w:val="none"/>
                <w:lang w:val="en-US" w:eastAsia="zh-CN"/>
              </w:rPr>
            </w:pPr>
            <w:r>
              <w:rPr>
                <w:rFonts w:hint="default" w:ascii="Times New Roman" w:hAnsi="Times New Roman" w:cs="Times New Roman"/>
                <w:color w:val="000000"/>
                <w:kern w:val="0"/>
                <w:sz w:val="21"/>
                <w:szCs w:val="21"/>
                <w:highlight w:val="none"/>
                <w:lang w:val="en-US" w:eastAsia="zh-CN"/>
              </w:rPr>
              <w:t>工程总投资4241.01万元，其中环保投资98.61万元</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工程组成</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本项目工程组成详见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_Ref8947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表2.1-2</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69" w:name="_Ref8947"/>
      <w:r>
        <w:rPr>
          <w:rFonts w:hint="default" w:ascii="Times New Roman" w:hAnsi="Times New Roman" w:cs="Times New Roman"/>
          <w:color w:val="000000"/>
          <w:highlight w:val="none"/>
          <w:lang w:val="en-US" w:eastAsia="zh-CN"/>
        </w:rPr>
        <w:t>工程建设内容一览表</w:t>
      </w:r>
      <w:bookmarkEnd w:id="69"/>
    </w:p>
    <w:tbl>
      <w:tblPr>
        <w:tblStyle w:val="1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291"/>
        <w:gridCol w:w="1406"/>
        <w:gridCol w:w="4457"/>
        <w:gridCol w:w="13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8"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项目组成</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数量</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建设内容</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管阳片区</w:t>
            </w:r>
          </w:p>
        </w:tc>
        <w:tc>
          <w:tcPr>
            <w:tcW w:w="6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取水大坝</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1座</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利用现状取水坝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取水管线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1578 m</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利用现状原水管DN250，1228 m，采用De250PE管；新建原水管DN250，350 m，采用De250PE管</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泵房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3座</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原水提升泵房1座，配水加压泵房2座</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管阳水厂</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1座</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供水规模为3000 m</w:t>
            </w:r>
            <w:r>
              <w:rPr>
                <w:rFonts w:hint="default" w:ascii="Times New Roman" w:hAnsi="Times New Roman" w:cs="Times New Roman"/>
                <w:color w:val="000000"/>
                <w:kern w:val="0"/>
                <w:szCs w:val="20"/>
                <w:highlight w:val="none"/>
                <w:vertAlign w:val="superscript"/>
                <w:lang w:val="en-US" w:eastAsia="zh-CN"/>
              </w:rPr>
              <w:t>3</w:t>
            </w:r>
            <w:r>
              <w:rPr>
                <w:rFonts w:hint="default" w:ascii="Times New Roman" w:hAnsi="Times New Roman" w:cs="Times New Roman"/>
                <w:color w:val="000000"/>
                <w:kern w:val="0"/>
                <w:szCs w:val="20"/>
                <w:highlight w:val="none"/>
                <w:lang w:val="en-US" w:eastAsia="zh-CN"/>
              </w:rPr>
              <w:t>/d</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配水管线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14.1 km</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利用现状配水管道4.14 km；新建配水管道9.96 km</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西阳片区</w:t>
            </w:r>
          </w:p>
        </w:tc>
        <w:tc>
          <w:tcPr>
            <w:tcW w:w="69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0"/>
                <w:szCs w:val="20"/>
                <w:highlight w:val="none"/>
                <w:lang w:val="en-US" w:eastAsia="zh-CN"/>
              </w:rPr>
              <w:t>取水大坝</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2座</w:t>
            </w:r>
          </w:p>
        </w:tc>
        <w:tc>
          <w:tcPr>
            <w:tcW w:w="2400" w:type="pct"/>
            <w:tcBorders>
              <w:tl2br w:val="nil"/>
              <w:tr2bl w:val="nil"/>
            </w:tcBorders>
            <w:noWrap w:val="0"/>
            <w:vAlign w:val="center"/>
          </w:tcPr>
          <w:p>
            <w:pPr>
              <w:pStyle w:val="19"/>
              <w:bidi w:val="0"/>
              <w:jc w:val="center"/>
              <w:rPr>
                <w:rFonts w:hint="default" w:ascii="Times New Roman" w:hAnsi="Times New Roman" w:eastAsia="宋体"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天竹水库（土石坝）进行除险加固，</w:t>
            </w:r>
            <w:r>
              <w:rPr>
                <w:rFonts w:hint="default" w:ascii="Times New Roman" w:hAnsi="Times New Roman" w:cs="Times New Roman"/>
                <w:color w:val="000000"/>
                <w:kern w:val="0"/>
                <w:szCs w:val="20"/>
                <w:highlight w:val="none"/>
              </w:rPr>
              <w:t>龙井溪拦河坝</w:t>
            </w:r>
            <w:r>
              <w:rPr>
                <w:rFonts w:hint="default" w:ascii="Times New Roman" w:hAnsi="Times New Roman" w:cs="Times New Roman"/>
                <w:color w:val="000000"/>
                <w:kern w:val="0"/>
                <w:szCs w:val="20"/>
                <w:highlight w:val="none"/>
                <w:lang w:eastAsia="zh-CN"/>
              </w:rPr>
              <w:t>（</w:t>
            </w:r>
            <w:r>
              <w:rPr>
                <w:rFonts w:hint="default" w:ascii="Times New Roman" w:hAnsi="Times New Roman" w:cs="Times New Roman"/>
                <w:color w:val="000000"/>
                <w:kern w:val="0"/>
                <w:szCs w:val="20"/>
                <w:highlight w:val="none"/>
                <w:lang w:val="en-US" w:eastAsia="zh-CN"/>
              </w:rPr>
              <w:t>重力坝</w:t>
            </w:r>
            <w:r>
              <w:rPr>
                <w:rFonts w:hint="default" w:ascii="Times New Roman" w:hAnsi="Times New Roman" w:cs="Times New Roman"/>
                <w:color w:val="000000"/>
                <w:kern w:val="0"/>
                <w:szCs w:val="20"/>
                <w:highlight w:val="none"/>
                <w:lang w:eastAsia="zh-CN"/>
              </w:rPr>
              <w:t>）</w:t>
            </w:r>
            <w:r>
              <w:rPr>
                <w:rFonts w:hint="default" w:ascii="Times New Roman" w:hAnsi="Times New Roman" w:cs="Times New Roman"/>
                <w:color w:val="000000"/>
                <w:kern w:val="0"/>
                <w:szCs w:val="20"/>
                <w:highlight w:val="none"/>
                <w:lang w:val="en-US" w:eastAsia="zh-CN"/>
              </w:rPr>
              <w:t>利用现状</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利用现状取水坝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0"/>
                <w:szCs w:val="20"/>
                <w:highlight w:val="none"/>
                <w:lang w:val="en-US" w:eastAsia="zh-CN"/>
              </w:rPr>
              <w:t>取水管线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7310 m</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新建天竹水库——交叉口段原水管3.0 km，采用De200PE100管；新建龙井溪拦水坝——交叉口段原水管3.57 km，采用De200PE管；新建交叉口——西阳水厂原水管740 m，采用DN300球墨铸铁管</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0"/>
                <w:szCs w:val="20"/>
                <w:highlight w:val="none"/>
                <w:lang w:val="en-US" w:eastAsia="zh-CN"/>
              </w:rPr>
              <w:t>泵房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采用重力流，无设置泵房</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0"/>
                <w:szCs w:val="20"/>
                <w:highlight w:val="none"/>
                <w:lang w:val="en-US" w:eastAsia="zh-CN"/>
              </w:rPr>
              <w:t>西阳水厂</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1座</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供水规模为3500 m</w:t>
            </w:r>
            <w:r>
              <w:rPr>
                <w:rFonts w:hint="default" w:ascii="Times New Roman" w:hAnsi="Times New Roman" w:cs="Times New Roman"/>
                <w:color w:val="000000"/>
                <w:kern w:val="0"/>
                <w:szCs w:val="20"/>
                <w:highlight w:val="none"/>
                <w:vertAlign w:val="superscript"/>
                <w:lang w:val="en-US" w:eastAsia="zh-CN"/>
              </w:rPr>
              <w:t>3</w:t>
            </w:r>
            <w:r>
              <w:rPr>
                <w:rFonts w:hint="default" w:ascii="Times New Roman" w:hAnsi="Times New Roman" w:cs="Times New Roman"/>
                <w:color w:val="000000"/>
                <w:kern w:val="0"/>
                <w:szCs w:val="20"/>
                <w:highlight w:val="none"/>
                <w:lang w:val="en-US" w:eastAsia="zh-CN"/>
              </w:rPr>
              <w:t>/d</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94"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kern w:val="0"/>
                <w:szCs w:val="20"/>
                <w:highlight w:val="none"/>
                <w:lang w:val="en-US" w:eastAsia="zh-CN"/>
              </w:rPr>
              <w:t>配水管线</w:t>
            </w:r>
          </w:p>
        </w:tc>
        <w:tc>
          <w:tcPr>
            <w:tcW w:w="7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27.60 km</w:t>
            </w:r>
          </w:p>
        </w:tc>
        <w:tc>
          <w:tcPr>
            <w:tcW w:w="240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新建配水管道27.60 km</w:t>
            </w:r>
          </w:p>
        </w:tc>
        <w:tc>
          <w:tcPr>
            <w:tcW w:w="74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新建</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主要工程量及经济技术指标</w:t>
      </w:r>
    </w:p>
    <w:p>
      <w:pPr>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本项目建设内容包括取水管线、泵房以及配水管线，不含村内管网及入户管道，其中褚楼村、西昆村仅设配水管预留口，入村管道不在本次评价范围。</w:t>
      </w:r>
    </w:p>
    <w:p>
      <w:pP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（1）管阳片区</w:t>
      </w:r>
    </w:p>
    <w:p>
      <w:pP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highlight w:val="none"/>
          <w:lang w:val="en-US" w:eastAsia="zh-CN"/>
        </w:rPr>
        <w:t>管阳片区主要工程量详见</w:t>
      </w: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REF _Ref9159 \n \h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表2.1-3</w:t>
      </w:r>
      <w:r>
        <w:rPr>
          <w:rFonts w:hint="default" w:ascii="Times New Roman" w:hAnsi="Times New Roman" w:cs="Times New Roman"/>
          <w:color w:val="000000"/>
          <w:sz w:val="21"/>
          <w:szCs w:val="21"/>
          <w:highlight w:val="none"/>
          <w:lang w:val="en-US" w:eastAsia="zh-CN"/>
        </w:rPr>
        <w:fldChar w:fldCharType="end"/>
      </w:r>
      <w:r>
        <w:rPr>
          <w:rFonts w:hint="default" w:ascii="Times New Roman" w:hAnsi="Times New Roman" w:cs="Times New Roman"/>
          <w:color w:val="000000"/>
          <w:sz w:val="21"/>
          <w:szCs w:val="21"/>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70" w:name="_Ref9159"/>
      <w:r>
        <w:rPr>
          <w:rFonts w:hint="default" w:ascii="Times New Roman" w:hAnsi="Times New Roman" w:cs="Times New Roman"/>
          <w:color w:val="000000"/>
          <w:highlight w:val="none"/>
          <w:lang w:val="en-US" w:eastAsia="zh-CN"/>
        </w:rPr>
        <w:t>主要工程量一览表（管阳片区）</w:t>
      </w:r>
      <w:bookmarkEnd w:id="70"/>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103"/>
        <w:gridCol w:w="1404"/>
        <w:gridCol w:w="2327"/>
        <w:gridCol w:w="1035"/>
        <w:gridCol w:w="778"/>
        <w:gridCol w:w="858"/>
        <w:gridCol w:w="10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7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序号</w:t>
            </w:r>
          </w:p>
        </w:tc>
        <w:tc>
          <w:tcPr>
            <w:tcW w:w="1350"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名称</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规格与参数</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材质/结构形式</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单位</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数量</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w:t>
            </w:r>
          </w:p>
        </w:tc>
        <w:tc>
          <w:tcPr>
            <w:tcW w:w="5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原水管</w:t>
            </w: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De250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325</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w:t>
            </w:r>
          </w:p>
        </w:tc>
        <w:tc>
          <w:tcPr>
            <w:tcW w:w="594"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配水管</w:t>
            </w: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K9球墨铸铁管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DN300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铸铁</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347</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De200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448</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De160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4993</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De110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3333</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De90</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576</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De63</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264</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w:t>
            </w:r>
          </w:p>
        </w:tc>
        <w:tc>
          <w:tcPr>
            <w:tcW w:w="594"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管道附属设施</w:t>
            </w: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闸阀</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个</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14</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排气阀</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5</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排泥阀</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6</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消火栓</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12</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w:t>
            </w:r>
          </w:p>
        </w:tc>
        <w:tc>
          <w:tcPr>
            <w:tcW w:w="59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破路复修</w:t>
            </w: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路面破除和恢复</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混凝土</w:t>
            </w: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vertAlign w:val="baseline"/>
                <w:lang w:val="en-US" w:eastAsia="zh-CN"/>
              </w:rPr>
              <w:t>m</w:t>
            </w:r>
            <w:r>
              <w:rPr>
                <w:rFonts w:hint="default" w:ascii="Times New Roman" w:hAnsi="Times New Roman" w:cs="Times New Roman"/>
                <w:color w:val="000000"/>
                <w:kern w:val="0"/>
                <w:szCs w:val="20"/>
                <w:highlight w:val="none"/>
                <w:vertAlign w:val="superscript"/>
                <w:lang w:val="en-US" w:eastAsia="zh-CN"/>
              </w:rPr>
              <w:t>2</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4641</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5</w:t>
            </w:r>
          </w:p>
        </w:tc>
        <w:tc>
          <w:tcPr>
            <w:tcW w:w="1350"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原水提升泵房</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单泵流量Q=70 m</w:t>
            </w:r>
            <w:r>
              <w:rPr>
                <w:rFonts w:hint="default" w:ascii="Times New Roman" w:hAnsi="Times New Roman" w:cs="Times New Roman"/>
                <w:color w:val="000000"/>
                <w:kern w:val="0"/>
                <w:szCs w:val="20"/>
                <w:highlight w:val="none"/>
                <w:vertAlign w:val="superscript"/>
                <w:lang w:val="en-US" w:eastAsia="zh-CN"/>
              </w:rPr>
              <w:t>3</w:t>
            </w:r>
            <w:r>
              <w:rPr>
                <w:rFonts w:hint="default" w:ascii="Times New Roman" w:hAnsi="Times New Roman" w:cs="Times New Roman"/>
                <w:color w:val="000000"/>
                <w:kern w:val="0"/>
                <w:szCs w:val="20"/>
                <w:highlight w:val="none"/>
                <w:lang w:val="en-US" w:eastAsia="zh-CN"/>
              </w:rPr>
              <w:t>/h，H=20 m，P=6.5 kw</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座</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提升泵2用1备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6</w:t>
            </w:r>
          </w:p>
        </w:tc>
        <w:tc>
          <w:tcPr>
            <w:tcW w:w="594"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配水泵房</w:t>
            </w: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鱼池泵站</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单泵流量Q=50 m</w:t>
            </w:r>
            <w:r>
              <w:rPr>
                <w:rFonts w:hint="default" w:ascii="Times New Roman" w:hAnsi="Times New Roman" w:cs="Times New Roman"/>
                <w:color w:val="000000"/>
                <w:kern w:val="0"/>
                <w:szCs w:val="20"/>
                <w:highlight w:val="none"/>
                <w:vertAlign w:val="superscript"/>
                <w:lang w:val="en-US" w:eastAsia="zh-CN"/>
              </w:rPr>
              <w:t>3</w:t>
            </w:r>
            <w:r>
              <w:rPr>
                <w:rFonts w:hint="default" w:ascii="Times New Roman" w:hAnsi="Times New Roman" w:cs="Times New Roman"/>
                <w:color w:val="000000"/>
                <w:kern w:val="0"/>
                <w:szCs w:val="20"/>
                <w:highlight w:val="none"/>
                <w:lang w:val="en-US" w:eastAsia="zh-CN"/>
              </w:rPr>
              <w:t>/h，H=26 m，P=5 kw</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座</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增压泵1用1备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59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756"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广化泵站</w:t>
            </w:r>
          </w:p>
        </w:tc>
        <w:tc>
          <w:tcPr>
            <w:tcW w:w="125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单泵流量Q=32 m</w:t>
            </w:r>
            <w:r>
              <w:rPr>
                <w:rFonts w:hint="default" w:ascii="Times New Roman" w:hAnsi="Times New Roman" w:cs="Times New Roman"/>
                <w:color w:val="000000"/>
                <w:kern w:val="0"/>
                <w:szCs w:val="20"/>
                <w:highlight w:val="none"/>
                <w:vertAlign w:val="superscript"/>
                <w:lang w:val="en-US" w:eastAsia="zh-CN"/>
              </w:rPr>
              <w:t>3</w:t>
            </w:r>
            <w:r>
              <w:rPr>
                <w:rFonts w:hint="default" w:ascii="Times New Roman" w:hAnsi="Times New Roman" w:cs="Times New Roman"/>
                <w:color w:val="000000"/>
                <w:kern w:val="0"/>
                <w:szCs w:val="20"/>
                <w:highlight w:val="none"/>
                <w:lang w:val="en-US" w:eastAsia="zh-CN"/>
              </w:rPr>
              <w:t>/h，H=20 m，P=4 kw</w:t>
            </w:r>
          </w:p>
        </w:tc>
        <w:tc>
          <w:tcPr>
            <w:tcW w:w="55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41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座</w:t>
            </w:r>
          </w:p>
        </w:tc>
        <w:tc>
          <w:tcPr>
            <w:tcW w:w="46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w:t>
            </w:r>
          </w:p>
        </w:tc>
        <w:tc>
          <w:tcPr>
            <w:tcW w:w="579"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增压泵1用1备</w:t>
            </w:r>
          </w:p>
        </w:tc>
      </w:tr>
    </w:tbl>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（2）西阳片区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西阳片区主要工程量详见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_Ref9228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表2.1-4</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71" w:name="_Ref9228"/>
      <w:r>
        <w:rPr>
          <w:rFonts w:hint="default" w:ascii="Times New Roman" w:hAnsi="Times New Roman" w:cs="Times New Roman"/>
          <w:color w:val="000000"/>
          <w:highlight w:val="none"/>
          <w:lang w:val="en-US" w:eastAsia="zh-CN"/>
        </w:rPr>
        <w:t>主要工程量一览表（西阳片区）</w:t>
      </w:r>
      <w:bookmarkEnd w:id="71"/>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120"/>
        <w:gridCol w:w="1783"/>
        <w:gridCol w:w="1543"/>
        <w:gridCol w:w="1649"/>
        <w:gridCol w:w="1021"/>
        <w:gridCol w:w="1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序号</w:t>
            </w:r>
          </w:p>
        </w:tc>
        <w:tc>
          <w:tcPr>
            <w:tcW w:w="1563" w:type="pct"/>
            <w:gridSpan w:val="2"/>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名称</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规格与参数</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材料/结构形式</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单位</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w:t>
            </w:r>
          </w:p>
        </w:tc>
        <w:tc>
          <w:tcPr>
            <w:tcW w:w="603"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原水管</w:t>
            </w: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DN300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740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De160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6569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w:t>
            </w:r>
          </w:p>
        </w:tc>
        <w:tc>
          <w:tcPr>
            <w:tcW w:w="603"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配水管</w:t>
            </w: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球墨铸铁管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DN300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铸铁</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1568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De250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1634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De200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De160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De110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5932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De90</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2819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PE100管</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De63</w:t>
            </w: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PE</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m</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1887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w:t>
            </w:r>
          </w:p>
        </w:tc>
        <w:tc>
          <w:tcPr>
            <w:tcW w:w="603"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管道附属设施</w:t>
            </w:r>
          </w:p>
        </w:tc>
        <w:tc>
          <w:tcPr>
            <w:tcW w:w="96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减压阀</w:t>
            </w:r>
          </w:p>
        </w:tc>
        <w:tc>
          <w:tcPr>
            <w:tcW w:w="831"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55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个</w:t>
            </w:r>
          </w:p>
        </w:tc>
        <w:tc>
          <w:tcPr>
            <w:tcW w:w="774"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闸阀</w:t>
            </w:r>
          </w:p>
        </w:tc>
        <w:tc>
          <w:tcPr>
            <w:tcW w:w="831"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55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个</w:t>
            </w:r>
          </w:p>
        </w:tc>
        <w:tc>
          <w:tcPr>
            <w:tcW w:w="774"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排气阀</w:t>
            </w:r>
          </w:p>
        </w:tc>
        <w:tc>
          <w:tcPr>
            <w:tcW w:w="831"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55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774"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排泥阀</w:t>
            </w:r>
          </w:p>
        </w:tc>
        <w:tc>
          <w:tcPr>
            <w:tcW w:w="831"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55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774"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603"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96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消火栓</w:t>
            </w:r>
          </w:p>
        </w:tc>
        <w:tc>
          <w:tcPr>
            <w:tcW w:w="831"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p>
        </w:tc>
        <w:tc>
          <w:tcPr>
            <w:tcW w:w="550"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套</w:t>
            </w:r>
          </w:p>
        </w:tc>
        <w:tc>
          <w:tcPr>
            <w:tcW w:w="774" w:type="pct"/>
            <w:tcBorders>
              <w:tl2br w:val="nil"/>
              <w:tr2bl w:val="nil"/>
            </w:tcBorders>
            <w:noWrap w:val="0"/>
            <w:vAlign w:val="center"/>
          </w:tcPr>
          <w:p>
            <w:pPr>
              <w:pStyle w:val="19"/>
              <w:bidi w:val="0"/>
              <w:ind w:firstLine="0" w:firstLineChars="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w:t>
            </w:r>
          </w:p>
        </w:tc>
        <w:tc>
          <w:tcPr>
            <w:tcW w:w="603"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破路复修</w:t>
            </w:r>
          </w:p>
        </w:tc>
        <w:tc>
          <w:tcPr>
            <w:tcW w:w="96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路面破除和恢复</w:t>
            </w:r>
          </w:p>
        </w:tc>
        <w:tc>
          <w:tcPr>
            <w:tcW w:w="831"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888"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混凝土</w:t>
            </w:r>
          </w:p>
        </w:tc>
        <w:tc>
          <w:tcPr>
            <w:tcW w:w="550"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vertAlign w:val="baseline"/>
                <w:lang w:val="en-US" w:eastAsia="zh-CN"/>
              </w:rPr>
              <w:t>m</w:t>
            </w:r>
            <w:r>
              <w:rPr>
                <w:rFonts w:hint="default" w:ascii="Times New Roman" w:hAnsi="Times New Roman" w:cs="Times New Roman"/>
                <w:color w:val="000000"/>
                <w:kern w:val="0"/>
                <w:szCs w:val="20"/>
                <w:highlight w:val="none"/>
                <w:vertAlign w:val="superscript"/>
                <w:lang w:val="en-US" w:eastAsia="zh-CN"/>
              </w:rPr>
              <w:t>2</w:t>
            </w:r>
          </w:p>
        </w:tc>
        <w:tc>
          <w:tcPr>
            <w:tcW w:w="77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15110</w:t>
            </w:r>
          </w:p>
        </w:tc>
      </w:tr>
    </w:tbl>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工程总布置及主要构筑物</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工程等级及标准</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 xml:space="preserve">本次工程建设是为了满足福鼎市管阳镇镇区及周边13个行政村的生活、生产的用水需求。设计水厂工程规模分别为管阳水厂3000 </w:t>
      </w:r>
      <w:r>
        <w:rPr>
          <w:rFonts w:hint="default" w:ascii="Times New Roman" w:hAnsi="Times New Roman" w:cs="Times New Roman"/>
          <w:color w:val="000000"/>
          <w:sz w:val="24"/>
          <w:szCs w:val="24"/>
          <w:highlight w:val="none"/>
          <w:lang w:val="en-US" w:eastAsia="zh-CN"/>
        </w:rPr>
        <w:t>m</w:t>
      </w:r>
      <w:r>
        <w:rPr>
          <w:rFonts w:hint="default" w:ascii="Times New Roman" w:hAnsi="Times New Roman" w:cs="Times New Roman"/>
          <w:color w:val="000000"/>
          <w:sz w:val="24"/>
          <w:szCs w:val="24"/>
          <w:highlight w:val="none"/>
          <w:vertAlign w:val="superscript"/>
          <w:lang w:val="en-US" w:eastAsia="zh-CN"/>
        </w:rPr>
        <w:t>3</w:t>
      </w:r>
      <w:r>
        <w:rPr>
          <w:rFonts w:hint="default" w:ascii="Times New Roman" w:hAnsi="Times New Roman" w:cs="Times New Roman"/>
          <w:color w:val="000000"/>
          <w:sz w:val="24"/>
          <w:szCs w:val="24"/>
          <w:highlight w:val="none"/>
          <w:lang w:val="en-US" w:eastAsia="zh-CN"/>
        </w:rPr>
        <w:t>/d</w:t>
      </w:r>
      <w:r>
        <w:rPr>
          <w:rFonts w:hint="default" w:ascii="Times New Roman" w:hAnsi="Times New Roman" w:cs="Times New Roman"/>
          <w:color w:val="000000"/>
          <w:highlight w:val="none"/>
          <w:lang w:val="en-US" w:eastAsia="zh-CN"/>
        </w:rPr>
        <w:t xml:space="preserve">和西阳水厂3500 </w:t>
      </w:r>
      <w:r>
        <w:rPr>
          <w:rFonts w:hint="default" w:ascii="Times New Roman" w:hAnsi="Times New Roman" w:cs="Times New Roman"/>
          <w:color w:val="000000"/>
          <w:sz w:val="24"/>
          <w:szCs w:val="24"/>
          <w:highlight w:val="none"/>
          <w:lang w:val="en-US" w:eastAsia="zh-CN"/>
        </w:rPr>
        <w:t>m</w:t>
      </w:r>
      <w:r>
        <w:rPr>
          <w:rFonts w:hint="default" w:ascii="Times New Roman" w:hAnsi="Times New Roman" w:cs="Times New Roman"/>
          <w:color w:val="000000"/>
          <w:sz w:val="24"/>
          <w:szCs w:val="24"/>
          <w:highlight w:val="none"/>
          <w:vertAlign w:val="superscript"/>
          <w:lang w:val="en-US" w:eastAsia="zh-CN"/>
        </w:rPr>
        <w:t>3</w:t>
      </w:r>
      <w:r>
        <w:rPr>
          <w:rFonts w:hint="default" w:ascii="Times New Roman" w:hAnsi="Times New Roman" w:cs="Times New Roman"/>
          <w:color w:val="000000"/>
          <w:sz w:val="24"/>
          <w:szCs w:val="24"/>
          <w:highlight w:val="none"/>
          <w:lang w:val="en-US" w:eastAsia="zh-CN"/>
        </w:rPr>
        <w:t>/d</w:t>
      </w:r>
      <w:r>
        <w:rPr>
          <w:rFonts w:hint="default" w:ascii="Times New Roman" w:hAnsi="Times New Roman" w:cs="Times New Roman"/>
          <w:color w:val="000000"/>
          <w:highlight w:val="none"/>
          <w:lang w:val="en-US" w:eastAsia="zh-CN"/>
        </w:rPr>
        <w:t>。根据水利行业标准《水利水电工程等级划分及洪水标准》（水利部SL252-2017），本项目为Ⅳ型工程。</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设计标准：供水普及率达98%，供水保证率为95%。</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净水厂出水水质应达到《生活饮用水卫生标准》(GB5749-2006)的要求，所有指标须全部合格。</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根据《中国地震动参数区划图》（GB18306-2015）和福建省地震局、福建省住房和城乡建设厅《关于贯彻执行&lt;中国地震动参数区划图&gt;（GB18306-2015）的通知》（闽震[2016]20 号）：工程区场地类型属中硬场地，地震动峰值加速度为0.05 g，地震基本烈度为Ⅵ度，地震动反应谱特征周期为0.40 s。根据《水工建筑物抗震设计规范》（GB51247-2018），本工程不进行抗震计算。</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工程总体布置</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根据《福鼎市管阳片区农村安全饮水工程管网部分（福鼎市城乡供水一体化二期）可行性研究报告》，</w:t>
      </w:r>
      <w:r>
        <w:rPr>
          <w:rFonts w:hint="default" w:ascii="Times New Roman" w:hAnsi="Times New Roman" w:cs="Times New Roman"/>
          <w:color w:val="000000"/>
          <w:highlight w:val="none"/>
        </w:rPr>
        <w:t>主要建设内容为管阳水厂及西阳水厂的配套</w:t>
      </w:r>
      <w:r>
        <w:rPr>
          <w:rFonts w:hint="default" w:ascii="Times New Roman" w:hAnsi="Times New Roman" w:cs="Times New Roman"/>
          <w:color w:val="000000"/>
          <w:highlight w:val="none"/>
          <w:lang w:val="en-US" w:eastAsia="zh-CN"/>
        </w:rPr>
        <w:t>输配水</w:t>
      </w:r>
      <w:r>
        <w:rPr>
          <w:rFonts w:hint="default" w:ascii="Times New Roman" w:hAnsi="Times New Roman" w:cs="Times New Roman"/>
          <w:color w:val="000000"/>
          <w:highlight w:val="none"/>
        </w:rPr>
        <w:t>管道</w:t>
      </w:r>
      <w:r>
        <w:rPr>
          <w:rFonts w:hint="default" w:ascii="Times New Roman" w:hAnsi="Times New Roman" w:cs="Times New Roman"/>
          <w:color w:val="000000"/>
          <w:highlight w:val="none"/>
          <w:lang w:val="en-US" w:eastAsia="zh-CN"/>
        </w:rPr>
        <w:t>及加压泵房</w:t>
      </w:r>
      <w:r>
        <w:rPr>
          <w:rFonts w:hint="default" w:ascii="Times New Roman" w:hAnsi="Times New Roman" w:cs="Times New Roman"/>
          <w:color w:val="000000"/>
          <w:highlight w:val="none"/>
        </w:rPr>
        <w:t>建设。</w:t>
      </w:r>
      <w:r>
        <w:rPr>
          <w:rFonts w:hint="default" w:ascii="Times New Roman" w:hAnsi="Times New Roman" w:cs="Times New Roman"/>
          <w:color w:val="000000"/>
          <w:highlight w:val="none"/>
          <w:lang w:val="en-US" w:eastAsia="zh-CN"/>
        </w:rPr>
        <w:t>管阳片区新建管阳水厂</w:t>
      </w:r>
      <w:r>
        <w:rPr>
          <w:rFonts w:hint="default" w:ascii="Times New Roman" w:hAnsi="Times New Roman" w:cs="Times New Roman"/>
          <w:color w:val="000000"/>
          <w:highlight w:val="none"/>
        </w:rPr>
        <w:t>原水输水管</w:t>
      </w:r>
      <w:r>
        <w:rPr>
          <w:rFonts w:hint="default" w:ascii="Times New Roman" w:hAnsi="Times New Roman" w:cs="Times New Roman"/>
          <w:color w:val="000000"/>
          <w:highlight w:val="none"/>
          <w:lang w:val="en-US" w:eastAsia="zh-CN"/>
        </w:rPr>
        <w:t>道</w:t>
      </w:r>
      <w:r>
        <w:rPr>
          <w:rFonts w:hint="default" w:ascii="Times New Roman" w:hAnsi="Times New Roman" w:cs="Times New Roman"/>
          <w:color w:val="000000"/>
          <w:highlight w:val="none"/>
        </w:rPr>
        <w:t>0.</w:t>
      </w:r>
      <w:r>
        <w:rPr>
          <w:rFonts w:hint="default" w:ascii="Times New Roman" w:hAnsi="Times New Roman" w:cs="Times New Roman"/>
          <w:color w:val="000000"/>
          <w:highlight w:val="none"/>
          <w:lang w:val="en-US" w:eastAsia="zh-CN"/>
        </w:rPr>
        <w:t xml:space="preserve">35 </w:t>
      </w:r>
      <w:r>
        <w:rPr>
          <w:rFonts w:hint="default" w:ascii="Times New Roman" w:hAnsi="Times New Roman" w:cs="Times New Roman"/>
          <w:color w:val="000000"/>
          <w:highlight w:val="none"/>
        </w:rPr>
        <w:t>km</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原水加压泵房1座、</w:t>
      </w:r>
      <w:r>
        <w:rPr>
          <w:rFonts w:hint="default" w:ascii="Times New Roman" w:hAnsi="Times New Roman" w:cs="Times New Roman"/>
          <w:color w:val="000000"/>
          <w:highlight w:val="none"/>
        </w:rPr>
        <w:t>配水管</w:t>
      </w:r>
      <w:r>
        <w:rPr>
          <w:rFonts w:hint="default" w:ascii="Times New Roman" w:hAnsi="Times New Roman" w:cs="Times New Roman"/>
          <w:color w:val="000000"/>
          <w:highlight w:val="none"/>
          <w:lang w:val="en-US" w:eastAsia="zh-CN"/>
        </w:rPr>
        <w:t xml:space="preserve">网长9.96 </w:t>
      </w:r>
      <w:r>
        <w:rPr>
          <w:rFonts w:hint="default" w:ascii="Times New Roman" w:hAnsi="Times New Roman" w:cs="Times New Roman"/>
          <w:color w:val="000000"/>
          <w:highlight w:val="none"/>
        </w:rPr>
        <w:t>km</w:t>
      </w:r>
      <w:r>
        <w:rPr>
          <w:rFonts w:hint="default" w:ascii="Times New Roman" w:hAnsi="Times New Roman" w:cs="Times New Roman"/>
          <w:color w:val="000000"/>
          <w:highlight w:val="none"/>
          <w:lang w:val="en-US" w:eastAsia="zh-CN"/>
        </w:rPr>
        <w:t>及附属设施</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配水加压泵房2座等</w:t>
      </w:r>
      <w:r>
        <w:rPr>
          <w:rFonts w:hint="default" w:ascii="Times New Roman" w:hAnsi="Times New Roman" w:cs="Times New Roman"/>
          <w:color w:val="000000"/>
          <w:highlight w:val="none"/>
        </w:rPr>
        <w:t>；西阳</w:t>
      </w:r>
      <w:r>
        <w:rPr>
          <w:rFonts w:hint="default" w:ascii="Times New Roman" w:hAnsi="Times New Roman" w:cs="Times New Roman"/>
          <w:color w:val="000000"/>
          <w:highlight w:val="none"/>
          <w:lang w:val="en-US" w:eastAsia="zh-CN"/>
        </w:rPr>
        <w:t>片区新建西阳水厂配套</w:t>
      </w:r>
      <w:r>
        <w:rPr>
          <w:rFonts w:hint="default" w:ascii="Times New Roman" w:hAnsi="Times New Roman" w:cs="Times New Roman"/>
          <w:color w:val="000000"/>
          <w:highlight w:val="none"/>
        </w:rPr>
        <w:t>原水管</w:t>
      </w:r>
      <w:r>
        <w:rPr>
          <w:rFonts w:hint="default" w:ascii="Times New Roman" w:hAnsi="Times New Roman" w:cs="Times New Roman"/>
          <w:color w:val="000000"/>
          <w:highlight w:val="none"/>
          <w:lang w:val="en-US" w:eastAsia="zh-CN"/>
        </w:rPr>
        <w:t xml:space="preserve">道长7.31 </w:t>
      </w:r>
      <w:r>
        <w:rPr>
          <w:rFonts w:hint="default" w:ascii="Times New Roman" w:hAnsi="Times New Roman" w:cs="Times New Roman"/>
          <w:color w:val="000000"/>
          <w:highlight w:val="none"/>
        </w:rPr>
        <w:t>km，配水管</w:t>
      </w:r>
      <w:r>
        <w:rPr>
          <w:rFonts w:hint="default" w:ascii="Times New Roman" w:hAnsi="Times New Roman" w:cs="Times New Roman"/>
          <w:color w:val="000000"/>
          <w:highlight w:val="none"/>
          <w:lang w:val="en-US" w:eastAsia="zh-CN"/>
        </w:rPr>
        <w:t xml:space="preserve">网27.60 </w:t>
      </w:r>
      <w:r>
        <w:rPr>
          <w:rFonts w:hint="default" w:ascii="Times New Roman" w:hAnsi="Times New Roman" w:cs="Times New Roman"/>
          <w:color w:val="000000"/>
          <w:highlight w:val="none"/>
        </w:rPr>
        <w:t>km</w:t>
      </w:r>
      <w:r>
        <w:rPr>
          <w:rFonts w:hint="default" w:ascii="Times New Roman" w:hAnsi="Times New Roman" w:cs="Times New Roman"/>
          <w:color w:val="000000"/>
          <w:highlight w:val="none"/>
          <w:lang w:val="en-US" w:eastAsia="zh-CN"/>
        </w:rPr>
        <w:t>及附属设施</w:t>
      </w:r>
      <w:r>
        <w:rPr>
          <w:rFonts w:hint="default" w:ascii="Times New Roman" w:hAnsi="Times New Roman" w:cs="Times New Roman"/>
          <w:color w:val="000000"/>
          <w:highlight w:val="none"/>
        </w:rPr>
        <w:t>。</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主要建筑物</w:t>
      </w:r>
    </w:p>
    <w:p>
      <w:pPr>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val="en-US" w:eastAsia="zh-CN"/>
        </w:rPr>
        <w:t>（1）取水工程</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①</w:t>
      </w:r>
      <w:r>
        <w:rPr>
          <w:rFonts w:hint="default" w:ascii="Times New Roman" w:hAnsi="Times New Roman" w:cs="Times New Roman"/>
          <w:color w:val="000000"/>
          <w:highlight w:val="none"/>
        </w:rPr>
        <w:t>取水</w:t>
      </w:r>
      <w:r>
        <w:rPr>
          <w:rFonts w:hint="default" w:ascii="Times New Roman" w:hAnsi="Times New Roman" w:cs="Times New Roman"/>
          <w:color w:val="000000"/>
          <w:highlight w:val="none"/>
          <w:lang w:val="en-US" w:eastAsia="zh-CN"/>
        </w:rPr>
        <w:t>方式</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水源为水库型水源和和河流型水源，西阳水厂水源天竹水库取水方式为坝体埋管的方式由水库底部取水，拟结合天竹水库除险加固，将取水管由现有涵洞伸入水库进水口；龙井溪水源地取水口设置于现状取水坝处，利用现有拦河坝，改造输水管道；管阳水厂水源地为上安水库，利用现状取水口，现状取水方式为引水管伸入水库进水口取水，目前运行正常。</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根据工程实际情况，本工程天竹水库、龙井溪拦河坝采用重力自流管取水，上安水库采用中途泵房加压取水</w:t>
      </w:r>
      <w:r>
        <w:rPr>
          <w:rFonts w:hint="default" w:ascii="Times New Roman" w:hAnsi="Times New Roman" w:cs="Times New Roman"/>
          <w:color w:val="000000"/>
          <w:highlight w:val="none"/>
        </w:rPr>
        <w:t>。</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②取水</w:t>
      </w:r>
      <w:r>
        <w:rPr>
          <w:rFonts w:hint="default" w:ascii="Times New Roman" w:hAnsi="Times New Roman" w:cs="Times New Roman"/>
          <w:color w:val="000000"/>
          <w:highlight w:val="none"/>
        </w:rPr>
        <w:t>构筑物</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本工程取水构筑物包括</w:t>
      </w:r>
      <w:r>
        <w:rPr>
          <w:rFonts w:hint="default" w:ascii="Times New Roman" w:hAnsi="Times New Roman" w:cs="Times New Roman"/>
          <w:color w:val="000000"/>
          <w:highlight w:val="none"/>
          <w:lang w:eastAsia="zh-CN"/>
        </w:rPr>
        <w:t>上安水库</w:t>
      </w:r>
      <w:r>
        <w:rPr>
          <w:rFonts w:hint="default" w:ascii="Times New Roman" w:hAnsi="Times New Roman" w:cs="Times New Roman"/>
          <w:color w:val="000000"/>
          <w:highlight w:val="none"/>
        </w:rPr>
        <w:t>取水构筑物、天竹水库取水头部、西阳村龙井溪拦河坝取水头部。</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A </w:t>
      </w:r>
      <w:r>
        <w:rPr>
          <w:rFonts w:hint="default" w:ascii="Times New Roman" w:hAnsi="Times New Roman" w:cs="Times New Roman"/>
          <w:color w:val="000000"/>
          <w:highlight w:val="none"/>
          <w:lang w:eastAsia="zh-CN"/>
        </w:rPr>
        <w:t>上安水库</w:t>
      </w:r>
      <w:r>
        <w:rPr>
          <w:rFonts w:hint="default" w:ascii="Times New Roman" w:hAnsi="Times New Roman" w:cs="Times New Roman"/>
          <w:color w:val="000000"/>
          <w:highlight w:val="none"/>
        </w:rPr>
        <w:t>取水构筑物</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现状管阳水厂进水采用重力取水，存在水压不足情况，经校核，</w:t>
      </w:r>
      <w:r>
        <w:rPr>
          <w:rFonts w:hint="default" w:ascii="Times New Roman" w:hAnsi="Times New Roman" w:cs="Times New Roman"/>
          <w:color w:val="000000"/>
          <w:highlight w:val="none"/>
          <w:lang w:eastAsia="zh-CN"/>
        </w:rPr>
        <w:t>上安水库</w:t>
      </w:r>
      <w:r>
        <w:rPr>
          <w:rFonts w:hint="default" w:ascii="Times New Roman" w:hAnsi="Times New Roman" w:cs="Times New Roman"/>
          <w:color w:val="000000"/>
          <w:highlight w:val="none"/>
        </w:rPr>
        <w:t>死水位需与管阳水厂进水标高相差6m多，</w:t>
      </w:r>
      <w:r>
        <w:rPr>
          <w:rFonts w:hint="default" w:ascii="Times New Roman" w:hAnsi="Times New Roman" w:cs="Times New Roman"/>
          <w:color w:val="000000"/>
          <w:highlight w:val="none"/>
          <w:lang w:val="en-US" w:eastAsia="zh-CN"/>
        </w:rPr>
        <w:t>因此拟</w:t>
      </w:r>
      <w:r>
        <w:rPr>
          <w:rFonts w:hint="default" w:ascii="Times New Roman" w:hAnsi="Times New Roman" w:cs="Times New Roman"/>
          <w:color w:val="000000"/>
          <w:highlight w:val="none"/>
        </w:rPr>
        <w:t>新建取水泵房1座。</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通过比选，</w:t>
      </w:r>
      <w:r>
        <w:rPr>
          <w:rFonts w:hint="default" w:ascii="Times New Roman" w:hAnsi="Times New Roman" w:cs="Times New Roman"/>
          <w:color w:val="000000"/>
          <w:highlight w:val="none"/>
          <w:lang w:val="en-US" w:eastAsia="zh-CN"/>
        </w:rPr>
        <w:t>拟</w:t>
      </w:r>
      <w:r>
        <w:rPr>
          <w:rFonts w:hint="default" w:ascii="Times New Roman" w:hAnsi="Times New Roman" w:cs="Times New Roman"/>
          <w:color w:val="000000"/>
          <w:highlight w:val="none"/>
        </w:rPr>
        <w:t>将泵房设置于管阳水厂</w:t>
      </w:r>
      <w:r>
        <w:rPr>
          <w:rFonts w:hint="default" w:ascii="Times New Roman" w:hAnsi="Times New Roman" w:cs="Times New Roman"/>
          <w:color w:val="000000"/>
          <w:highlight w:val="none"/>
          <w:lang w:val="en-US" w:eastAsia="zh-CN"/>
        </w:rPr>
        <w:t>西侧</w:t>
      </w:r>
      <w:r>
        <w:rPr>
          <w:rFonts w:hint="default" w:ascii="Times New Roman" w:hAnsi="Times New Roman" w:cs="Times New Roman"/>
          <w:color w:val="000000"/>
          <w:highlight w:val="none"/>
        </w:rPr>
        <w:t>山下</w:t>
      </w:r>
      <w:r>
        <w:rPr>
          <w:rFonts w:hint="default" w:ascii="Times New Roman" w:hAnsi="Times New Roman" w:cs="Times New Roman"/>
          <w:color w:val="000000"/>
          <w:highlight w:val="none"/>
          <w:lang w:val="en-US" w:eastAsia="zh-CN"/>
        </w:rPr>
        <w:t>现状污水处理厂边</w:t>
      </w:r>
      <w:r>
        <w:rPr>
          <w:rFonts w:hint="default" w:ascii="Times New Roman" w:hAnsi="Times New Roman" w:cs="Times New Roman"/>
          <w:color w:val="000000"/>
          <w:highlight w:val="none"/>
        </w:rPr>
        <w:t>，泵房平面尺寸为</w:t>
      </w:r>
      <w:r>
        <w:rPr>
          <w:rFonts w:hint="default" w:ascii="Times New Roman" w:hAnsi="Times New Roman" w:cs="Times New Roman"/>
          <w:color w:val="000000"/>
          <w:highlight w:val="none"/>
          <w:lang w:val="en-US" w:eastAsia="zh-CN"/>
        </w:rPr>
        <w:t>6.0</w:t>
      </w:r>
      <w:r>
        <w:rPr>
          <w:rFonts w:hint="default" w:ascii="Times New Roman" w:hAnsi="Times New Roman" w:cs="Times New Roman"/>
          <w:color w:val="000000"/>
          <w:highlight w:val="none"/>
        </w:rPr>
        <w:t>×3.0</w:t>
      </w:r>
      <w:r>
        <w:rPr>
          <w:rFonts w:hint="default" w:ascii="Times New Roman" w:hAnsi="Times New Roman" w:cs="Times New Roman"/>
          <w:color w:val="000000"/>
          <w:highlight w:val="none"/>
          <w:lang w:val="en-US" w:eastAsia="zh-CN"/>
        </w:rPr>
        <w:t xml:space="preserve"> m</w:t>
      </w:r>
      <w:r>
        <w:rPr>
          <w:rFonts w:hint="default" w:ascii="Times New Roman" w:hAnsi="Times New Roman" w:cs="Times New Roman"/>
          <w:color w:val="000000"/>
          <w:highlight w:val="none"/>
        </w:rPr>
        <w:t>，高</w:t>
      </w:r>
      <w:r>
        <w:rPr>
          <w:rFonts w:hint="default" w:ascii="Times New Roman" w:hAnsi="Times New Roman" w:cs="Times New Roman"/>
          <w:color w:val="000000"/>
          <w:highlight w:val="none"/>
          <w:lang w:val="en-US" w:eastAsia="zh-CN"/>
        </w:rPr>
        <w:t xml:space="preserve">3.0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lang w:val="en-US" w:eastAsia="zh-CN"/>
        </w:rPr>
        <w:t>采用一体化智慧泵房</w:t>
      </w:r>
      <w:r>
        <w:rPr>
          <w:rFonts w:hint="default" w:ascii="Times New Roman" w:hAnsi="Times New Roman" w:cs="Times New Roman"/>
          <w:color w:val="000000"/>
          <w:highlight w:val="none"/>
        </w:rPr>
        <w:t>，内安装</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台</w:t>
      </w:r>
      <w:r>
        <w:rPr>
          <w:rFonts w:hint="default" w:ascii="Times New Roman" w:hAnsi="Times New Roman" w:cs="Times New Roman"/>
          <w:color w:val="000000"/>
          <w:highlight w:val="none"/>
          <w:lang w:val="en-US" w:eastAsia="zh-CN"/>
        </w:rPr>
        <w:t>变频加压</w:t>
      </w:r>
      <w:r>
        <w:rPr>
          <w:rFonts w:hint="default" w:ascii="Times New Roman" w:hAnsi="Times New Roman" w:cs="Times New Roman"/>
          <w:color w:val="000000"/>
          <w:highlight w:val="none"/>
        </w:rPr>
        <w:t>泵，</w:t>
      </w:r>
      <w:r>
        <w:rPr>
          <w:rFonts w:hint="default" w:ascii="Times New Roman" w:hAnsi="Times New Roman" w:cs="Times New Roman"/>
          <w:color w:val="000000"/>
          <w:highlight w:val="none"/>
          <w:lang w:val="en-US" w:eastAsia="zh-CN"/>
        </w:rPr>
        <w:t>单泵Q=70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/h，扬程20 m，功率6.5 kW，两用一备。</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B </w:t>
      </w:r>
      <w:r>
        <w:rPr>
          <w:rFonts w:hint="default" w:ascii="Times New Roman" w:hAnsi="Times New Roman" w:cs="Times New Roman"/>
          <w:color w:val="000000"/>
          <w:highlight w:val="none"/>
        </w:rPr>
        <w:t>天竹水库取水构筑物</w:t>
      </w:r>
    </w:p>
    <w:p>
      <w:pPr>
        <w:bidi w:val="0"/>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天竹水库出险加固后，由DN300钢管末端三通进行取水</w:t>
      </w:r>
      <w:r>
        <w:rPr>
          <w:rFonts w:hint="default" w:ascii="Times New Roman" w:hAnsi="Times New Roman" w:eastAsia="宋体" w:cs="Times New Roman"/>
          <w:color w:val="000000"/>
          <w:highlight w:val="none"/>
        </w:rPr>
        <w:t>。</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C </w:t>
      </w:r>
      <w:r>
        <w:rPr>
          <w:rFonts w:hint="default" w:ascii="Times New Roman" w:hAnsi="Times New Roman" w:cs="Times New Roman"/>
          <w:color w:val="000000"/>
          <w:highlight w:val="none"/>
        </w:rPr>
        <w:t>龙井溪拦河坝取水构筑物</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龙井溪拦河坝现状采用坝体埋管的方式取水</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目前运行正常，本次加以利用</w:t>
      </w:r>
      <w:r>
        <w:rPr>
          <w:rFonts w:hint="default" w:ascii="Times New Roman" w:hAnsi="Times New Roman" w:cs="Times New Roman"/>
          <w:color w:val="000000"/>
          <w:highlight w:val="none"/>
        </w:rPr>
        <w:t>。</w:t>
      </w:r>
    </w:p>
    <w:p>
      <w:pPr>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输水工程</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根据《福鼎市管阳片区农村安全饮水工程管网部分（福鼎市城乡供水一体化二期）初步设计报告》，管阳水厂从上安水库取水，水厂设计规模为3000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/d，输水管线漏失水量和水厂自用水量按设计规模的10%计，则输水工程设计流量为3300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/d。西阳水厂设计从天竹水库和西阳村龙井溪拦水坝取水，水厂设计规模为3500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/d。输水管线漏失水量和水厂自用水量按设计规模的10%计，则输水工程设计流量为3850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/d。</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本项目两座水厂新建输水管线共计4条，总长7.66 km。经过水力计算：</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西阳水厂片区新建天竹水库至叉口段输水管道，采用De200PE100管（PN 1.0），长3 km；新建龙井溪拦河坝至叉口段输水管，采用De200PE（PN 1.6） 输水管长3.57 km，新建交叉口至西阳水厂段输水管道，采用DN300球墨铸铁管长740 m，压力等级采用K9。管阳水厂片区保留利用现有上安水库至管阳桥段输水管道长1228 m，采用De250PE管；新建管阳桥至水厂新址段输水管道，采用1.0Mpa De250PE管长0.35 km。由现状输水管接出沿管溪布置，后通过加压泵站沿山坡地进入管阳水厂厂区。</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highlight w:val="none"/>
          <w:lang w:val="en-US" w:eastAsia="zh-CN"/>
        </w:rPr>
        <w:t>（3）配水工程</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本项目供水范围覆盖管阳镇镇区及周边13个行政村，其中管阳水厂供水范围为：管阳镇镇区、管阳村、章边村、广化村，至2030年受益人口共计12096人；西阳水厂供水范围为：七浦村、乾头村、元潭村、溪头村、徐陈村、西阳村、天竹村、缙阳村、楮楼村、西昆村等10个行政村，受益人口共计21669人。其中楮楼村、西昆村仅设配水管预留口，不含入村管道。</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管阳水厂片区配水干管自清水池接出向西侧布置，后沿管溪布置至管阳桥下，接入现状配水干管，后沿现状管网分为三路，一路现状管道向西南为章边村供水，本次新建锦棚街方向配水管道；一路现状管道沿管溪向上游布置，管径由De315递减至De110，采用PE100管，本</w:t>
      </w:r>
      <w:r>
        <w:rPr>
          <w:rFonts w:hint="default" w:ascii="Times New Roman" w:hAnsi="Times New Roman" w:cs="Times New Roman"/>
          <w:color w:val="000000"/>
          <w:highlight w:val="none"/>
          <w:lang w:val="en-US" w:eastAsia="zh-CN"/>
        </w:rPr>
        <w:t>项目</w:t>
      </w:r>
      <w:r>
        <w:rPr>
          <w:rFonts w:hint="default" w:ascii="Times New Roman" w:hAnsi="Times New Roman" w:cs="Times New Roman"/>
          <w:color w:val="000000"/>
          <w:highlight w:val="none"/>
          <w:lang w:eastAsia="zh-CN"/>
        </w:rPr>
        <w:t>改造De160以下管道，扩大管径至De200并通过新建鱼池泵站对鱼池及周边村庄供水；最后一路现状管道沿京岚线向东北对管阳镇区供水，本</w:t>
      </w:r>
      <w:r>
        <w:rPr>
          <w:rFonts w:hint="default" w:ascii="Times New Roman" w:hAnsi="Times New Roman" w:cs="Times New Roman"/>
          <w:color w:val="000000"/>
          <w:highlight w:val="none"/>
          <w:lang w:val="en-US" w:eastAsia="zh-CN"/>
        </w:rPr>
        <w:t>项目</w:t>
      </w:r>
      <w:r>
        <w:rPr>
          <w:rFonts w:hint="default" w:ascii="Times New Roman" w:hAnsi="Times New Roman" w:cs="Times New Roman"/>
          <w:color w:val="000000"/>
          <w:highlight w:val="none"/>
          <w:lang w:eastAsia="zh-CN"/>
        </w:rPr>
        <w:t>改造镇区配水支管，分别沿兴洋路、中洋路、永兴中路布置。为广化村供水，本次于管阳客运站附近由现状管道接出配水管沿点沈线布置，供水至广化村，并于广化村至七蒲村方向预留配水管接口。</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西阳水厂片区配水干管自清水池接出后向西南侧沿现有村道布置，进入西阳村后沿点沈线通过新建管道与东村形成环状管网，然后根据供水范围，分别由环状管道接出三路管道对缙阳村、天竹村、乾头村等10个村供水。一路由东村附近接出，向西沿村道布置对缙阳村、徐陈村供水；一路由西阳村接出，向北沿点沈线、天牛线对天竹村供水；一路向南，分别经过庵下、洋头、祖厝、横厝、乾头村、里湾形成环状管网，后从环状管网上接出三路管线对溪头、西昆、七蒲村等村供水：一路向西，对溪头村供水，并预留楮楼村配水管接口；一路向南对元潭村供水，并预留西昆村配水管接口；一路向东南对七蒲村供水，并预留七蒲村至广化村配水管接口。</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本项目新建配水管道长37.56 km，管径De63~DN300，管材采用PE100管（1.0 MPa~1.6 MPa）或球墨铸铁管（K9），利用现状配水管4.14 km，管径De110~De315，其中：</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管阳水厂新建配水管道长9.96 km，配套中途加压泵站2座，排气阀5个，排泥阀6个，闸阀14个，消火栓12个；利用现状配水管道4.14 km。</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西阳水厂新建配水管道长27.60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lang w:eastAsia="zh-CN"/>
        </w:rPr>
        <w:t>km，配套减压阀55个，排气阀26个，排泥阀25个，闸阀30个，消火栓85个。</w:t>
      </w:r>
    </w:p>
    <w:p>
      <w:pPr>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4</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供水加压泵站</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根据《福鼎市管阳片区农村安全饮水工程管网部分（福鼎市城乡供水一体化二期）初步设计报告》，管阳水厂配水管往鱼池村方向管道末端水压不足14 m，往广化村方向中部存在高点，出现负压情况，因此需各设中途增压泵站一座。</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①鱼池泵站</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鱼池泵站设计规模为600 t/d，采用直连式增压设备，平面尺寸1.2 m×1.2 m，高2.02 m，位于104国道南侧，内装有2台变频增压泵，单泵流量50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/h，扬程25 m，功率5 kw，一用一备。泵站末端修建高位水池以保证供水运行稳定。</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②广化泵站</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广化泵站设计规模368 t/d，采用直连式增压设备，平面尺寸1.2 m×1.2 m，高2.02 m，位于点沈线旁，内装有2台变频增压泵，单泵流量32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/h，扬程20 m，功率4 kW，一用一备。泵站末端修建高位水池以保证供水运行稳定。</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工程施工布置及进度</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施工条件</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（1）工程条件</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本项目位于福鼎市管阳镇，拟建水厂距离道路75 m，施工材料、设备采用人工二次搬运，砼采用地泵输送；管道沿道路敷设，施工材料、设备和器材均能及时运输到位，但应注意施工期间对交通的影响。</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（2）自然条件</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福鼎市地处低纬度中亚热带区，背山临海，受海洋性季风气候影响显著，具有夏长冬短、日照充足、雨量充沛、四季分明、温暖湿润等气候特点。境内地形复杂，气温垂直差异明显，全市平均气温17.9～19.1</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℃。全年无霜期286天，年霜期两个半月，即12月中旬至翌年2月下旬。全市相对湿度在73～85%之间，年平均风速为1.1～2.1</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m/s。全年日照时数达1727.3小时，年平均日照率39%。市境内陆面蒸发较为稳定，多年平均年陆面蒸发量619</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mm，地区变化趋势在550～650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mm之间，由西北向东南沿海缓增。</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根据全市13个雨量站资料分析，福鼎降水量时空分布不均，受地形影响，年降水量的分布呈西北部的2200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mm向西南方向1800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mm递减，又向东南沿海的1300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mm递减。全市多年平均年降水量1699.8</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mm。降水量年际变化较大，年内分配不均，主要集中在汛期4～9月，4～9 月降水量均占全年的75%，台风雨是本市水资源主要补给量，区域暴雨洪水多发生这些月份，而区域内河道比降大，河流短促，故洪水峰高量大、暴涨暴落。境内径流深变化在580～1620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mm，分布规律与降水相似。福鼎市各溪流的径流主要来源于降水，辅以地下水补给，径流在年内和年际的变化与降水的变化规律基本一致。</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（3）水文、气象条件</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福鼎市地处低纬度中亚热带，背山临海，受海洋性季风气候影响显著，具有夏长冬短、日照充足、雨量充沛、温暖湿润、四季分明等气候特点。根据福鼎市气象站观测资料统计，多年平均气温18.5</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℃，极端最高气温40.6</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℃（1989.7.20），极端最低气温-5.2</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℃（1999.12.23）。多年平均霜期两个半月，即12月中旬～翌年2月下旬。多年平均相对湿度79%。多年平均风速1.4</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m/s，最大风速28.3</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m/s。多年平均日照时数为1621.7</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h。</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台风是造成本区域特大降水的主要天气系统，其次是高空西风槽和地面锋系相伴出现而形成的锋面雨天气。受地形及环流形势等因素的影响，降雨量时空分布不均，年际变化较大，年内分配不均，根据福鼎市境内13个雨量站资料分析，全市多年平均年降水量1668.4</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mm，年降水量由西北部的2200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 向西南方向1800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mm递减，又向东南沿海的1300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mm递减。</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七步水文站历年各月最大流量资料，计算各工程断面施工期设计洪水。根据施工分期要求，统计各分期最大流量系列，经频率计算得到七步水文站各分期施工洪水成果。再按流域面积比（面积比综合指数n=0.72），计算得到各跨河管处分期施工洪水成果，各跨河管处施工洪水成果见下表</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_Ref1981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表2.1-5</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rPr>
        <w:t>。</w:t>
      </w:r>
    </w:p>
    <w:p>
      <w:pPr>
        <w:pStyle w:val="21"/>
        <w:bidi w:val="0"/>
        <w:rPr>
          <w:rFonts w:hint="default" w:ascii="Times New Roman" w:hAnsi="Times New Roman" w:cs="Times New Roman"/>
          <w:color w:val="000000"/>
          <w:highlight w:val="none"/>
        </w:rPr>
      </w:pPr>
      <w:bookmarkStart w:id="72" w:name="_Ref1981"/>
      <w:r>
        <w:rPr>
          <w:rFonts w:hint="default" w:ascii="Times New Roman" w:hAnsi="Times New Roman" w:cs="Times New Roman"/>
          <w:color w:val="000000"/>
          <w:highlight w:val="none"/>
        </w:rPr>
        <w:t>施工期洪水计算成果表</w:t>
      </w:r>
      <w:bookmarkEnd w:id="72"/>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99"/>
        <w:gridCol w:w="1317"/>
        <w:gridCol w:w="1326"/>
        <w:gridCol w:w="1326"/>
        <w:gridCol w:w="1326"/>
        <w:gridCol w:w="1326"/>
        <w:gridCol w:w="136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700"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断面名称</w:t>
            </w:r>
          </w:p>
        </w:tc>
        <w:tc>
          <w:tcPr>
            <w:tcW w:w="709"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频率</w:t>
            </w:r>
          </w:p>
        </w:tc>
        <w:tc>
          <w:tcPr>
            <w:tcW w:w="3589" w:type="pct"/>
            <w:gridSpan w:val="5"/>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设计洪峰流量（m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月</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rPr>
              <w:t>月</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11-3月</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11-2月</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七步站</w:t>
            </w: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194</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194</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52.7</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44.9</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89.5</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89.5</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40.3</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29.7</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管阳桥</w:t>
            </w: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106.1</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106.1</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28.8</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24.6</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49.0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49.0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22.0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16.2</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广化</w:t>
            </w:r>
            <w:r>
              <w:rPr>
                <w:rFonts w:hint="default" w:ascii="Times New Roman" w:hAnsi="Times New Roman" w:cs="Times New Roman"/>
                <w:color w:val="000000"/>
                <w:highlight w:val="none"/>
                <w:lang w:val="en-US" w:eastAsia="zh-CN"/>
              </w:rPr>
              <w:t>桥</w:t>
            </w: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132.5</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132.5</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36.0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30.7</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61.1</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61.1</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27.5</w:t>
            </w:r>
          </w:p>
        </w:tc>
        <w:tc>
          <w:tcPr>
            <w:tcW w:w="71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20.3</w:t>
            </w:r>
          </w:p>
        </w:tc>
        <w:tc>
          <w:tcPr>
            <w:tcW w:w="73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乾头村</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109.6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109.6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29.8</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25.4</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50.6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50.6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22.8</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16.8</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19.7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友谊桥</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85.9</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85.9</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23.3</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19.9</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39.6</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39.6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17.8</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13.2</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SB2+200</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46.2</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46.2</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12.5</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10.7</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21.3</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21.3</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7.1</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福联桥</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65.2</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65.2</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17.7</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15.1</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30.1</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30.1</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13.5</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10.0</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PS0+050</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62.4</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62.4</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14.5</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14.6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28.8</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28.8</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9.6</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PR1+722</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35.3</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35.3</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8.2</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16.3</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16.3</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7.3</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5.4</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PR2+100</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24.1</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24.1</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5.6</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11.1</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11.1</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3.7</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PR2+250</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16.5</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16.5</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4.5</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3.8</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7.6</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7.6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3.4</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PW0+260</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94.6</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94.6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25.7</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21.9</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22.1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43.6</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43.6</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19.7</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14.5</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元谭桥</w:t>
            </w: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221.0</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221.0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60.0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51.2</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51.7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0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p>
        </w:tc>
        <w:tc>
          <w:tcPr>
            <w:tcW w:w="70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102.0</w:t>
            </w:r>
          </w:p>
        </w:tc>
        <w:tc>
          <w:tcPr>
            <w:tcW w:w="714"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102.0</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45.9</w:t>
            </w:r>
          </w:p>
        </w:tc>
        <w:tc>
          <w:tcPr>
            <w:tcW w:w="71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33.8</w:t>
            </w:r>
          </w:p>
        </w:tc>
        <w:tc>
          <w:tcPr>
            <w:tcW w:w="73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39.6</w:t>
            </w:r>
          </w:p>
        </w:tc>
      </w:tr>
    </w:tbl>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施工导截流</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（1）导流标准</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新建跨河管道涉及施工导流。根据本工程的施工条件和施工计划，拟采用一次断流围堰方案。《水利水电工程施工组织设计规范》（SL303-2004）规定：导流建筑物为5级建筑物，土石结构的导流建筑物洪水标准为5~10 年一遇。本项目采用枯水期5年一遇设计，选择枯水期导流时段为11月到次年2月。</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（2）导流建筑物</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通过对施工洪水资料的分析，结合施工进度安排，施工时段选择在枯水期11～3月，河道围堰均采用袋装土围堰，围堰顶宽2 m，堰高约1.5 m~2.0 m，两侧边坡1：1.5。堰体中间铺设复合土工布进行防渗，土工布采用两布一膜的结构。采用预制砼管导流，根据河道施工期流量，管径范围为DN 100~DN 1000。</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建筑材料、设备及器材的供应情况</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本工程建筑材料及建筑设备主要有：商品砼、碎石、砂、水泥、钢材、块石、木材、管道、阀门等。碎石、砂、块石、木材可在本地区域内就近取材，陆路运输约5</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km；商品砼、水泥、钢材、管道、阀门可由福鼎市供应，公路运输约20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km。</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施工水电供应及排水安排</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施工用水由附近河道抽取或就近由居民自来水接出供应。</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施工用电可由附近电网接入。用电较为分散，对周边用电满足施工要求的工作面，从当地电网接取；局部偏远片区，考虑采用发电机发电，共需50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kW柴油发电机3台。</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主体工程施工</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管道工程施工主要包括砼拆除、土石方开挖、垫层铺设、管道安装、阀井砌筑和土方回填等</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施工工艺流程如下：</w:t>
      </w:r>
    </w:p>
    <w:p>
      <w:pPr>
        <w:bidi w:val="0"/>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object>
          <v:shape id="_x0000_i1025" o:spt="75" type="#_x0000_t75" style="height:202.5pt;width:390.75pt;" o:ole="t" filled="f" o:preferrelative="t" stroked="f" coordsize="21600,21600">
            <v:path/>
            <v:fill on="f" focussize="0,0"/>
            <v:stroke on="f"/>
            <v:imagedata r:id="rId31" o:title=""/>
            <o:lock v:ext="edit" aspectratio="t"/>
            <w10:wrap type="none"/>
            <w10:anchorlock/>
          </v:shape>
          <o:OLEObject Type="Embed" ProgID="Visio.Drawing.11" ShapeID="_x0000_i1025" DrawAspect="Content" ObjectID="_1468075725" r:id="rId30">
            <o:LockedField>false</o:LockedField>
          </o:OLEObject>
        </w:object>
      </w:r>
    </w:p>
    <w:p>
      <w:pPr>
        <w:pStyle w:val="22"/>
        <w:tabs>
          <w:tab w:val="clear"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施工工艺流程图</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（1）砼拆除</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砼拆除主要集中在砼道路路面拆除、钢管外包砼拆除等部分。采用1.0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反铲挖掘机改装后的液压锤击打破碎，采用1.0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反铲挖掘机挖装石渣，装运8 t自卸汽车运输出渣。</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土石方开挖</w:t>
      </w:r>
    </w:p>
    <w:p>
      <w:pPr>
        <w:bidi w:val="0"/>
        <w:rPr>
          <w:rFonts w:hint="default" w:ascii="Times New Roman" w:hAnsi="Times New Roman" w:cs="Times New Roman"/>
          <w:highlight w:val="none"/>
        </w:rPr>
      </w:pPr>
      <w:r>
        <w:rPr>
          <w:rFonts w:hint="default" w:ascii="Times New Roman" w:hAnsi="Times New Roman" w:cs="Times New Roman"/>
          <w:highlight w:val="none"/>
        </w:rPr>
        <w:t>土石方开挖主要为明挖，采用人工与机械结合进行，其中对于DN75管道施工段的土方开挖单纯采用人工开挖，对于直径大于等于DN325的管道土石方开挖则以机械开挖为主，部分边角等机械施工困难的部位人工开挖为辅。部分管段管坑基础为基岩，采用手风钻钻孔装药松动爆破，炮渣采用机械开挖装运。机械开挖一般采用0.6</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rPr>
        <w:t>挖机装配8</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t自卸汽车运输出渣；人工开挖采用铁锹及尖镐，胶轮车运输集料，0.6</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rPr>
        <w:t>挖机装8</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t自卸汽车运输出渣。</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垫层铺设</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垫层为砂碎石垫层，当管沟开挖完成并经验收合格后，立即进行砂碎石垫层的施工，以避免基础长时间暴露和积水。砂碎石垫层由人工推双胶轮车运输，人工铺设，采用蛙式打夯机夯实。</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管道安装</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球墨铸铁管及PE管在工厂加工，经检查合格后，用汽车运至管线附近的堆放点。在管道砂碎石垫层施工完成并验收合格后，即可下放对中定位安装管道。管道每4</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m或6</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m为一节，采用5</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t～10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t汽车吊吊放，每安装一节检查一节。当一段管道全部安装完成，并经检查安装质量符合要求后，进行压水试验。埋管段在压水实验合格后方可进行土方回填。</w:t>
      </w:r>
    </w:p>
    <w:p>
      <w:pPr>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阀井砌筑</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阀井在管道安装完毕后进行，采用铺浆法砌筑。砂浆露天就近人工拌合，砌砖亦就近堆放。在砌筑时砖要放平，砂浆饱满，特别要注意管头下部及管子周围必须砌筑密实。内外批荡粉刷应执行技术操作规范。</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6</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土石方回填</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当球管道埋设安装完成并经验收合格后，即可进行土方回填。土方回填利用开挖料，由推土机推运土料入仓，推土机压实和蛙式打夯机夯实。在管道工程施工过程中，对易造成基坑两侧边坡塌滑失稳的管段、靠近房屋的管段和沿道路埋设的管段，采用工字钢进行临时支护。</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7</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破路修复</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地面的填筑采用水平分层，以机械施工为主，人工为辅进行地面复修，破路修复根据公路及道路等级进行修复。</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8</w:t>
      </w:r>
      <w:r>
        <w:rPr>
          <w:rFonts w:hint="default" w:ascii="Times New Roman" w:hAnsi="Times New Roman" w:cs="Times New Roman"/>
          <w:color w:val="000000"/>
          <w:highlight w:val="none"/>
          <w:lang w:eastAsia="zh-CN"/>
        </w:rPr>
        <w:t>）水平定向钻施工</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工艺分为二个阶段：第一阶段按照设计要求进行导向孔钻进施工；第二阶段将导向孔进行扩孔，并将产品管线（PE管道）沿着扩大了的导向孔回拖到导向孔中，完成管线穿越工作。具体施工顺序为：现场勘查、开挖工法井、设计轨迹线、导向孔施工、各级预扩孔、清孔、回拖管材。在牵引管施工完毕后，砌筑检查井。</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施工交通运输</w:t>
      </w:r>
    </w:p>
    <w:p>
      <w:pPr>
        <w:rPr>
          <w:rFonts w:hint="default" w:ascii="Times New Roman" w:hAnsi="Times New Roman" w:cs="Times New Roman"/>
          <w:highlight w:val="none"/>
          <w:lang w:val="en-US" w:eastAsia="zh-CN"/>
        </w:rPr>
      </w:pPr>
      <w:r>
        <w:rPr>
          <w:rFonts w:hint="default" w:ascii="Times New Roman" w:hAnsi="Times New Roman" w:cs="Times New Roman"/>
          <w:color w:val="000000"/>
          <w:highlight w:val="none"/>
          <w:lang w:val="en-US" w:eastAsia="zh-CN"/>
        </w:rPr>
        <w:t>（1）厂外运输</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工程区对外交通线路主要有国道G104、Y807、县级公路和乡村公路。除部分路段为砂砾石路面，其余主要为混凝土路面，可以满足工程对外交通运输。工程物资运输主要采用公路运输方式。</w:t>
      </w:r>
    </w:p>
    <w:p>
      <w:pPr>
        <w:ind w:firstLine="48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厂内运输</w:t>
      </w:r>
    </w:p>
    <w:p>
      <w:pPr>
        <w:ind w:firstLine="48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管道工程沿线经过众多村庄，管道基本沿着省道、县道布置。施工时场内施工便道布置沿线布置，基本平行管线，连接对外交通道路，供土方开挖和填筑、混凝土浇筑、砌体砌筑、管道运输安装、工程施工物资、材料的运输。场内施工道路布置联成网络，满足基础开挖、基础处理、混凝土浇筑、钢筋、模板、砌体砌筑等材料运输等施工要求，同时配备洒水车经常维护、洒水，防止粉尘污染。</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主要施工机械设备计划及劳动计划</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（1）机械设备计划</w:t>
      </w:r>
    </w:p>
    <w:p>
      <w:pPr>
        <w:pStyle w:val="2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机械设备施工计划一览表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6"/>
        <w:gridCol w:w="1976"/>
        <w:gridCol w:w="2571"/>
        <w:gridCol w:w="1304"/>
        <w:gridCol w:w="25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456" w:type="pct"/>
            <w:noWrap w:val="0"/>
            <w:vAlign w:val="center"/>
          </w:tcPr>
          <w:p>
            <w:pPr>
              <w:pStyle w:val="19"/>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序号</w:t>
            </w:r>
          </w:p>
        </w:tc>
        <w:tc>
          <w:tcPr>
            <w:tcW w:w="1064"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名称</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规格</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单位</w:t>
            </w:r>
          </w:p>
        </w:tc>
        <w:tc>
          <w:tcPr>
            <w:tcW w:w="1391"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推土机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74 kW</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反铲挖掘机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0.6~1.0 m</w:t>
            </w:r>
            <w:r>
              <w:rPr>
                <w:rFonts w:hint="default" w:ascii="Times New Roman" w:hAnsi="Times New Roman" w:cs="Times New Roman"/>
                <w:color w:val="000000"/>
                <w:highlight w:val="none"/>
                <w:vertAlign w:val="superscript"/>
                <w:lang w:val="en-US" w:eastAsia="zh-CN"/>
              </w:rPr>
              <w:t>3</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装载机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0.5~2.0 m</w:t>
            </w:r>
            <w:r>
              <w:rPr>
                <w:rFonts w:hint="default" w:ascii="Times New Roman" w:hAnsi="Times New Roman" w:cs="Times New Roman"/>
                <w:color w:val="000000"/>
                <w:highlight w:val="none"/>
                <w:vertAlign w:val="superscript"/>
                <w:lang w:val="en-US" w:eastAsia="zh-CN"/>
              </w:rPr>
              <w:t>3</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w:t>
            </w:r>
          </w:p>
        </w:tc>
        <w:tc>
          <w:tcPr>
            <w:tcW w:w="1064"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空压机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YW-9/7</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手风钻</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YT27</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把</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轴流风机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KJ66-11</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7</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变压器</w:t>
            </w:r>
          </w:p>
        </w:tc>
        <w:tc>
          <w:tcPr>
            <w:tcW w:w="1384" w:type="pct"/>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500 kVA</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w:t>
            </w:r>
          </w:p>
        </w:tc>
        <w:tc>
          <w:tcPr>
            <w:tcW w:w="1064"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变压器</w:t>
            </w:r>
          </w:p>
        </w:tc>
        <w:tc>
          <w:tcPr>
            <w:tcW w:w="1384" w:type="pct"/>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200 kVA</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9</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柴油发电机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 kW</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砼拌和机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0.4 m</w:t>
            </w:r>
            <w:r>
              <w:rPr>
                <w:rFonts w:hint="default" w:ascii="Times New Roman" w:hAnsi="Times New Roman" w:cs="Times New Roman"/>
                <w:color w:val="000000"/>
                <w:highlight w:val="none"/>
                <w:vertAlign w:val="superscript"/>
                <w:lang w:val="en-US" w:eastAsia="zh-CN"/>
              </w:rPr>
              <w:t>3</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砂浆搅拌机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0.25 m</w:t>
            </w:r>
            <w:r>
              <w:rPr>
                <w:rFonts w:hint="default" w:ascii="Times New Roman" w:hAnsi="Times New Roman" w:cs="Times New Roman"/>
                <w:color w:val="000000"/>
                <w:highlight w:val="none"/>
                <w:vertAlign w:val="superscript"/>
                <w:lang w:val="en-US" w:eastAsia="zh-CN"/>
              </w:rPr>
              <w:t>3</w:t>
            </w: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自卸手扶拖拉机</w:t>
            </w:r>
          </w:p>
        </w:tc>
        <w:tc>
          <w:tcPr>
            <w:tcW w:w="1384" w:type="pct"/>
            <w:noWrap w:val="0"/>
            <w:vAlign w:val="center"/>
          </w:tcPr>
          <w:p>
            <w:pPr>
              <w:pStyle w:val="19"/>
              <w:bidi w:val="0"/>
              <w:rPr>
                <w:rFonts w:hint="default" w:ascii="Times New Roman" w:hAnsi="Times New Roman" w:cs="Times New Roman"/>
                <w:color w:val="000000"/>
                <w:highlight w:val="none"/>
              </w:rPr>
            </w:pPr>
          </w:p>
        </w:tc>
        <w:tc>
          <w:tcPr>
            <w:tcW w:w="702"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自卸汽车</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 t</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辆</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14</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动力翻斗车</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 t</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辆</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汽车起重机</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5~10 t</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双胶轮车</w:t>
            </w:r>
          </w:p>
        </w:tc>
        <w:tc>
          <w:tcPr>
            <w:tcW w:w="1384" w:type="pct"/>
            <w:noWrap w:val="0"/>
            <w:vAlign w:val="center"/>
          </w:tcPr>
          <w:p>
            <w:pPr>
              <w:pStyle w:val="19"/>
              <w:bidi w:val="0"/>
              <w:rPr>
                <w:rFonts w:hint="default" w:ascii="Times New Roman" w:hAnsi="Times New Roman" w:cs="Times New Roman"/>
                <w:color w:val="000000"/>
                <w:highlight w:val="none"/>
              </w:rPr>
            </w:pP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辆</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w:t>
            </w:r>
          </w:p>
        </w:tc>
        <w:tc>
          <w:tcPr>
            <w:tcW w:w="1064"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木材加工设备</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/班</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套</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18</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钢筋加工设备</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 t/班</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套</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6"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19</w:t>
            </w:r>
          </w:p>
        </w:tc>
        <w:tc>
          <w:tcPr>
            <w:tcW w:w="106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水泵</w:t>
            </w:r>
          </w:p>
        </w:tc>
        <w:tc>
          <w:tcPr>
            <w:tcW w:w="138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2.2 kW</w:t>
            </w:r>
          </w:p>
        </w:tc>
        <w:tc>
          <w:tcPr>
            <w:tcW w:w="702"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台</w:t>
            </w:r>
          </w:p>
        </w:tc>
        <w:tc>
          <w:tcPr>
            <w:tcW w:w="13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r>
    </w:tbl>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（2）劳力计划</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本项目计划高峰施工人数150人，平均施工人数134人。</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施工弃土、弃石的堆放和处理</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本工程主体工程土石方明挖总量约2.65万m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rPr>
        <w:t>，其中管道部分开挖土方可以堆在开挖管沟两侧用于主体工程回填和场地回填，泵站开挖土方用于土方回填及填筑围堰，尚余1.12万m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rPr>
        <w:t>需作为弃渣处理。具体弃渣处理方案后续按水保方案进行处置或利用。</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施工总体布置</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）施工总平面布置原则</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科学、合理、高效、安全。要有利于施工现场的平行交叉流水作业，有利于施工现场的交通畅通，有利于临时设施的合理布置，有利于安全生产，以确保在预定的工期内顺利完成施工任务。</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rPr>
        <w:t>）总平面布置</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建筑材料堆场布置；本工程建筑材料主要为碎石、砂、水泥、钢材、木材等，均布置于场地内指定地块，便于管理和施工。</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临时设施布置；砼拌和机（站）、木工棚均布置于场地内指定地块，便于施工的需要。</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施工生活用房的布置：施工生活用房建议租用当地村民的房屋。</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施工场地设置情况</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（1）砂石料堆场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本工程施工过程中涉及的砂石料由附近区域购买，设有2处砂石料堆场，分别位于管阳片区（原水输水提升泵房）、西阳片区（西阳水厂）用地范围内，详见图2.1-1和图2.1-2。</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（2）临时堆土场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项目布设管线表土临时堆场，用于集中堆放施工过程中管沟开挖产生的表土，共设14个管线工程临时堆场（其中管阳片区5个，西阳片区7个），本工程管沟挖填过程中共计挖方量2.65万m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，其中表土回填和</w:t>
      </w:r>
      <w:r>
        <w:rPr>
          <w:rFonts w:hint="default" w:ascii="Times New Roman" w:hAnsi="Times New Roman" w:cs="Times New Roman"/>
          <w:color w:val="000000"/>
          <w:highlight w:val="none"/>
        </w:rPr>
        <w:t>填筑围堰</w:t>
      </w:r>
      <w:r>
        <w:rPr>
          <w:rFonts w:hint="default" w:ascii="Times New Roman" w:hAnsi="Times New Roman" w:cs="Times New Roman"/>
          <w:color w:val="000000"/>
          <w:highlight w:val="none"/>
          <w:lang w:val="en-US" w:eastAsia="zh-CN"/>
        </w:rPr>
        <w:t>1.53万m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，弃方量为1.12万m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lang w:val="en-US" w:eastAsia="zh-CN"/>
        </w:rPr>
        <w:t>，弃方运送指定场所综合利用。管线工程区临时堆土场布设情况详见图2.1-1和图2.1-2。</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（3）临时施工作业场所、施工营地</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本工程不设置施工营地，施工人员入驻周边村庄。拟设置2个临时施工作业场所，分别位于管阳片区（原水输水提升泵房）、西阳片区（西阳水厂）选址用地范围内。</w:t>
      </w:r>
    </w:p>
    <w:p>
      <w:pPr>
        <w:rPr>
          <w:rFonts w:hint="default" w:ascii="Times New Roman" w:hAnsi="Times New Roman" w:cs="Times New Roman"/>
          <w:color w:val="FF0000"/>
          <w:highlight w:val="none"/>
          <w:lang w:val="en-US" w:eastAsia="zh-CN"/>
        </w:rPr>
      </w:pPr>
    </w:p>
    <w:p>
      <w:pPr>
        <w:rPr>
          <w:rFonts w:hint="default" w:ascii="Times New Roman" w:hAnsi="Times New Roman" w:cs="Times New Roman"/>
          <w:color w:val="000000"/>
          <w:highlight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ind w:left="0" w:leftChars="0" w:firstLine="0" w:firstLineChars="0"/>
        <w:jc w:val="center"/>
        <w:rPr>
          <w:rFonts w:hint="default" w:ascii="Times New Roman" w:hAnsi="Times New Roman" w:cs="Times New Roman"/>
          <w:color w:val="000000"/>
          <w:highlight w:val="none"/>
          <w:lang w:val="en-US" w:eastAsia="zh-CN"/>
        </w:rPr>
      </w:pPr>
    </w:p>
    <w:p>
      <w:pPr>
        <w:ind w:left="0" w:leftChars="0" w:firstLine="0" w:firstLineChars="0"/>
        <w:jc w:val="center"/>
        <w:rPr>
          <w:rFonts w:hint="default" w:ascii="Times New Roman" w:hAnsi="Times New Roman" w:cs="Times New Roman"/>
          <w:color w:val="000000"/>
          <w:highlight w:val="none"/>
          <w:lang w:val="en-US" w:eastAsia="zh-CN"/>
        </w:rPr>
      </w:pPr>
    </w:p>
    <w:p>
      <w:pPr>
        <w:pStyle w:val="22"/>
        <w:tabs>
          <w:tab w:val="clear" w:pos="0"/>
        </w:tabs>
        <w:bidi w:val="0"/>
        <w:rPr>
          <w:rFonts w:hint="default" w:ascii="Times New Roman" w:hAnsi="Times New Roman" w:cs="Times New Roman"/>
          <w:color w:val="000000"/>
          <w:highlight w:val="none"/>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施工总进度安排</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工程规模、项目组成和建筑物的特点，本工程施工总工期按8个月进行安排，从第一年1月份开始，至当年8月底结束。工程施工包括筹建期、工程准备期、主体工程施工期和工程完建期四个阶段，工程筹建期主要进行工程勘测设计、项目审批、施工征地、招投标和部分临时工程如进场道路修建和场外输电线路架设等工作，不计入工程总工期内。工程准备期、主体工程施工期和工程完建期构成工程总工期。具体施工进度详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_Ref1802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表2.1-7</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（1）准备工作</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准备工程包括场内外交通、施工导流、风水电系统和临时房屋建筑等。风、水、电、场内交通和临时房屋建筑大部分安排在第一年1月份施工。工程主要在管道下穿河道段等处进行施工导流。施工导流安排在第一年1月份至3月份进行。</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主体工程</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eastAsia="zh-CN"/>
        </w:rPr>
        <w:t>本工程主体工程为管道施工，管道可分区分段同时进行施工，管道施工按土方开挖、中粗砂垫层、管道安装、镇墩阀井砼浇筑、回填中粗砂、回填土方等工作依次进行，第一年4月上旬开始施工，第二年8月底完成所有项目的施工。</w:t>
      </w:r>
    </w:p>
    <w:p>
      <w:pPr>
        <w:pStyle w:val="21"/>
        <w:bidi w:val="0"/>
        <w:rPr>
          <w:rFonts w:hint="default" w:ascii="Times New Roman" w:hAnsi="Times New Roman" w:cs="Times New Roman"/>
          <w:highlight w:val="none"/>
          <w:lang w:eastAsia="zh-CN"/>
        </w:rPr>
      </w:pPr>
      <w:bookmarkStart w:id="73" w:name="_Ref1802"/>
      <w:bookmarkEnd w:id="73"/>
      <w:r>
        <w:rPr>
          <w:rFonts w:hint="default" w:ascii="Times New Roman" w:hAnsi="Times New Roman" w:cs="Times New Roman"/>
          <w:highlight w:val="none"/>
          <w:lang w:val="en-US" w:eastAsia="zh-CN"/>
        </w:rPr>
        <w:t>施工总进度表</w:t>
      </w:r>
    </w:p>
    <w:tbl>
      <w:tblPr>
        <w:tblStyle w:val="17"/>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9"/>
        <w:gridCol w:w="752"/>
        <w:gridCol w:w="752"/>
        <w:gridCol w:w="752"/>
        <w:gridCol w:w="752"/>
        <w:gridCol w:w="752"/>
        <w:gridCol w:w="752"/>
        <w:gridCol w:w="752"/>
        <w:gridCol w:w="752"/>
        <w:gridCol w:w="752"/>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942" w:type="pct"/>
            <w:tcBorders>
              <w:tl2br w:val="single" w:color="auto" w:sz="4" w:space="0"/>
            </w:tcBorders>
            <w:noWrap w:val="0"/>
            <w:vAlign w:val="center"/>
          </w:tcPr>
          <w:p>
            <w:pPr>
              <w:pStyle w:val="19"/>
              <w:bidi w:val="0"/>
              <w:jc w:val="right"/>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月份</w:t>
            </w:r>
          </w:p>
          <w:p>
            <w:pPr>
              <w:ind w:left="0" w:leftChars="0" w:firstLine="0" w:firstLineChars="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工程内容</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11月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12月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3月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4月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5月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6月</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7月</w:t>
            </w: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8月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 w:val="21"/>
                <w:szCs w:val="20"/>
                <w:highlight w:val="none"/>
              </w:rPr>
              <mc:AlternateContent>
                <mc:Choice Requires="wpg">
                  <w:drawing>
                    <wp:anchor distT="0" distB="0" distL="114300" distR="114300" simplePos="0" relativeHeight="251696128" behindDoc="0" locked="0" layoutInCell="1" allowOverlap="1">
                      <wp:simplePos x="0" y="0"/>
                      <wp:positionH relativeFrom="column">
                        <wp:posOffset>1041400</wp:posOffset>
                      </wp:positionH>
                      <wp:positionV relativeFrom="paragraph">
                        <wp:posOffset>114300</wp:posOffset>
                      </wp:positionV>
                      <wp:extent cx="4781550" cy="1115695"/>
                      <wp:effectExtent l="0" t="9525" r="0" b="17780"/>
                      <wp:wrapNone/>
                      <wp:docPr id="8" name="组合 8"/>
                      <wp:cNvGraphicFramePr/>
                      <a:graphic xmlns:a="http://schemas.openxmlformats.org/drawingml/2006/main">
                        <a:graphicData uri="http://schemas.microsoft.com/office/word/2010/wordprocessingGroup">
                          <wpg:wgp>
                            <wpg:cNvGrpSpPr/>
                            <wpg:grpSpPr>
                              <a:xfrm>
                                <a:off x="0" y="0"/>
                                <a:ext cx="4781550" cy="1115695"/>
                                <a:chOff x="3340" y="267708"/>
                                <a:chExt cx="7530" cy="1757"/>
                              </a:xfrm>
                            </wpg:grpSpPr>
                            <wps:wsp>
                              <wps:cNvPr id="1" name="直接连接符 1"/>
                              <wps:cNvCnPr/>
                              <wps:spPr>
                                <a:xfrm>
                                  <a:off x="3340" y="267708"/>
                                  <a:ext cx="750" cy="1"/>
                                </a:xfrm>
                                <a:prstGeom prst="line">
                                  <a:avLst/>
                                </a:prstGeom>
                                <a:ln w="19050" cap="flat" cmpd="sng">
                                  <a:solidFill>
                                    <a:srgbClr val="000000"/>
                                  </a:solidFill>
                                  <a:prstDash val="solid"/>
                                  <a:headEnd type="none" w="med" len="med"/>
                                  <a:tailEnd type="none" w="med" len="med"/>
                                </a:ln>
                              </wps:spPr>
                              <wps:bodyPr upright="1"/>
                            </wps:wsp>
                            <wps:wsp>
                              <wps:cNvPr id="3" name="直接连接符 3"/>
                              <wps:cNvCnPr/>
                              <wps:spPr>
                                <a:xfrm>
                                  <a:off x="4090" y="268069"/>
                                  <a:ext cx="750" cy="1"/>
                                </a:xfrm>
                                <a:prstGeom prst="line">
                                  <a:avLst/>
                                </a:prstGeom>
                                <a:ln w="19050" cap="flat" cmpd="sng">
                                  <a:solidFill>
                                    <a:srgbClr val="000000"/>
                                  </a:solidFill>
                                  <a:prstDash val="solid"/>
                                  <a:headEnd type="none" w="med" len="med"/>
                                  <a:tailEnd type="none" w="med" len="med"/>
                                </a:ln>
                              </wps:spPr>
                              <wps:bodyPr upright="1"/>
                            </wps:wsp>
                            <wps:wsp>
                              <wps:cNvPr id="4" name="直接连接符 4"/>
                              <wps:cNvCnPr/>
                              <wps:spPr>
                                <a:xfrm>
                                  <a:off x="4855" y="268414"/>
                                  <a:ext cx="750" cy="1"/>
                                </a:xfrm>
                                <a:prstGeom prst="line">
                                  <a:avLst/>
                                </a:prstGeom>
                                <a:ln w="19050" cap="flat" cmpd="sng">
                                  <a:solidFill>
                                    <a:srgbClr val="000000"/>
                                  </a:solidFill>
                                  <a:prstDash val="solid"/>
                                  <a:headEnd type="none" w="med" len="med"/>
                                  <a:tailEnd type="none" w="med" len="med"/>
                                </a:ln>
                              </wps:spPr>
                              <wps:bodyPr upright="1"/>
                            </wps:wsp>
                            <wps:wsp>
                              <wps:cNvPr id="5" name="直接连接符 5"/>
                              <wps:cNvCnPr/>
                              <wps:spPr>
                                <a:xfrm>
                                  <a:off x="5590" y="268774"/>
                                  <a:ext cx="1500" cy="1"/>
                                </a:xfrm>
                                <a:prstGeom prst="line">
                                  <a:avLst/>
                                </a:prstGeom>
                                <a:ln w="19050" cap="flat" cmpd="sng">
                                  <a:solidFill>
                                    <a:srgbClr val="000000"/>
                                  </a:solidFill>
                                  <a:prstDash val="solid"/>
                                  <a:headEnd type="none" w="med" len="med"/>
                                  <a:tailEnd type="none" w="med" len="med"/>
                                </a:ln>
                              </wps:spPr>
                              <wps:bodyPr upright="1"/>
                            </wps:wsp>
                            <wps:wsp>
                              <wps:cNvPr id="6" name="直接连接符 6"/>
                              <wps:cNvCnPr/>
                              <wps:spPr>
                                <a:xfrm>
                                  <a:off x="7120" y="269120"/>
                                  <a:ext cx="2985" cy="1"/>
                                </a:xfrm>
                                <a:prstGeom prst="line">
                                  <a:avLst/>
                                </a:prstGeom>
                                <a:ln w="19050" cap="flat" cmpd="sng">
                                  <a:solidFill>
                                    <a:srgbClr val="000000"/>
                                  </a:solidFill>
                                  <a:prstDash val="solid"/>
                                  <a:headEnd type="none" w="med" len="med"/>
                                  <a:tailEnd type="none" w="med" len="med"/>
                                </a:ln>
                              </wps:spPr>
                              <wps:bodyPr upright="1"/>
                            </wps:wsp>
                            <wps:wsp>
                              <wps:cNvPr id="7" name="直接连接符 7"/>
                              <wps:cNvCnPr/>
                              <wps:spPr>
                                <a:xfrm>
                                  <a:off x="10120" y="269465"/>
                                  <a:ext cx="750" cy="1"/>
                                </a:xfrm>
                                <a:prstGeom prst="line">
                                  <a:avLst/>
                                </a:prstGeom>
                                <a:ln w="19050"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82pt;margin-top:9pt;height:87.85pt;width:376.5pt;z-index:251696128;mso-width-relative:page;mso-height-relative:page;" coordorigin="3340,267708" coordsize="7530,1757" o:gfxdata="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DzOVOd2AAAAAoBAAAPAAAAAAAAAAEAIAAAACIAAABkcnMvZG93bnJldi54bWxQSwEC&#10;FAAUAAAACACHTuJA3hUX4hEDAABWDwAADgAAAAAAAAABACAAAAAnAQAAZHJzL2Uyb0RvYy54bWxQ&#10;SwUGAAAAAAYABgBZAQAAqgYAAAAA&#10;">
                      <o:lock v:ext="edit" aspectratio="f"/>
                      <v:line id="_x0000_s1026" o:spid="_x0000_s1026" o:spt="20" style="position:absolute;left:3340;top:267708;height:1;width:750;" filled="f" stroked="t" coordsize="21600,21600" o:gfxdata="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Hyn7sAAADa&#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line>
                      <v:line id="_x0000_s1026" o:spid="_x0000_s1026" o:spt="20" style="position:absolute;left:4090;top:268069;height:1;width:750;" filled="f" stroked="t" coordsize="21600,21600" o:gfxdata="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yXO8AAAA&#10;2g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line id="_x0000_s1026" o:spid="_x0000_s1026" o:spt="20" style="position:absolute;left:4855;top:268414;height:1;width:750;" filled="f" stroked="t" coordsize="21600,21600" o:gfxdata="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FlEHugAAANoA&#10;AAAPAAAAAAAAAAEAIAAAACIAAABkcnMvZG93bnJldi54bWxQSwECFAAUAAAACACHTuJAMy8FnjsA&#10;AAA5AAAAEAAAAAAAAAABACAAAAAJAQAAZHJzL3NoYXBleG1sLnhtbFBLBQYAAAAABgAGAFsBAACz&#10;AwAAAAA=&#10;">
                        <v:fill on="f" focussize="0,0"/>
                        <v:stroke weight="1.5pt" color="#000000" joinstyle="round"/>
                        <v:imagedata o:title=""/>
                        <o:lock v:ext="edit" aspectratio="f"/>
                      </v:line>
                      <v:line id="_x0000_s1026" o:spid="_x0000_s1026" o:spt="20" style="position:absolute;left:5590;top:268774;height:1;width:1500;" filled="f" stroked="t" coordsize="21600,21600" o:gfxdata="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Vr0nLsAAADa&#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line>
                      <v:line id="_x0000_s1026" o:spid="_x0000_s1026" o:spt="20" style="position:absolute;left:7120;top:269120;height:1;width:2985;" filled="f" stroked="t" coordsize="21600,21600" o:gfxdata="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iGrrugAAANoA&#10;AAAPAAAAAAAAAAEAIAAAACIAAABkcnMvZG93bnJldi54bWxQSwECFAAUAAAACACHTuJAMy8FnjsA&#10;AAA5AAAAEAAAAAAAAAABACAAAAAJAQAAZHJzL3NoYXBleG1sLnhtbFBLBQYAAAAABgAGAFsBAACz&#10;AwAAAAA=&#10;">
                        <v:fill on="f" focussize="0,0"/>
                        <v:stroke weight="1.5pt" color="#000000" joinstyle="round"/>
                        <v:imagedata o:title=""/>
                        <o:lock v:ext="edit" aspectratio="f"/>
                      </v:line>
                      <v:line id="_x0000_s1026" o:spid="_x0000_s1026" o:spt="20" style="position:absolute;left:10120;top:269465;height:1;width:750;" filled="f" stroked="t" coordsize="21600,21600" o:gfxdata="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7Ez3C8AAAA&#10;2g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group>
                  </w:pict>
                </mc:Fallback>
              </mc:AlternateContent>
            </w:r>
            <w:r>
              <w:rPr>
                <w:rFonts w:hint="default" w:ascii="Times New Roman" w:hAnsi="Times New Roman" w:cs="Times New Roman"/>
                <w:kern w:val="0"/>
                <w:szCs w:val="20"/>
                <w:highlight w:val="none"/>
                <w:lang w:val="en-US" w:eastAsia="zh-CN"/>
              </w:rPr>
              <w:t>初步设计</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施工招标</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准备工作</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输水管道</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配水管道</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2"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扫尾、验收</w:t>
            </w: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05"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c>
          <w:tcPr>
            <w:tcW w:w="41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eastAsia="zh-CN"/>
              </w:rPr>
            </w:pPr>
          </w:p>
        </w:tc>
      </w:tr>
    </w:tbl>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淹没、占地及移民安置规划</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概况</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鼎市管阳片区农村安全饮水管线走向布置图和工程征地范围图，本工程建设征地涉及福建省福鼎市管阳镇等。工程建设征占地面积156.56亩，其中永久征地面积0.14亩，施工临时用地面积156.42亩。。工程建设征地影响范围内主要涉及林地、其他土地及市政用地等项目。</w:t>
      </w:r>
    </w:p>
    <w:p>
      <w:pPr>
        <w:rPr>
          <w:rFonts w:hint="default" w:ascii="Times New Roman" w:hAnsi="Times New Roman" w:eastAsia="宋体" w:cs="Times New Roman"/>
          <w:color w:val="000000"/>
          <w:kern w:val="0"/>
          <w:szCs w:val="24"/>
          <w:highlight w:val="none"/>
          <w:lang w:bidi="ar"/>
        </w:rPr>
      </w:pPr>
      <w:r>
        <w:rPr>
          <w:rFonts w:hint="default" w:ascii="Times New Roman" w:hAnsi="Times New Roman" w:eastAsia="宋体" w:cs="Times New Roman"/>
          <w:color w:val="000000"/>
          <w:kern w:val="0"/>
          <w:szCs w:val="24"/>
          <w:highlight w:val="none"/>
          <w:lang w:bidi="ar"/>
        </w:rPr>
        <w:t>本工程不涉及</w:t>
      </w:r>
      <w:r>
        <w:rPr>
          <w:rFonts w:hint="default" w:ascii="Times New Roman" w:hAnsi="Times New Roman" w:cs="Times New Roman"/>
          <w:color w:val="000000"/>
          <w:kern w:val="0"/>
          <w:szCs w:val="24"/>
          <w:highlight w:val="none"/>
          <w:lang w:val="en-US" w:eastAsia="zh-CN" w:bidi="ar"/>
        </w:rPr>
        <w:t>淹没、</w:t>
      </w:r>
      <w:r>
        <w:rPr>
          <w:rFonts w:hint="default" w:ascii="Times New Roman" w:hAnsi="Times New Roman" w:eastAsia="宋体" w:cs="Times New Roman"/>
          <w:color w:val="000000"/>
          <w:kern w:val="0"/>
          <w:szCs w:val="24"/>
          <w:highlight w:val="none"/>
          <w:lang w:bidi="ar"/>
        </w:rPr>
        <w:t>移民安置问题。</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建设征地处理范围</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本工程永久征地主要涉及加压泵站3座。本工程永久征地处理范围遵循以下原则：</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（1）以工程总布置拟定的构（建）筑物征地红线为界；</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（2）在满足建设用地范围情况下，尽量考虑减少房屋征收。</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实物调查</w:t>
      </w:r>
    </w:p>
    <w:p>
      <w:pPr>
        <w:bidi w:val="0"/>
        <w:rPr>
          <w:rFonts w:hint="default" w:ascii="Times New Roman" w:hAnsi="Times New Roman" w:eastAsia="宋体"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1</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实物调查内容和方法</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水利水电工程建设征地移民安置规划设计规范》（SL290-2009）、《水利水电工程建设征地移民实物调查规范》（SL442-2009）的规定和要求，对福鼎市管阳片区农村安全饮水工程（福鼎市城乡供水一体化二期）建设征地范围内的各项实物进行调查。</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建设征地实物调查内容主要包括农村调查、专业项目设施调查和社会经济调查三部分，调查方法如下：</w:t>
      </w:r>
    </w:p>
    <w:p>
      <w:pPr>
        <w:ind w:firstLine="48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lang w:val="en-US" w:eastAsia="zh-CN"/>
        </w:rPr>
        <w:t>①</w:t>
      </w:r>
      <w:r>
        <w:rPr>
          <w:rFonts w:hint="default" w:ascii="Times New Roman" w:hAnsi="Times New Roman" w:cs="Times New Roman"/>
          <w:b w:val="0"/>
          <w:bCs w:val="0"/>
          <w:color w:val="000000"/>
          <w:highlight w:val="none"/>
        </w:rPr>
        <w:t>农村调查</w:t>
      </w:r>
    </w:p>
    <w:p>
      <w:pPr>
        <w:ind w:firstLine="480"/>
        <w:rPr>
          <w:rFonts w:hint="default" w:ascii="Times New Roman" w:hAnsi="Times New Roman" w:eastAsia="宋体" w:cs="Times New Roman"/>
          <w:b w:val="0"/>
          <w:bCs w:val="0"/>
          <w:color w:val="000000"/>
          <w:highlight w:val="none"/>
          <w:u w:val="single"/>
          <w:lang w:val="en-US" w:eastAsia="zh-CN"/>
        </w:rPr>
      </w:pPr>
      <w:r>
        <w:rPr>
          <w:rFonts w:hint="default" w:ascii="Times New Roman" w:hAnsi="Times New Roman" w:cs="Times New Roman"/>
          <w:b w:val="0"/>
          <w:bCs w:val="0"/>
          <w:color w:val="000000"/>
          <w:highlight w:val="none"/>
          <w:u w:val="single"/>
        </w:rPr>
        <w:t>土地调查</w:t>
      </w:r>
      <w:r>
        <w:rPr>
          <w:rFonts w:hint="default" w:ascii="Times New Roman" w:hAnsi="Times New Roman" w:cs="Times New Roman"/>
          <w:b w:val="0"/>
          <w:bCs w:val="0"/>
          <w:color w:val="000000"/>
          <w:highlight w:val="none"/>
          <w:u w:val="single"/>
          <w:lang w:eastAsia="zh-CN"/>
        </w:rPr>
        <w:t>：</w:t>
      </w:r>
    </w:p>
    <w:p>
      <w:pPr>
        <w:ind w:firstLine="48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耕园地面积调查，以工程区1：10000地形图和土地利用现状图为基础，现场确认征地范围及地类界限，按行政隶属分类调查统计面积。林地调查由以1：10000林相图和林业资源普查资料为基础，以林地小班为单位，按林种、树种、蓄积量等林地指标进行登记汇总。其他土地调查以1：10000地形图为基础，调查统计面积。</w:t>
      </w:r>
    </w:p>
    <w:p>
      <w:pPr>
        <w:ind w:firstLine="48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lang w:val="en-US" w:eastAsia="zh-CN"/>
        </w:rPr>
        <w:t>②</w:t>
      </w:r>
      <w:r>
        <w:rPr>
          <w:rFonts w:hint="default" w:ascii="Times New Roman" w:hAnsi="Times New Roman" w:cs="Times New Roman"/>
          <w:b w:val="0"/>
          <w:bCs w:val="0"/>
          <w:color w:val="000000"/>
          <w:highlight w:val="none"/>
        </w:rPr>
        <w:t>专业项目设施调查</w:t>
      </w:r>
    </w:p>
    <w:p>
      <w:pPr>
        <w:ind w:firstLine="48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建设征地范围涉及到通讯等专业项目设施，按照《实物调查规范》要求，结合相关专业项目设施的技术标准，调查项目的影响程度、数量、规模、等级等各项指标。</w:t>
      </w:r>
    </w:p>
    <w:p>
      <w:pPr>
        <w:ind w:firstLine="48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lang w:val="en-US" w:eastAsia="zh-CN"/>
        </w:rPr>
        <w:t>③</w:t>
      </w:r>
      <w:r>
        <w:rPr>
          <w:rFonts w:hint="default" w:ascii="Times New Roman" w:hAnsi="Times New Roman" w:cs="Times New Roman"/>
          <w:b w:val="0"/>
          <w:bCs w:val="0"/>
          <w:color w:val="000000"/>
          <w:highlight w:val="none"/>
        </w:rPr>
        <w:t>社会经济调查及设计资料收集</w:t>
      </w:r>
    </w:p>
    <w:p>
      <w:pPr>
        <w:bidi w:val="0"/>
        <w:rPr>
          <w:rFonts w:hint="default" w:ascii="Times New Roman" w:hAnsi="Times New Roman" w:cs="Times New Roman"/>
          <w:b w:val="0"/>
          <w:bCs w:val="0"/>
          <w:color w:val="000000"/>
          <w:highlight w:val="none"/>
        </w:rPr>
      </w:pPr>
      <w:r>
        <w:rPr>
          <w:rFonts w:hint="default" w:ascii="Times New Roman" w:hAnsi="Times New Roman" w:cs="Times New Roman"/>
          <w:b w:val="0"/>
          <w:bCs w:val="0"/>
          <w:color w:val="000000"/>
          <w:highlight w:val="none"/>
        </w:rPr>
        <w:t>收集项目建设影响区涉及到的福鼎市管阳镇乡镇社会经济现状、发展计划等有关文件资料。</w:t>
      </w:r>
    </w:p>
    <w:p>
      <w:pPr>
        <w:bidi w:val="0"/>
        <w:rPr>
          <w:rFonts w:hint="default" w:ascii="Times New Roman" w:hAnsi="Times New Roman" w:cs="Times New Roman"/>
          <w:b/>
          <w:bCs/>
          <w:color w:val="000000"/>
          <w:highlight w:val="none"/>
          <w:lang w:val="en-US" w:eastAsia="zh-CN"/>
        </w:rPr>
      </w:pP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2</w:t>
      </w:r>
      <w:r>
        <w:rPr>
          <w:rFonts w:hint="default" w:ascii="Times New Roman" w:hAnsi="Times New Roman" w:cs="Times New Roman"/>
          <w:b/>
          <w:bCs/>
          <w:color w:val="000000"/>
          <w:highlight w:val="none"/>
          <w:lang w:eastAsia="zh-CN"/>
        </w:rPr>
        <w:t>）</w:t>
      </w:r>
      <w:r>
        <w:rPr>
          <w:rFonts w:hint="default" w:ascii="Times New Roman" w:hAnsi="Times New Roman" w:cs="Times New Roman"/>
          <w:b/>
          <w:bCs/>
          <w:color w:val="000000"/>
          <w:highlight w:val="none"/>
          <w:lang w:val="en-US" w:eastAsia="zh-CN"/>
        </w:rPr>
        <w:t>实物调查成果</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①工程永久征地</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工程建设征收土地面积为0.14亩，涉及的地类主要有林地0.14亩</w:t>
      </w:r>
      <w:r>
        <w:rPr>
          <w:rFonts w:hint="default" w:ascii="Times New Roman" w:hAnsi="Times New Roman" w:cs="Times New Roman"/>
          <w:color w:val="000000"/>
          <w:highlight w:val="none"/>
        </w:rPr>
        <w:t>。</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②施工临时用地</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工程施工临时征用土地面积153.87亩，涉及的地类主要有耕地7.07亩、林地5.40亩、未利用地27.59亩、交通运输用地113.81亩。</w:t>
      </w:r>
    </w:p>
    <w:p>
      <w:pPr>
        <w:bidi w:val="0"/>
        <w:rPr>
          <w:rFonts w:hint="default" w:ascii="Times New Roman" w:hAnsi="Times New Roman" w:cs="Times New Roman"/>
          <w:color w:val="000000"/>
          <w:highlight w:val="none"/>
        </w:rPr>
      </w:pPr>
    </w:p>
    <w:p>
      <w:pPr>
        <w:pStyle w:val="21"/>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工程建设永久征地主要实物分村汇总表</w:t>
      </w:r>
    </w:p>
    <w:tbl>
      <w:tblPr>
        <w:tblStyle w:val="1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3750"/>
        <w:gridCol w:w="1320"/>
        <w:gridCol w:w="31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序号</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项目</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单位</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农村部分</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（一）</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永久征地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耕地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水田、旱地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林地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园地、经济林</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临时用地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耕地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kern w:val="0"/>
                <w:szCs w:val="20"/>
                <w:highlight w:val="none"/>
                <w:lang w:val="en-US" w:eastAsia="zh-CN"/>
              </w:rPr>
              <w:t>水田、旱地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7.07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w:t>
            </w:r>
          </w:p>
        </w:tc>
        <w:tc>
          <w:tcPr>
            <w:tcW w:w="3750" w:type="dxa"/>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kern w:val="0"/>
                <w:szCs w:val="20"/>
                <w:highlight w:val="none"/>
                <w:lang w:val="en-US" w:eastAsia="zh-CN"/>
              </w:rPr>
              <w:t>林地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kern w:val="0"/>
                <w:szCs w:val="20"/>
                <w:highlight w:val="none"/>
                <w:lang w:val="en-US" w:eastAsia="zh-CN"/>
              </w:rPr>
              <w:t>园地、经济林</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ind w:firstLine="0" w:firstLineChars="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未利用地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24.14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3</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交通运输用地</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亩</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119.81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二</w:t>
            </w: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专业项目</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p>
        </w:tc>
        <w:tc>
          <w:tcPr>
            <w:tcW w:w="375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交通设施</w:t>
            </w:r>
          </w:p>
        </w:tc>
        <w:tc>
          <w:tcPr>
            <w:tcW w:w="1320"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km</w:t>
            </w:r>
          </w:p>
        </w:tc>
        <w:tc>
          <w:tcPr>
            <w:tcW w:w="3175" w:type="dxa"/>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31.95</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农村移民安置计划</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根据实物调查成果，本工程未涉及生产安置人口及搬迁安置人口。</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下泄生态环境流量的工程措施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为保证下泄生态流量，应在上安水库、天竹水库、龙井溪取水点的挡水坝内死水位以下2 m处设置下泄流量放水管，并各安装一套在线计量及视频监控设施用于监控下泄流量情况，以确保本项目运行期下泄生态流量，维持和保障减水段的生态用水。在线监控设施与本工程同时建设，并制定生态流量下泄的管理规程，可由各水厂负责人负责，并进行数据的存储、分析、统计和整理。此外，考虑到本项目的实际情况，建设单位可因地制宜，充分发挥当地居民的监督作用，如发现断流现象应及时向当地有关部门报告。</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土石方平衡</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w:t>
      </w:r>
      <w:r>
        <w:rPr>
          <w:rFonts w:hint="default" w:ascii="Times New Roman" w:hAnsi="Times New Roman" w:cs="Times New Roman"/>
          <w:color w:val="000000"/>
          <w:highlight w:val="none"/>
        </w:rPr>
        <w:t>本工程主体工程土石方明挖总量约2.65万m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rPr>
        <w:t>，其中管道部分开挖土方可以堆在开挖管沟两侧用于主体工程回填和场地回填，泵站开挖土方用于土方回填及填筑围堰，尚余1.12万m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rPr>
        <w:t>需作为弃渣处理。弃渣可以结合低洼地回填利用一部分，其余可运至当地主管部门指定的位置堆放。</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水土保持</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项目区水土流失现状</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根据《福鼎市管阳片区农村安全饮水工程管网部分（福鼎市城乡供水一体化二期）初步设计报告》，项目区所属土壤类型为南方丘陵红土壤区，其土壤侵蚀强度容许值为500 t（km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*a）。从总体上看，本工程项目区内原生地表水土流失以轻度为主，水土流失类型主要为水蚀。</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本项目范围内地形属中低山丘陵地貌，植被状况好，植被覆盖率高，现状土壤侵蚀基本上均属微度。各项目工程均位于原地面坡度5°~35°的丘陵间谷地及乡道、村道、县道边沿，在侵蚀强度分级上属轻度。</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水土流失重点防治区划情况</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水利部办公厅关于印发&lt;全国水土保持规划国家级水土流失重点预防和重点治理区复核划分成果&gt;的通知》（办水保〔2013〕188号）和《福建省水土保持规划（2016-2030年）》，工程所在的福鼎市不属国家水土流失重点防治区。</w:t>
      </w:r>
    </w:p>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水土流失防治责任范围与防治分区</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（1）防治责任范围</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本工程水土流失防治责任范围10.27 hm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，其中永久占地0.01 hm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，临时占地10.26 hm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（2）防治分区</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生产建设项目水土保持技术标准》（GB50433-2018），根据工程地形地貌、工程布置、施工布局和水土流失特点，以及采取水土保持措施不同等因素，经分析将水土流失防治责任范围划分为主体工程区、施工生产生活区、施工 道路区、弃渣场等4个防治分区。</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水土流失分区防治措施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（1）主体工程区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本区情况，补充工程措施有工程区内表土剥离，绿化区域表土回覆、土地整治、工程区道路排水、沉沙等，补充景观绿化，植被恢复撒播草籽绿化，补充临时措施有表土堆置的临时拦挡，工程区裸露地表和表土施工期临时堆置的临时覆盖，表土临时堆置周围区域和场区的施工期临时排水、沉沙。</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①工程措施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在土石方开挖前剥离占地范围内表土，本方案对占用林地区域剥离表土，表土剥离厚度按0.20 m计表土剥离用于后期绿化覆土。根据表土厚度及分布均匀程度和施工条件等因素，确定本区表土剥离的方式为人工辅助机械剥离。剥离表土堆存于下游弃渣场征用地范围内，并采取临时防护措施。 表土回覆根据土地利用方向确定，本区后期表土回覆主要用于草皮护坡绿化覆土，根据主体工程设计，根据规范要求，草地（不含草坪）覆土厚度≥0.20 m。</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②植物措施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主体工程区植被恢复与建设工程级别为2级，应根据生态防护和环境保护要求，按生态公益林标准执行，应有景观、游憩等功能要求的，结合工程所在的的园林绿化工程标准，在生态公益林标准基础上适度提高，结合工程所在的的园林绿化工程标准进行景观绿化；主体工程区植被恢复与建设工程级别为1级，应根据生态保护和环境保护要求，按生态公益林标准执行进行植被恢复。</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③临时施工工程</w:t>
      </w:r>
    </w:p>
    <w:p>
      <w:pPr>
        <w:rPr>
          <w:rFonts w:hint="default" w:ascii="Times New Roman" w:hAnsi="Times New Roman" w:cs="Times New Roman"/>
          <w:color w:val="000000"/>
          <w:highlight w:val="none"/>
          <w:lang w:val="en-US" w:eastAsia="zh-CN"/>
        </w:rPr>
      </w:pP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土石方开挖前进行临时拦挡，防止坡面开挖土石方进入河流，临时拦挡采用袋装土挡土墙，材料为开挖土方，袋装土挡墙高1.00 m，顶宽0.50 m，内外坡坡度均为1：1，内侧堆满后应及时清理。</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在开挖过程中应及时排除坡面汇水，临时排水沟为土质梯形排水沟，尺寸为0.30 m×0.30 m（B×H，B为底宽，H为底深，下同），边坡系数为1，底坡为0.01。</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开挖过程中裸露面等应根据施工时序安排并结合具体情况，遇到下雨天气可采用彩条布或塑料薄膜等进行苫盖，防止水蚀，减少水土流失，对临时苫盖材料可重复利用。</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（2）施工生产生活区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本区情况，补充工程措施有工程区内表土剥离、表土回覆、土地整治，植物措施有工程区植被恢复，补充临时措施有表土堆置的临时拦挡，工程区裸露地表、边坡和表土施工期临时堆置的临时覆盖，施工期工程区临时排水及沉沙。</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eastAsia="宋体" w:cs="Times New Roman"/>
          <w:color w:val="000000"/>
          <w:kern w:val="0"/>
          <w:sz w:val="24"/>
          <w:szCs w:val="24"/>
          <w:highlight w:val="none"/>
          <w:lang w:val="en-US" w:eastAsia="zh-CN" w:bidi="ar"/>
        </w:rPr>
        <w:t>工程措施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本区占地为耕地、园地和林地，表土剥离厚度按耕地和园地0.40 m、林地0.20 m计，表土剥离用于后期复耕、复园和绿化覆土。根据表土厚度及分布均匀程度和施工条件等因素，确定本区表土剥离的方式为人工辅助机械剥离。剥离表土堆存于施工区征用地范围内，并采取临时防护措施。本区在施工结束后对占用 耕地和园地进行复耕和复园，对占用林地进行植被恢复，各用地类型覆土厚度复耕和复园0.40 m，林地0.20 m。</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结束后对施工区进行全面整地，包括平整土地、施肥、翻地、碎土等，整地力求平整。扰动后凹凸不平的地面可利用机械削凸填凹，进行粗平整。扰动后地面相对平整或粗平整后的土地，压实度较高的应采取机械翻松。采取机械或人工辅助机械进行细平整。</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eastAsia="宋体" w:cs="Times New Roman"/>
          <w:color w:val="000000"/>
          <w:kern w:val="0"/>
          <w:sz w:val="24"/>
          <w:szCs w:val="24"/>
          <w:highlight w:val="none"/>
          <w:lang w:val="en-US" w:eastAsia="zh-CN" w:bidi="ar"/>
        </w:rPr>
        <w:t>植物措施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本工程植被恢复与建设工程级别为3级，应根据生态保护和环境保护要求，按生态公益林标准执行，并满足水利水电行业要求。</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③临时措施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施工区施工临时工程包括拦挡、排水和覆盖等。施工区剥离表土需要进行临时拦挡，临时拦挡采用袋装土挡土墙，材料为剥离的表土，袋装土挡墙高1.00 m，顶宽0.50 m，内外坡坡度均为1：1，堆土堆高约1.50～3.00 m，堆土坡度控制为1：2。袋装土挡墙外侧设临时排水沟，临时排水沟接场区外侧临时排水沟。</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本工程区选择临时排水沟为土质梯形排水沟，表土堆场四周排水沟尺寸为0.30 m×0.30 m（B×H），场区四周排水沟尺寸为0.50 m×0.50 m（B×H），边坡系数为1，底坡为0.01，排水沟出口接沉砂池，沉砂池尺寸为4.00 m×2.00 m×2.00 m（长×宽×深），M7.5浆砌块石结构，壁厚30cm，经沉砂池沉淀后排入周边自然沟渠。</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施工区开挖、回填裸露面和表土堆置等遇到下雨天气可采用彩条布或塑料薄膜等进行苫盖，防止风蚀和水蚀，减少水土流失，对临时苫盖材料进行重复利用。</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（3）施工道路区</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根据本区情况，补充工程措施有工程区内表土剥离、表土回覆、土地整治，植物措施有工程区植被恢复，补充临时措施有表土堆置的临时拦挡，工程区裸露地表、边坡和表土施工期临时堆置的临时覆盖，施工期工程区临时排水及沉沙。</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①工程措施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在施工道路路基开挖前剥离占地范围内表土，对占用耕地和林地区域剥离表土，表土剥离厚度按耕地0.40 m、林地0.20 m计，表土剥离用于后期复耕和绿化覆土。根据表土厚度及分布均匀程度和施工条件等因素，确定本区表土剥离的方式为人工辅助机械剥离。剥离表土堆存于道路路基内侧征用地范围内，并采取临时防护措施，并及时绿化回覆利用。表土回覆根据土地利用方向确定，本区后期表土回覆主要用于复耕和绿化覆土，复耕部分覆土厚度0.40 m，施工道路绿化主要为新建段占用林地恢复植被和扩建道路两侧行道树和挖、填边坡绿化，根据规范要求，一般覆土深度林地≥0.40 m，草地（不含草坪）≥0.20 m。本方案根据本区表土情况，本区新建段恢复植被覆土厚度按0.4 m计，扩建段两侧行道树绿化覆土厚度按0.4 m计，上下边坡绿化覆土厚度按0.20 m，剥离表土可满足绿化覆土需要。</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在道路汇水侧设排水边沟，排边坡和路面汇水，排水沟采用土质结构，梯形断面，底宽0.5 m，深0.5 m，边坡系数为1，底坡为0.01，每隔约250 m设沉砂池一座，经沉沙后汇入下游河道，沉沙池尺寸为2.00 m×1.00 m×1.00 m（长×宽×深），沉沙池采用M7.5浆砌块石砌筑，衬砌厚30cm。</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②植物措施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施工道路植被恢复与建设工程级别为3级，应根据生态保护和环境保护要求，按生态公益林标准执行。扩建段道路两侧种植行道树和在行道树间灌木，推荐的行道树为香樟或桂花树，株距3.00 m，灌木为黄栀子、红叶石楠，株距为1.00 m，边坡边坡直接覆土</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撒播草籽进行绿化，撒播密度8 g/m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lang w:val="en-US" w:eastAsia="zh-CN"/>
        </w:rPr>
        <w:t>，推荐草种有马尼拉、狗牙根、百喜草、白三叶等。</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新建段原占地类型为林地，后期恢复为林地，本区进行栽植乔木并撒播草籽进行植被恢复，推荐乔木有山苍子，草种有马尼拉、狗牙根、百喜草、白三叶等。</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③</w:t>
      </w:r>
      <w:r>
        <w:rPr>
          <w:rFonts w:hint="default" w:ascii="Times New Roman" w:hAnsi="Times New Roman" w:eastAsia="宋体" w:cs="Times New Roman"/>
          <w:color w:val="000000"/>
          <w:kern w:val="0"/>
          <w:sz w:val="24"/>
          <w:szCs w:val="24"/>
          <w:highlight w:val="none"/>
          <w:lang w:val="en-US" w:eastAsia="zh-CN" w:bidi="ar"/>
        </w:rPr>
        <w:t>施工临时工程</w:t>
      </w:r>
    </w:p>
    <w:p>
      <w:pPr>
        <w:keepNext w:val="0"/>
        <w:keepLines w:val="0"/>
        <w:widowControl/>
        <w:suppressLineNumbers w:val="0"/>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施工道路应做到分段开挖，随挖随填，挖填平衡。剥离表土需要进行临时拦挡，临时拦挡采用袋装土挡土墙，材料为剥离的表土，袋装土挡墙高 0.50m，顶宽0.25</w:t>
      </w:r>
      <w:r>
        <w:rPr>
          <w:rFonts w:hint="default" w:ascii="Times New Roman" w:hAnsi="Times New Roman" w:cs="Times New Roman"/>
          <w:color w:val="000000"/>
          <w:kern w:val="0"/>
          <w:sz w:val="24"/>
          <w:szCs w:val="24"/>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m，剥离表土堆放高度约1.00～1.50</w:t>
      </w:r>
      <w:r>
        <w:rPr>
          <w:rFonts w:hint="default" w:ascii="Times New Roman" w:hAnsi="Times New Roman" w:cs="Times New Roman"/>
          <w:color w:val="000000"/>
          <w:kern w:val="0"/>
          <w:sz w:val="24"/>
          <w:szCs w:val="24"/>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m，堆土坡度控制为1</w:t>
      </w:r>
      <w:r>
        <w:rPr>
          <w:rFonts w:hint="default" w:ascii="Times New Roman" w:hAnsi="Times New Roman"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2。</w:t>
      </w:r>
    </w:p>
    <w:p>
      <w:pPr>
        <w:keepNext w:val="0"/>
        <w:keepLines w:val="0"/>
        <w:widowControl/>
        <w:suppressLineNumbers w:val="0"/>
        <w:jc w:val="left"/>
        <w:rPr>
          <w:rFonts w:hint="default" w:ascii="Times New Roman" w:hAnsi="Times New Roman" w:cs="Times New Roman"/>
          <w:color w:val="000000"/>
          <w:highlight w:val="none"/>
          <w:lang w:val="en-US" w:eastAsia="zh-CN"/>
        </w:rPr>
      </w:pPr>
      <w:r>
        <w:rPr>
          <w:rFonts w:hint="default" w:ascii="Times New Roman" w:hAnsi="Times New Roman" w:eastAsia="宋体" w:cs="Times New Roman"/>
          <w:color w:val="000000"/>
          <w:kern w:val="0"/>
          <w:sz w:val="24"/>
          <w:szCs w:val="24"/>
          <w:highlight w:val="none"/>
          <w:lang w:val="en-US" w:eastAsia="zh-CN" w:bidi="ar"/>
        </w:rPr>
        <w:t>施工道路开挖边坡和路面、剥离表土堆置时遇到下雨天气应采用彩条布或塑料薄膜等进行苫盖防止水蚀，减少水土流失，绿化后用无纺布覆盖，防晒保水，对临时苫盖材料应重复利用。</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（4）弃渣场区</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①</w:t>
      </w:r>
      <w:r>
        <w:rPr>
          <w:rFonts w:hint="default" w:ascii="Times New Roman" w:hAnsi="Times New Roman" w:eastAsia="宋体" w:cs="Times New Roman"/>
          <w:color w:val="000000"/>
          <w:kern w:val="0"/>
          <w:sz w:val="24"/>
          <w:szCs w:val="24"/>
          <w:highlight w:val="none"/>
          <w:lang w:val="en-US" w:eastAsia="zh-CN" w:bidi="ar"/>
        </w:rPr>
        <w:t>施工管理措施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弃渣必须按照施工图设计指定的渣场集中堆放；要严格遵照“先拦后弃”的原则，弃渣前完成拦挡及排水措施；在堆放过程中，不能利用的石质弃渣堆置于渣体前缘的挡渣墙内，以降低浸润线，使渣体排水良好。</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②</w:t>
      </w:r>
      <w:r>
        <w:rPr>
          <w:rFonts w:hint="default" w:ascii="Times New Roman" w:hAnsi="Times New Roman" w:eastAsia="宋体" w:cs="Times New Roman"/>
          <w:color w:val="000000"/>
          <w:kern w:val="0"/>
          <w:sz w:val="24"/>
          <w:szCs w:val="24"/>
          <w:highlight w:val="none"/>
          <w:lang w:val="en-US" w:eastAsia="zh-CN" w:bidi="ar"/>
        </w:rPr>
        <w:t>工程措施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弃渣场堆渣前，剥离表层土，堆置于弃渣场尾部，施工后期将临时保存的表层土用于弃渣场绿化或复耕覆土。</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弃渣要遵循“先拦后弃”的原则，项目选定的弃渣场均为山凹地和冲沟，弃渣前在谷口设置挡墙，弃渣场挡墙拟采用重力式M7.5浆砌块石结构，挡墙高度从2 m到3 m不等，弃渣前还应根据渣场汇水面积，在渣场周围设置截水沟，拟采用M7.5浆砌石结构，落差较大处设置急流槽、跌水坎，出口经沉沙池后接至河道。为保证挡渣墙的稳定在挡渣墙内设排水孔，最下排离地面高度为0.5 m，孔距2 m×2 m，排水孔为上下交错布置（梅花型），在排水孔上游侧设反滤层。墙后堆渣，先堆渣至略低于墙顶时形成平台，再以1：1.5 的坡度堆渣后至设计高程， 顶部形成平台后进行土地整治，覆土绿化或复耕。</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弃渣场挡渣墙施工时要将表层软弱土层挖除，挡渣墙基础埋深一般在100 cm以上，挡墙持力层一般为岩层或天然浅基，承载力一般大于200 kPa。</w:t>
      </w:r>
    </w:p>
    <w:p>
      <w:pPr>
        <w:keepNext w:val="0"/>
        <w:keepLines w:val="0"/>
        <w:widowControl/>
        <w:suppressLineNumbers w:val="0"/>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cs="Times New Roman"/>
          <w:color w:val="000000"/>
          <w:highlight w:val="none"/>
          <w:lang w:val="en-US" w:eastAsia="zh-CN"/>
        </w:rPr>
        <w:t>③</w:t>
      </w:r>
      <w:r>
        <w:rPr>
          <w:rFonts w:hint="default" w:ascii="Times New Roman" w:hAnsi="Times New Roman" w:eastAsia="宋体" w:cs="Times New Roman"/>
          <w:color w:val="000000"/>
          <w:kern w:val="0"/>
          <w:sz w:val="24"/>
          <w:szCs w:val="24"/>
          <w:highlight w:val="none"/>
          <w:lang w:val="en-US" w:eastAsia="zh-CN" w:bidi="ar"/>
        </w:rPr>
        <w:t>植物措施</w:t>
      </w:r>
    </w:p>
    <w:p>
      <w:pPr>
        <w:keepNext w:val="0"/>
        <w:keepLines w:val="0"/>
        <w:widowControl/>
        <w:suppressLineNumbers w:val="0"/>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堆渣结束后，根据渣场的占地类型进行土地整治，恢复原有土地功能。原耕地的进行复耕，园地的种植原果木，其他地类的恢复植被；绿化措施采取灌草绿化，种植胡枝子，撒播混播草籽。</w:t>
      </w:r>
    </w:p>
    <w:p>
      <w:pPr>
        <w:keepNext w:val="0"/>
        <w:keepLines w:val="0"/>
        <w:widowControl/>
        <w:suppressLineNumbers w:val="0"/>
        <w:jc w:val="left"/>
        <w:rPr>
          <w:rFonts w:hint="default" w:ascii="Times New Roman" w:hAnsi="Times New Roman" w:cs="Times New Roman"/>
          <w:highlight w:val="none"/>
        </w:rPr>
      </w:pPr>
      <w:r>
        <w:rPr>
          <w:rFonts w:hint="default" w:ascii="Times New Roman" w:hAnsi="Times New Roman" w:cs="Times New Roman"/>
          <w:color w:val="000000"/>
          <w:highlight w:val="none"/>
          <w:lang w:val="en-US" w:eastAsia="zh-CN"/>
        </w:rPr>
        <w:t>④</w:t>
      </w:r>
      <w:r>
        <w:rPr>
          <w:rFonts w:hint="default" w:ascii="Times New Roman" w:hAnsi="Times New Roman" w:eastAsia="宋体" w:cs="Times New Roman"/>
          <w:color w:val="000000"/>
          <w:kern w:val="0"/>
          <w:sz w:val="24"/>
          <w:szCs w:val="24"/>
          <w:highlight w:val="none"/>
          <w:lang w:val="en-US" w:eastAsia="zh-CN" w:bidi="ar"/>
        </w:rPr>
        <w:t>临时防护措施</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表土防护措施参照主体工程防治区。</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水土保持监测与管理</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（1）监测时段</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项目水土保持监测从施工准备期开始至设计水平年末结束。</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（2）监测内容</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水土保持监测主要内容包括：主体工程建设进度、工程建设扰动土地面积、 水土流失灾害隐患、水土流失及造成的危害、水土保持工程建设情况、水土流失 防治效果，以及水土保持工程设计、水土保持管理等。</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（3）监测方法</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根据《水土保持监测技术规程》（SL277-2002）、《关于规范生产建设项目水土保持监测工作的意见》（水保[2009]187 号），水土保持监测采用调查、巡查监测法、地面观测法等。对扰动土地面积、土石方量、水土保持措施实施情况等以实地测量为主，并根据项目施工现场条件布设监测样区、测钎监测点等，开展水土流失量的监测。</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（4）监测频次</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工程开工前监测1次，掌握侵蚀模数背景值。</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监测正在实施的水土保持措施建设情况等，每10天监测记录1次；扰动地表面积、水土保持工程措施拦挡效果等每月监测记录1次；主体工程建设进度、水土流失影响因子、水土保持植物措施生长情况等每3个月监测记录1次。遇暴雨（降雨强度大于50 mm/h或一次降雨大于100 mm）等情况应及时加测。水土流失灾害事件发生后1周内完成监测。</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自然恢复期：施工结束初期1年对水土保持措施实施效果进行调查，共监测2次，即雨季、非雨季各监测1次。</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工程投资估算</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本工程总投资4241.01万元，其中工程部分总投资3796.39万元，工程建设征地投资181.87万元，水土保持工程专项投资95.5万元，环境保护专项投资98.61万元，建设期贷款利息65.72万元，专项债发行费用2.92万元。工程资金由建设单位自筹</w:t>
      </w:r>
      <w:r>
        <w:rPr>
          <w:rFonts w:hint="default" w:ascii="Times New Roman" w:hAnsi="Times New Roman" w:cs="Times New Roman"/>
          <w:color w:val="000000"/>
          <w:highlight w:val="none"/>
          <w:lang w:eastAsia="zh-CN"/>
        </w:rPr>
        <w:t>。</w:t>
      </w:r>
    </w:p>
    <w:p>
      <w:pPr>
        <w:pStyle w:val="3"/>
        <w:bidi w:val="0"/>
        <w:rPr>
          <w:rFonts w:hint="default" w:ascii="Times New Roman" w:hAnsi="Times New Roman" w:cs="Times New Roman"/>
          <w:color w:val="000000"/>
          <w:highlight w:val="none"/>
          <w:lang w:val="en-US" w:eastAsia="zh-CN"/>
        </w:rPr>
      </w:pPr>
      <w:bookmarkStart w:id="74" w:name="_Toc10833"/>
      <w:bookmarkStart w:id="75" w:name="_Toc15692"/>
      <w:r>
        <w:rPr>
          <w:rFonts w:hint="default" w:ascii="Times New Roman" w:hAnsi="Times New Roman" w:cs="Times New Roman"/>
          <w:color w:val="000000"/>
          <w:highlight w:val="none"/>
          <w:lang w:val="en-US" w:eastAsia="zh-CN"/>
        </w:rPr>
        <w:t>工程分析</w:t>
      </w:r>
      <w:bookmarkEnd w:id="74"/>
      <w:bookmarkEnd w:id="75"/>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工程建设必要性</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（1）落实国家发展战略的需要</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深入贯彻落实习近平总书记关于实施乡村振兴战略的重要论述和十九大会议精神，按照党中央、国务院关于坚决打赢脱贫攻坚战和实现乡村振兴战略的有关要求，顺应农村居民对美好生活向往的需要，以城乡供水一体化发展为前提，以保障城乡供水安全、改善农村生产和生活条件、促进城乡统筹发展和社会和谐稳定为目标，打破城乡界限实现水资源的统一管理和配置，实现规划全覆盖，统一部署、分期实施，着力构建“从源头到龙头”的城乡供水安全工程体系、规模化管理体系，健全工程长效运行管理体制，持续提升农村饮水安全保障水平。</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社会发展的需要</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管阳镇近几年来社会经济发展迅速，农民生活水平明显提高，迅速增加的人口急需完善的供水系统与之匹配。随着社会经济的快速增长，人口和产业的集聚，用水量日益增加，供水的供需矛盾日益突出。</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历经多年建设，管阳镇农村饮水安全得到了长足发展，但由于受农村安全设施建设标准不高、设施老化及运维管理不善等原因，部分水厂水质达标率偏低、水量不足，供水保证率不高、单村供水工程运行管护工作薄弱等农村饮水安全问题仍然存在，成为全面小康建设和乡村振兴的明显短板。</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随着经济的发展和居民生活条件的改善，人民群众对供水的需求有了新的变化，需水要求由单纯的“有水喝”发展为“有好水用”，而且农民迫切希望像城市居民一样，享受放心、方便、充足、经济的供水服务，但是现状农村许多饮水工程水量或水质得不到保障。</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为此，按照“城乡一体、统筹规划、国有控股、集约经营” 的思路推进城乡供水一体化建设，以城乡供水一体化为引领，打破乡镇界的供水壁垒，整合区域水务资源、资产、资本要素，统筹城镇、乡村协调发展，重点推进大水源、大水厂、大管网建设，运用先进实用的水处理工艺与消毒技术，以及自动化控制与现代信息技术等，建立从源头到龙头的饮水安全保障体系，以全面提高供水安全保障水平与管理水平，提升城乡特别是农村地区人民群众的生活质量，对人民群众身体健康、经济社会发展、社会稳定等提供保障，助力乡村振兴的实现。</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城乡供水一体化的需要</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现状管阳水厂水源为</w:t>
      </w:r>
      <w:r>
        <w:rPr>
          <w:rFonts w:hint="default" w:ascii="Times New Roman" w:hAnsi="Times New Roman" w:cs="Times New Roman"/>
          <w:color w:val="000000"/>
          <w:highlight w:val="none"/>
          <w:lang w:eastAsia="zh-CN"/>
        </w:rPr>
        <w:t>上安水库</w:t>
      </w:r>
      <w:r>
        <w:rPr>
          <w:rFonts w:hint="default" w:ascii="Times New Roman" w:hAnsi="Times New Roman" w:cs="Times New Roman"/>
          <w:color w:val="000000"/>
          <w:highlight w:val="none"/>
        </w:rPr>
        <w:t>，总规模3500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/d，负责向镇区供水。一期采用斜管沉淀+重力式无阀滤池工艺，规模1500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/d，二期采用一体化设备，规模2000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一体化设备已基本损坏闲置，无法使用。现状管阳镇区主要靠一期工程进行供水，规模严重不足，出水水质也无法达到要求，且现状原水进水水压不足，低水位无法重力自流至水厂。其他村落则仍采用分散式供水方式，大部分农村自来水工程属于早期建设的简易自来水工程，没有规范的净水设备，源水只经过简单的过滤处理，且部分自来水工程还存在工程简陋、设施损坏严重、水源保证率不足、水质不达标等影响农村正常供水。为了落实“城乡供水一体化”的供水规划，彻底解决该片区居民生活和生产用水问题，振兴农村经济，建设单位决定实施管阳片区供水工程，改造管阳水厂和大山净水站，新建西阳水厂和唐阳净水站，解决农民群众迫切需要解决的用水问题，提供安全饮水保障。</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综上所述，本项目的建设是当地生存发展的重要物质基础，是保障国家振兴乡村战略的重要基础条件；是实现城乡供水一体化的前提条件，是实现供水安全，水资源宏观调控和规模化效益的重要措施；是改善供水格局、水质达标的必要内容；是发展当地经济，提高当地居民生活卫生及健康水平的基础保障。因此，本项目的建设已经非常必要和迫切。</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需水量计算</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工程设计年限</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根据《福鼎市管阳片区农村安全饮水工程管网部分（福鼎市城乡供水一体化二期）初步设计报告》，现状年为2018年，工程设计近期为2022年，远期为2030年，设计年限为12年。</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需水量预测</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福建省城乡供水一体化建设试点规划导则（暂行）》，集中式供水最高日需水量由居民生活用水量、公共建筑用水量、畜禽饲养用水量、企业用水量、浇洒道路和绿地用水量、消防用水量、管网漏损量及未预见用水量等组成。常用的最高日用水量预测方法主要有综合用水量指标法和分项指标法两种。</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kern w:val="0"/>
          <w:highlight w:val="none"/>
        </w:rPr>
        <w:t>综合用水量指标法</w:t>
      </w:r>
    </w:p>
    <w:p>
      <w:pPr>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position w:val="-24"/>
          <w:highlight w:val="none"/>
          <w:lang w:val="en-US" w:eastAsia="zh-CN"/>
        </w:rPr>
        <w:object>
          <v:shape id="_x0000_i1026" o:spt="75" type="#_x0000_t75" style="height:31pt;width:49pt;" o:ole="t" filled="f" o:preferrelative="t" stroked="f" coordsize="21600,21600">
            <v:path/>
            <v:fill on="f" focussize="0,0"/>
            <v:stroke on="f"/>
            <v:imagedata r:id="rId33" o:title=""/>
            <o:lock v:ext="edit" aspectratio="t"/>
            <w10:wrap type="none"/>
            <w10:anchorlock/>
          </v:shape>
          <o:OLEObject Type="Embed" ProgID="Equation.KSEE3" ShapeID="_x0000_i1026" DrawAspect="Content" ObjectID="_1468075726" r:id="rId32">
            <o:LockedField>false</o:LockedField>
          </o:OLEObject>
        </w:objec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0"/>
          <w:highlight w:val="none"/>
        </w:rPr>
        <w:object>
          <v:shape id="_x0000_i1027" o:spt="75" type="#_x0000_t75" style="height:16pt;width:12pt;" o:ole="t" filled="f" o:preferrelative="t" stroked="f" coordsize="21600,21600">
            <v:path/>
            <v:fill on="f" focussize="0,0"/>
            <v:stroke on="f"/>
            <v:imagedata r:id="rId35" o:title=""/>
            <o:lock v:ext="edit" aspectratio="t"/>
            <w10:wrap type="none"/>
            <w10:anchorlock/>
          </v:shape>
          <o:OLEObject Type="Embed" ProgID="Equation.KSEE3" ShapeID="_x0000_i1027" DrawAspect="Content" ObjectID="_1468075727" r:id="rId34">
            <o:LockedField>false</o:LockedField>
          </o:OLEObject>
        </w:object>
      </w:r>
      <w:r>
        <w:rPr>
          <w:rFonts w:hint="default" w:ascii="Times New Roman" w:hAnsi="Times New Roman" w:cs="Times New Roman"/>
          <w:color w:val="000000"/>
          <w:highlight w:val="none"/>
        </w:rPr>
        <w:t>——城乡最高日用水量（万m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28" o:spt="75" type="#_x0000_t75" style="height:18pt;width:13pt;" o:ole="t" filled="f" o:preferrelative="t" stroked="f" coordsize="21600,21600">
            <v:path/>
            <v:fill on="f" focussize="0,0"/>
            <v:stroke on="f"/>
            <v:imagedata r:id="rId37" o:title=""/>
            <o:lock v:ext="edit" aspectratio="t"/>
            <w10:wrap type="none"/>
            <w10:anchorlock/>
          </v:shape>
          <o:OLEObject Type="Embed" ProgID="Equation.KSEE3" ShapeID="_x0000_i1028" DrawAspect="Content" ObjectID="_1468075728" r:id="rId36">
            <o:LockedField>false</o:LockedField>
          </o:OLEObject>
        </w:object>
      </w:r>
      <w:r>
        <w:rPr>
          <w:rFonts w:hint="default" w:ascii="Times New Roman" w:hAnsi="Times New Roman" w:cs="Times New Roman"/>
          <w:color w:val="000000"/>
          <w:highlight w:val="none"/>
        </w:rPr>
        <w:t>——城市、镇（乡）村最高日居民综合用水量指标[L/（人•d）]；</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4"/>
          <w:highlight w:val="none"/>
        </w:rPr>
        <w:object>
          <v:shape id="_x0000_i1029" o:spt="75" type="#_x0000_t75" style="height:13pt;width:12pt;" o:ole="t" filled="f" o:preferrelative="t" stroked="f" coordsize="21600,21600">
            <v:path/>
            <v:fill on="f" focussize="0,0"/>
            <v:stroke on="f"/>
            <v:imagedata r:id="rId39" o:title=""/>
            <o:lock v:ext="edit" aspectratio="t"/>
            <w10:wrap type="none"/>
            <w10:anchorlock/>
          </v:shape>
          <o:OLEObject Type="Embed" ProgID="Equation.KSEE3" ShapeID="_x0000_i1029" DrawAspect="Content" ObjectID="_1468075729" r:id="rId38">
            <o:LockedField>false</o:LockedField>
          </o:OLEObject>
        </w:object>
      </w:r>
      <w:r>
        <w:rPr>
          <w:rFonts w:hint="default" w:ascii="Times New Roman" w:hAnsi="Times New Roman" w:cs="Times New Roman"/>
          <w:color w:val="000000"/>
          <w:highlight w:val="none"/>
        </w:rPr>
        <w:t>——城市、镇（乡）村相应用水人口（万人）。</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根据《福建省城市用水量标准》（DBJ/T13-127-2010）第3.0.4条有如下规定</w:t>
      </w:r>
      <w:r>
        <w:rPr>
          <w:rFonts w:hint="default" w:ascii="Times New Roman" w:hAnsi="Times New Roman" w:cs="Times New Roman"/>
          <w:color w:val="000000"/>
          <w:highlight w:val="none"/>
          <w:lang w:val="en-US" w:eastAsia="zh-CN"/>
        </w:rPr>
        <w:t>：</w:t>
      </w:r>
    </w:p>
    <w:p>
      <w:pPr>
        <w:pStyle w:val="2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人均综合生活用水量指标</w:t>
      </w:r>
    </w:p>
    <w:tbl>
      <w:tblPr>
        <w:tblStyle w:val="16"/>
        <w:tblW w:w="4999"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319"/>
        <w:gridCol w:w="2322"/>
        <w:gridCol w:w="2322"/>
        <w:gridCol w:w="232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499" w:type="pct"/>
            <w:gridSpan w:val="2"/>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设区市</w:t>
            </w:r>
          </w:p>
        </w:tc>
        <w:tc>
          <w:tcPr>
            <w:tcW w:w="2500" w:type="pct"/>
            <w:gridSpan w:val="2"/>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县级市、县城</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最高日</w:t>
            </w:r>
          </w:p>
        </w:tc>
        <w:tc>
          <w:tcPr>
            <w:tcW w:w="124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平均日</w:t>
            </w:r>
          </w:p>
        </w:tc>
        <w:tc>
          <w:tcPr>
            <w:tcW w:w="125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最高日</w:t>
            </w:r>
          </w:p>
        </w:tc>
        <w:tc>
          <w:tcPr>
            <w:tcW w:w="125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平均日</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280～450</w:t>
            </w:r>
          </w:p>
        </w:tc>
        <w:tc>
          <w:tcPr>
            <w:tcW w:w="124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220～360</w:t>
            </w:r>
          </w:p>
        </w:tc>
        <w:tc>
          <w:tcPr>
            <w:tcW w:w="125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250～420</w:t>
            </w:r>
          </w:p>
        </w:tc>
        <w:tc>
          <w:tcPr>
            <w:tcW w:w="125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200～320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noWrap w:val="0"/>
            <w:vAlign w:val="center"/>
          </w:tcPr>
          <w:p>
            <w:pPr>
              <w:pStyle w:val="19"/>
              <w:bidi w:val="0"/>
              <w:jc w:val="left"/>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单位：L/（人</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d）</w:t>
            </w:r>
          </w:p>
        </w:tc>
      </w:tr>
    </w:tbl>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根据《城市给水工程规划规范》（GB50282-2016）中福建地区城市单位人口综合用水量指标为：300~600 L/（人•d）（小城市）。</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福鼎市201</w:t>
      </w:r>
      <w:r>
        <w:rPr>
          <w:rFonts w:hint="default" w:ascii="Times New Roman" w:hAnsi="Times New Roman" w:cs="Times New Roman"/>
          <w:color w:val="000000"/>
          <w:highlight w:val="none"/>
          <w:lang w:val="en-US" w:eastAsia="zh-CN"/>
        </w:rPr>
        <w:t>8</w:t>
      </w:r>
      <w:r>
        <w:rPr>
          <w:rFonts w:hint="default" w:ascii="Times New Roman" w:hAnsi="Times New Roman" w:cs="Times New Roman"/>
          <w:color w:val="000000"/>
          <w:highlight w:val="none"/>
        </w:rPr>
        <w:t>年的城镇人均综合生活用水约132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/年，折合362</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L/日，农村集中供水人均综合生活用水约148 L/日。</w:t>
      </w:r>
    </w:p>
    <w:p>
      <w:pPr>
        <w:bidi w:val="0"/>
        <w:rPr>
          <w:rFonts w:hint="default" w:ascii="Times New Roman" w:hAnsi="Times New Roman" w:cs="Times New Roman"/>
          <w:color w:val="000000"/>
          <w:szCs w:val="24"/>
          <w:highlight w:val="none"/>
          <w:lang w:eastAsia="zh-CN"/>
        </w:rPr>
      </w:pPr>
      <w:r>
        <w:rPr>
          <w:rFonts w:hint="default" w:ascii="Times New Roman" w:hAnsi="Times New Roman" w:cs="Times New Roman"/>
          <w:color w:val="000000"/>
          <w:highlight w:val="none"/>
        </w:rPr>
        <w:t>根据《福鼎市城乡供水一体化规划报告》，参照上述规定，结合福鼎的实际情况，经分析后综合确定人口综合需水预测的定额为：2022年管阳镇镇村连片集中供水区农村人均综合用水指标150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L/（人·d），独立乡村供水平均日用水指</w:t>
      </w:r>
      <w:r>
        <w:rPr>
          <w:rFonts w:hint="default" w:ascii="Times New Roman" w:hAnsi="Times New Roman" w:cs="Times New Roman"/>
          <w:color w:val="000000"/>
          <w:szCs w:val="24"/>
          <w:highlight w:val="none"/>
        </w:rPr>
        <w:t>标120</w:t>
      </w:r>
      <w:r>
        <w:rPr>
          <w:rFonts w:hint="default" w:ascii="Times New Roman" w:hAnsi="Times New Roman" w:cs="Times New Roman"/>
          <w:color w:val="000000"/>
          <w:szCs w:val="24"/>
          <w:highlight w:val="none"/>
          <w:lang w:val="en-US" w:eastAsia="zh-CN"/>
        </w:rPr>
        <w:t xml:space="preserve"> </w:t>
      </w:r>
      <w:r>
        <w:rPr>
          <w:rFonts w:hint="default" w:ascii="Times New Roman" w:hAnsi="Times New Roman" w:cs="Times New Roman"/>
          <w:color w:val="000000"/>
          <w:szCs w:val="24"/>
          <w:highlight w:val="none"/>
        </w:rPr>
        <w:t>L/（人•d）；2030年管阳镇镇村连片集中供水区农村人均综合用水指标160</w:t>
      </w:r>
      <w:r>
        <w:rPr>
          <w:rFonts w:hint="default" w:ascii="Times New Roman" w:hAnsi="Times New Roman" w:cs="Times New Roman"/>
          <w:color w:val="000000"/>
          <w:szCs w:val="24"/>
          <w:highlight w:val="none"/>
          <w:lang w:val="en-US" w:eastAsia="zh-CN"/>
        </w:rPr>
        <w:t xml:space="preserve"> </w:t>
      </w:r>
      <w:r>
        <w:rPr>
          <w:rFonts w:hint="default" w:ascii="Times New Roman" w:hAnsi="Times New Roman" w:cs="Times New Roman"/>
          <w:color w:val="000000"/>
          <w:szCs w:val="24"/>
          <w:highlight w:val="none"/>
        </w:rPr>
        <w:t>L/（人·d），独立乡村供水平均日用水指标120</w:t>
      </w:r>
      <w:r>
        <w:rPr>
          <w:rFonts w:hint="default" w:ascii="Times New Roman" w:hAnsi="Times New Roman" w:cs="Times New Roman"/>
          <w:color w:val="000000"/>
          <w:szCs w:val="24"/>
          <w:highlight w:val="none"/>
          <w:lang w:val="en-US" w:eastAsia="zh-CN"/>
        </w:rPr>
        <w:t xml:space="preserve"> </w:t>
      </w:r>
      <w:r>
        <w:rPr>
          <w:rFonts w:hint="default" w:ascii="Times New Roman" w:hAnsi="Times New Roman" w:cs="Times New Roman"/>
          <w:color w:val="000000"/>
          <w:szCs w:val="24"/>
          <w:highlight w:val="none"/>
        </w:rPr>
        <w:t>L/（人•d）</w:t>
      </w:r>
      <w:r>
        <w:rPr>
          <w:rFonts w:hint="default" w:ascii="Times New Roman" w:hAnsi="Times New Roman" w:cs="Times New Roman"/>
          <w:color w:val="000000"/>
          <w:szCs w:val="24"/>
          <w:highlight w:val="none"/>
          <w:lang w:eastAsia="zh-CN"/>
        </w:rPr>
        <w:t>。</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szCs w:val="24"/>
          <w:highlight w:val="none"/>
          <w:lang w:eastAsia="zh-CN"/>
        </w:rPr>
        <w:t>（</w:t>
      </w:r>
      <w:r>
        <w:rPr>
          <w:rFonts w:hint="default" w:ascii="Times New Roman" w:hAnsi="Times New Roman" w:cs="Times New Roman"/>
          <w:color w:val="000000"/>
          <w:szCs w:val="24"/>
          <w:highlight w:val="none"/>
          <w:lang w:val="en-US" w:eastAsia="zh-CN"/>
        </w:rPr>
        <w:t>2</w:t>
      </w:r>
      <w:r>
        <w:rPr>
          <w:rFonts w:hint="default" w:ascii="Times New Roman" w:hAnsi="Times New Roman" w:cs="Times New Roman"/>
          <w:color w:val="000000"/>
          <w:szCs w:val="24"/>
          <w:highlight w:val="none"/>
          <w:lang w:eastAsia="zh-CN"/>
        </w:rPr>
        <w:t>）</w:t>
      </w:r>
      <w:r>
        <w:rPr>
          <w:rFonts w:hint="default" w:ascii="Times New Roman" w:hAnsi="Times New Roman" w:cs="Times New Roman"/>
          <w:color w:val="000000"/>
          <w:szCs w:val="24"/>
          <w:highlight w:val="none"/>
          <w:lang w:val="en-US" w:eastAsia="zh-CN"/>
        </w:rPr>
        <w:t>分项指标法</w:t>
      </w:r>
    </w:p>
    <w:p>
      <w:pPr>
        <w:bidi w:val="0"/>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position w:val="-14"/>
          <w:highlight w:val="none"/>
          <w:lang w:val="en-US" w:eastAsia="zh-CN"/>
        </w:rPr>
        <w:object>
          <v:shape id="_x0000_i1030" o:spt="75" type="#_x0000_t75" style="height:20pt;width:49.95pt;" o:ole="t" filled="f" o:preferrelative="t" stroked="f" coordsize="21600,21600">
            <v:path/>
            <v:fill on="f" focussize="0,0"/>
            <v:stroke on="f"/>
            <v:imagedata r:id="rId41" o:title=""/>
            <o:lock v:ext="edit" aspectratio="t"/>
            <w10:wrap type="none"/>
            <w10:anchorlock/>
          </v:shape>
          <o:OLEObject Type="Embed" ProgID="Equation.KSEE3" ShapeID="_x0000_i1030" DrawAspect="Content" ObjectID="_1468075730" r:id="rId40">
            <o:LockedField>false</o:LockedField>
          </o:OLEObject>
        </w:objec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31" o:spt="75" type="#_x0000_t75" style="height:18pt;width:13.95pt;" o:ole="t" filled="f" o:preferrelative="t" stroked="f" coordsize="21600,21600">
            <v:path/>
            <v:fill on="f" focussize="0,0"/>
            <v:stroke on="f"/>
            <v:imagedata r:id="rId43" o:title=""/>
            <o:lock v:ext="edit" aspectratio="t"/>
            <w10:wrap type="none"/>
            <w10:anchorlock/>
          </v:shape>
          <o:OLEObject Type="Embed" ProgID="Equation.KSEE3" ShapeID="_x0000_i1031" DrawAspect="Content" ObjectID="_1468075731" r:id="rId42">
            <o:LockedField>false</o:LockedField>
          </o:OLEObject>
        </w:object>
      </w:r>
      <w:r>
        <w:rPr>
          <w:rFonts w:hint="default" w:ascii="Times New Roman" w:hAnsi="Times New Roman" w:cs="Times New Roman"/>
          <w:color w:val="000000"/>
          <w:highlight w:val="none"/>
        </w:rPr>
        <w:t>——城乡生活、公用建筑、禽畜饲养、工业企业、道路浇洒及绿地、管网漏损及未预见用水等水量计算结果（万m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①居民生活需水预测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根据《福建省农村饮水安全工程技术指南》、《村镇供水工程设计规范》等，福建省最高日居民生活用水定额可参照下表选取。</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参照上述规定，结合福鼎的实际情况，经分析后综合确定人口综合需水预测 的定额为：规划水平年2022年城区最高日居民生活用水定额指标取180L/（人</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d），大水厂覆盖镇村及镇村连片集中供水区农村人均生活用水指标120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d），独立乡村供水平均日用水指标100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w:t>
      </w:r>
    </w:p>
    <w:p>
      <w:pPr>
        <w:pStyle w:val="21"/>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福建省最高日居民生活用水定额</w:t>
      </w:r>
    </w:p>
    <w:tbl>
      <w:tblPr>
        <w:tblStyle w:val="1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071"/>
        <w:gridCol w:w="3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主要用（供）水条件</w:t>
            </w:r>
          </w:p>
        </w:tc>
        <w:tc>
          <w:tcPr>
            <w:tcW w:w="167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rPr>
              <w:t>用水定额</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L/（人</w:t>
            </w: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d）</w:t>
            </w:r>
            <w:r>
              <w:rPr>
                <w:rFonts w:hint="default" w:ascii="Times New Roman" w:hAnsi="Times New Roman" w:cs="Times New Roman"/>
                <w:color w:val="000000"/>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集中供水点取水，或水龙头入户且无洗涤池和其他卫生设施</w:t>
            </w:r>
          </w:p>
        </w:tc>
        <w:tc>
          <w:tcPr>
            <w:tcW w:w="167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水龙头入户，有洗涤池，其他卫生设施较少</w:t>
            </w:r>
          </w:p>
        </w:tc>
        <w:tc>
          <w:tcPr>
            <w:tcW w:w="167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全日供水，户内有洗涤池和部分其他卫生实施</w:t>
            </w:r>
          </w:p>
        </w:tc>
        <w:tc>
          <w:tcPr>
            <w:tcW w:w="167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90~140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全日供水，室内有给水、排水设施且卫生设施较齐全</w:t>
            </w:r>
          </w:p>
        </w:tc>
        <w:tc>
          <w:tcPr>
            <w:tcW w:w="167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2"/>
            <w:tcBorders>
              <w:tl2br w:val="nil"/>
              <w:tr2bl w:val="nil"/>
            </w:tcBorders>
            <w:noWrap w:val="0"/>
            <w:vAlign w:val="top"/>
          </w:tcPr>
          <w:p>
            <w:pPr>
              <w:pStyle w:val="19"/>
              <w:bidi w:val="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注1：本表所列用水量包括了居民散养畜禽用水量、散用汽车和拖拉机用水量、家庭小作坊生产用水量。</w:t>
            </w:r>
          </w:p>
          <w:p>
            <w:pPr>
              <w:pStyle w:val="19"/>
              <w:bidi w:val="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注2：取值时，应对各村镇居民的用水现状、用水条件、供水方式、经济条件、用水习惯、发展潜力等情况进行调查分析，并综合考虑以下情况：村庄一般比镇区低；定时供水比全日供水低；发展潜力小取较低值；制水成本高取较低值；村内有其他清洁水源便于使用时取较低值。调查分析与本表有出入时，应根据当地实际情况适当增减。</w:t>
            </w:r>
          </w:p>
          <w:p>
            <w:pPr>
              <w:pStyle w:val="19"/>
              <w:bidi w:val="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注3：本表中的卫生设施主要指洗涤池、洗衣机、淋浴器和水冲厕所等。</w:t>
            </w:r>
          </w:p>
        </w:tc>
      </w:tr>
    </w:tbl>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②公共建筑物需水预测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各供水分区公共建筑物需水量预测受条件限制，根据规范可按居民生活用水量的15%~20%计算，本处取20%计算。</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③工业需水预测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福鼎的工业布局在沿海，按照工业增加值和用水定额进行预测，现状年2017年工业增加值216亿元，工业增加值用水量约60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/万元，工业增加值用水定额在现状水平上，通过工业节水措施，逐步降低用水定额。至规划水平年的工业增长率设定为6%，预测沿海片区2022年工业增加值289亿元（约占全市的98%），工业增加值用水量36</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/万元；2030年工业增加值461亿元，工业增加值用水量24</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/万元。</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根据相关资料，管阳镇地处山区，工业主要以制茶业为主，最大制茶产量按25吨/天，查《福建省行业用水定额》（DB35</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T772-2018），用水定额8</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/吨，用水量按500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④浇洒道路和绿地需水预测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根据《村镇供水工程设计规范》，浇洒道路和绿地需水定额为1.0~2.0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L/（m</w:t>
      </w:r>
      <w:r>
        <w:rPr>
          <w:rFonts w:hint="default" w:ascii="Times New Roman" w:hAnsi="Times New Roman" w:cs="Times New Roman"/>
          <w:color w:val="000000"/>
          <w:highlight w:val="none"/>
          <w:vertAlign w:val="superscript"/>
          <w:lang w:val="en-US" w:eastAsia="zh-CN"/>
        </w:rPr>
        <w:t>2</w:t>
      </w:r>
      <w:r>
        <w:rPr>
          <w:rFonts w:hint="default" w:ascii="Times New Roman" w:hAnsi="Times New Roman" w:cs="Times New Roman"/>
          <w:color w:val="000000"/>
          <w:highlight w:val="none"/>
        </w:rPr>
        <w:t>•d）。按照上述用水量之和的5%取值。</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⑤消防需水预测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根据《福建省农村饮水安全工程技术指南》、《村镇供水工程设计规范》等要求，消防用水量作为管网的校核用，确定供水规模时，可不计此项，不计入总用水量。</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⑥管网漏失和未预见需水预测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根据规范中的有关规定，结合各分区情况，按照上述用水量之和的15%~20%计算。本处上述用水量之和的20%取值。</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用水人口</w:t>
      </w:r>
    </w:p>
    <w:p>
      <w:pPr>
        <w:snapToGrid w:val="0"/>
        <w:ind w:firstLine="480"/>
        <w:textAlignment w:val="baseline"/>
        <w:rPr>
          <w:rFonts w:hint="default" w:ascii="Times New Roman" w:hAnsi="Times New Roman" w:cs="Times New Roman"/>
          <w:color w:val="000000"/>
          <w:highlight w:val="none"/>
        </w:rPr>
      </w:pPr>
      <w:r>
        <w:rPr>
          <w:rFonts w:hint="default" w:ascii="Times New Roman" w:hAnsi="Times New Roman" w:cs="Times New Roman"/>
          <w:color w:val="000000"/>
          <w:highlight w:val="none"/>
        </w:rPr>
        <w:t>用水人口：根据总规，项目区人口自然增长率为5‰，设计水平年预测受益人口计算公式如下：</w:t>
      </w:r>
    </w:p>
    <w:p>
      <w:pPr>
        <w:bidi w:val="0"/>
        <w:ind w:left="0" w:leftChars="0" w:firstLine="0" w:firstLineChars="0"/>
        <w:jc w:val="center"/>
        <w:rPr>
          <w:rFonts w:hint="default" w:ascii="Times New Roman" w:hAnsi="Times New Roman" w:cs="Times New Roman"/>
          <w:color w:val="000000"/>
          <w:highlight w:val="none"/>
          <w:lang w:val="en-US" w:eastAsia="zh-CN"/>
        </w:rPr>
      </w:pPr>
      <w:r>
        <w:rPr>
          <w:rFonts w:hint="default" w:ascii="Times New Roman" w:hAnsi="Times New Roman" w:cs="Times New Roman"/>
          <w:color w:val="000000"/>
          <w:position w:val="-12"/>
          <w:highlight w:val="none"/>
          <w:lang w:val="en-US" w:eastAsia="zh-CN"/>
        </w:rPr>
        <w:object>
          <v:shape id="_x0000_i1032" o:spt="75" type="#_x0000_t75" style="height:19pt;width:78pt;" o:ole="t" filled="f" o:preferrelative="t" stroked="f" coordsize="21600,21600">
            <v:path/>
            <v:fill on="f" focussize="0,0"/>
            <v:stroke on="f"/>
            <v:imagedata r:id="rId45" o:title=""/>
            <o:lock v:ext="edit" aspectratio="t"/>
            <w10:wrap type="none"/>
            <w10:anchorlock/>
          </v:shape>
          <o:OLEObject Type="Embed" ProgID="Equation.KSEE3" ShapeID="_x0000_i1032" DrawAspect="Content" ObjectID="_1468075732" r:id="rId44">
            <o:LockedField>false</o:LockedField>
          </o:OLEObject>
        </w:objec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式中：</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4"/>
          <w:highlight w:val="none"/>
          <w:lang w:val="en-US" w:eastAsia="zh-CN"/>
        </w:rPr>
        <w:object>
          <v:shape id="_x0000_i1033" o:spt="75" type="#_x0000_t75" style="height:13pt;width:12pt;" o:ole="t" filled="f" o:preferrelative="t" stroked="f" coordsize="21600,21600">
            <v:path/>
            <v:fill on="f" focussize="0,0"/>
            <v:stroke on="f"/>
            <v:imagedata r:id="rId47" o:title=""/>
            <o:lock v:ext="edit" aspectratio="t"/>
            <w10:wrap type="none"/>
            <w10:anchorlock/>
          </v:shape>
          <o:OLEObject Type="Embed" ProgID="Equation.KSEE3" ShapeID="_x0000_i1033" DrawAspect="Content" ObjectID="_1468075733" r:id="rId46">
            <o:LockedField>false</o:LockedField>
          </o:OLEObject>
        </w:object>
      </w:r>
      <w:r>
        <w:rPr>
          <w:rFonts w:hint="default" w:ascii="Times New Roman" w:hAnsi="Times New Roman" w:cs="Times New Roman"/>
          <w:color w:val="000000"/>
          <w:highlight w:val="none"/>
        </w:rPr>
        <w:t>——项目区设计水平年受益人口；</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34" o:spt="75" type="#_x0000_t75" style="height:18pt;width:13pt;" o:ole="t" filled="f" o:preferrelative="t" stroked="f" coordsize="21600,21600">
            <v:path/>
            <v:fill on="f" focussize="0,0"/>
            <v:stroke on="f"/>
            <v:imagedata r:id="rId49" o:title=""/>
            <o:lock v:ext="edit" aspectratio="t"/>
            <w10:wrap type="none"/>
            <w10:anchorlock/>
          </v:shape>
          <o:OLEObject Type="Embed" ProgID="Equation.KSEE3" ShapeID="_x0000_i1034" DrawAspect="Content" ObjectID="_1468075734" r:id="rId48">
            <o:LockedField>false</o:LockedField>
          </o:OLEObject>
        </w:object>
      </w:r>
      <w:r>
        <w:rPr>
          <w:rFonts w:hint="default" w:ascii="Times New Roman" w:hAnsi="Times New Roman" w:cs="Times New Roman"/>
          <w:color w:val="000000"/>
          <w:highlight w:val="none"/>
        </w:rPr>
        <w:t>——项目区现状年受益人口；</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6"/>
          <w:highlight w:val="none"/>
        </w:rPr>
        <w:object>
          <v:shape id="_x0000_i1035" o:spt="75" type="#_x0000_t75" style="height:11pt;width:10pt;" o:ole="t" filled="f" o:preferrelative="t" stroked="f" coordsize="21600,21600">
            <v:path/>
            <v:fill on="f" focussize="0,0"/>
            <v:stroke on="f"/>
            <v:imagedata r:id="rId51" o:title=""/>
            <o:lock v:ext="edit" aspectratio="t"/>
            <w10:wrap type="none"/>
            <w10:anchorlock/>
          </v:shape>
          <o:OLEObject Type="Embed" ProgID="Equation.KSEE3" ShapeID="_x0000_i1035" DrawAspect="Content" ObjectID="_1468075735" r:id="rId50">
            <o:LockedField>false</o:LockedField>
          </o:OLEObject>
        </w:object>
      </w:r>
      <w:r>
        <w:rPr>
          <w:rFonts w:hint="default" w:ascii="Times New Roman" w:hAnsi="Times New Roman" w:cs="Times New Roman"/>
          <w:color w:val="000000"/>
          <w:highlight w:val="none"/>
        </w:rPr>
        <w:t>——人口自然增长率；</w:t>
      </w:r>
    </w:p>
    <w:p>
      <w:pPr>
        <w:keepNext w:val="0"/>
        <w:keepLines w:val="0"/>
        <w:pageBreakBefore w:val="0"/>
        <w:widowControl w:val="0"/>
        <w:kinsoku/>
        <w:wordWrap/>
        <w:overflowPunct/>
        <w:topLinePunct w:val="0"/>
        <w:autoSpaceDE/>
        <w:autoSpaceDN/>
        <w:bidi w:val="0"/>
        <w:adjustRightInd/>
        <w:snapToGrid/>
        <w:ind w:firstLine="1200" w:firstLineChars="500"/>
        <w:textAlignment w:val="auto"/>
        <w:rPr>
          <w:rFonts w:hint="default" w:ascii="Times New Roman" w:hAnsi="Times New Roman" w:cs="Times New Roman"/>
          <w:color w:val="000000"/>
          <w:highlight w:val="none"/>
        </w:rPr>
      </w:pPr>
      <w:r>
        <w:rPr>
          <w:rFonts w:hint="default" w:ascii="Times New Roman" w:hAnsi="Times New Roman" w:cs="Times New Roman"/>
          <w:color w:val="000000"/>
          <w:position w:val="-4"/>
          <w:highlight w:val="none"/>
        </w:rPr>
        <w:object>
          <v:shape id="_x0000_i1036" o:spt="75" type="#_x0000_t75" style="height:10pt;width:10pt;" o:ole="t" filled="f" o:preferrelative="t" stroked="f" coordsize="21600,21600">
            <v:path/>
            <v:fill on="f" focussize="0,0"/>
            <v:stroke on="f"/>
            <v:imagedata r:id="rId53" o:title=""/>
            <o:lock v:ext="edit" aspectratio="t"/>
            <w10:wrap type="none"/>
            <w10:anchorlock/>
          </v:shape>
          <o:OLEObject Type="Embed" ProgID="Equation.KSEE3" ShapeID="_x0000_i1036" DrawAspect="Content" ObjectID="_1468075736" r:id="rId52">
            <o:LockedField>false</o:LockedField>
          </o:OLEObject>
        </w:object>
      </w:r>
      <w:r>
        <w:rPr>
          <w:rFonts w:hint="default" w:ascii="Times New Roman" w:hAnsi="Times New Roman" w:cs="Times New Roman"/>
          <w:color w:val="000000"/>
          <w:highlight w:val="none"/>
        </w:rPr>
        <w:t>——设计年限。</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根据提供资料，管阳镇2020年户籍人口为45954人</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（4）需水量预测结果</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根据综合指标法测算，管阳镇及周边乡村、西阳村及周边乡村为连片集中供水，2022年人均综合用水量指标取150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L/（人•d），2030年人均综合用水量指标取150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L/（人•d）。计算结果见下</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_Ref5315 \n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表2.2-3</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和</w:t>
      </w:r>
      <w:r>
        <w:rPr>
          <w:rFonts w:hint="default" w:ascii="Times New Roman" w:hAnsi="Times New Roman" w:cs="Times New Roman"/>
          <w:color w:val="000000"/>
          <w:highlight w:val="none"/>
          <w:lang w:val="en-US"/>
        </w:rPr>
        <w:fldChar w:fldCharType="begin"/>
      </w:r>
      <w:r>
        <w:rPr>
          <w:rFonts w:hint="default" w:ascii="Times New Roman" w:hAnsi="Times New Roman" w:cs="Times New Roman"/>
          <w:color w:val="000000"/>
          <w:highlight w:val="none"/>
          <w:lang w:val="en-US"/>
        </w:rPr>
        <w:instrText xml:space="preserve"> REF _Ref5360 \n \h </w:instrText>
      </w:r>
      <w:r>
        <w:rPr>
          <w:rFonts w:hint="default" w:ascii="Times New Roman" w:hAnsi="Times New Roman" w:cs="Times New Roman"/>
          <w:color w:val="000000"/>
          <w:highlight w:val="none"/>
          <w:lang w:val="en-US"/>
        </w:rPr>
        <w:fldChar w:fldCharType="separate"/>
      </w:r>
      <w:r>
        <w:rPr>
          <w:rFonts w:hint="default" w:ascii="Times New Roman" w:hAnsi="Times New Roman" w:cs="Times New Roman"/>
          <w:color w:val="000000"/>
          <w:highlight w:val="none"/>
          <w:lang w:val="en-US"/>
        </w:rPr>
        <w:t>表2.2-4</w:t>
      </w:r>
      <w:r>
        <w:rPr>
          <w:rFonts w:hint="default" w:ascii="Times New Roman" w:hAnsi="Times New Roman" w:cs="Times New Roman"/>
          <w:color w:val="000000"/>
          <w:highlight w:val="none"/>
          <w:lang w:val="en-US"/>
        </w:rPr>
        <w:fldChar w:fldCharType="end"/>
      </w:r>
      <w:r>
        <w:rPr>
          <w:rFonts w:hint="default" w:ascii="Times New Roman" w:hAnsi="Times New Roman" w:cs="Times New Roman"/>
          <w:color w:val="000000"/>
          <w:highlight w:val="none"/>
        </w:rPr>
        <w:t>。</w:t>
      </w:r>
    </w:p>
    <w:p>
      <w:pPr>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根据分项指标法测算，管阳镇及周边乡村、西阳村及周边乡村为连片集中供水，2022年人均生活用水量指标取120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L/（人•d），2030年人均生活用水量指标取120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L/（人•d）。计算结果见下</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_Ref6144 \n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表2.2-5</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和</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_Ref6177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表2.2-6</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eastAsia="zh-CN"/>
        </w:rPr>
        <w:t>。</w:t>
      </w:r>
    </w:p>
    <w:p>
      <w:pPr>
        <w:pStyle w:val="21"/>
        <w:bidi w:val="0"/>
        <w:rPr>
          <w:rFonts w:hint="default" w:ascii="Times New Roman" w:hAnsi="Times New Roman" w:cs="Times New Roman"/>
          <w:color w:val="000000"/>
          <w:highlight w:val="none"/>
          <w:lang w:val="en-US" w:eastAsia="zh-CN"/>
        </w:rPr>
      </w:pPr>
      <w:bookmarkStart w:id="76" w:name="_Ref5315"/>
      <w:r>
        <w:rPr>
          <w:rFonts w:hint="default" w:ascii="Times New Roman" w:hAnsi="Times New Roman" w:cs="Times New Roman"/>
          <w:color w:val="000000"/>
          <w:highlight w:val="none"/>
          <w:lang w:val="en-US" w:eastAsia="zh-CN"/>
        </w:rPr>
        <w:t>2022年综合指标法需水量预测结果</w:t>
      </w:r>
      <w:bookmarkEnd w:id="76"/>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07"/>
        <w:gridCol w:w="1441"/>
        <w:gridCol w:w="1503"/>
        <w:gridCol w:w="1378"/>
        <w:gridCol w:w="2166"/>
        <w:gridCol w:w="158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片区</w:t>
            </w: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村庄</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2018年人口（人）</w:t>
            </w:r>
          </w:p>
        </w:tc>
        <w:tc>
          <w:tcPr>
            <w:tcW w:w="74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2022年人口（人）</w:t>
            </w:r>
          </w:p>
        </w:tc>
        <w:tc>
          <w:tcPr>
            <w:tcW w:w="116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最高日人均综合用水量定额（L/人•d）</w:t>
            </w: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2022年需水量（m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管阳片区</w:t>
            </w: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管阳村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5650</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5764</w:t>
            </w:r>
          </w:p>
        </w:tc>
        <w:tc>
          <w:tcPr>
            <w:tcW w:w="1166"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150</w:t>
            </w: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865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章边村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3726</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3801</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广化村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2017</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2058</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80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11393</w:t>
            </w:r>
          </w:p>
        </w:tc>
        <w:tc>
          <w:tcPr>
            <w:tcW w:w="742"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1</w:t>
            </w:r>
            <w:r>
              <w:rPr>
                <w:rFonts w:hint="default" w:ascii="Times New Roman" w:hAnsi="Times New Roman" w:cs="Times New Roman"/>
                <w:color w:val="000000"/>
                <w:highlight w:val="none"/>
                <w:lang w:val="en-US" w:eastAsia="zh-CN"/>
              </w:rPr>
              <w:t>1623</w:t>
            </w:r>
          </w:p>
        </w:tc>
        <w:tc>
          <w:tcPr>
            <w:tcW w:w="1166"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85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1743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西阳片区</w:t>
            </w: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七浦村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1290</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1316</w:t>
            </w:r>
          </w:p>
        </w:tc>
        <w:tc>
          <w:tcPr>
            <w:tcW w:w="1166"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150</w:t>
            </w: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乾头村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1438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1467</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元潭村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1618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1651</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溪头村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1988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2028</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徐陈村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1655</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1688</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西阳村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3643</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3716</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557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天竹村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3978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4058</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缙阳村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1138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1161</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174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楮楼村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1658</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1691</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西昆村</w:t>
            </w:r>
          </w:p>
        </w:tc>
        <w:tc>
          <w:tcPr>
            <w:tcW w:w="80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2004</w:t>
            </w:r>
          </w:p>
        </w:tc>
        <w:tc>
          <w:tcPr>
            <w:tcW w:w="742"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2044</w:t>
            </w:r>
          </w:p>
        </w:tc>
        <w:tc>
          <w:tcPr>
            <w:tcW w:w="116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0"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7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80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20410</w:t>
            </w:r>
          </w:p>
        </w:tc>
        <w:tc>
          <w:tcPr>
            <w:tcW w:w="742"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20821</w:t>
            </w:r>
          </w:p>
        </w:tc>
        <w:tc>
          <w:tcPr>
            <w:tcW w:w="1166"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85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3123</w:t>
            </w:r>
          </w:p>
        </w:tc>
      </w:tr>
    </w:tbl>
    <w:p>
      <w:pPr>
        <w:pStyle w:val="21"/>
        <w:bidi w:val="0"/>
        <w:rPr>
          <w:rFonts w:hint="default" w:ascii="Times New Roman" w:hAnsi="Times New Roman" w:cs="Times New Roman"/>
          <w:color w:val="000000"/>
          <w:highlight w:val="none"/>
          <w:lang w:val="en-US" w:eastAsia="zh-CN"/>
        </w:rPr>
      </w:pPr>
      <w:bookmarkStart w:id="77" w:name="_Ref5360"/>
      <w:r>
        <w:rPr>
          <w:rFonts w:hint="default" w:ascii="Times New Roman" w:hAnsi="Times New Roman" w:cs="Times New Roman"/>
          <w:color w:val="000000"/>
          <w:highlight w:val="none"/>
          <w:lang w:val="en-US" w:eastAsia="zh-CN"/>
        </w:rPr>
        <w:t>2030年综合指标法需水量预测结果</w:t>
      </w:r>
      <w:bookmarkEnd w:id="77"/>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22"/>
        <w:gridCol w:w="1428"/>
        <w:gridCol w:w="1500"/>
        <w:gridCol w:w="1380"/>
        <w:gridCol w:w="2178"/>
        <w:gridCol w:w="157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blHeader/>
        </w:trPr>
        <w:tc>
          <w:tcPr>
            <w:tcW w:w="65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片区</w:t>
            </w: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村庄</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2018年人口（人）</w:t>
            </w:r>
          </w:p>
        </w:tc>
        <w:tc>
          <w:tcPr>
            <w:tcW w:w="743"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年人口（人）</w:t>
            </w:r>
          </w:p>
        </w:tc>
        <w:tc>
          <w:tcPr>
            <w:tcW w:w="1173"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最高日人均综合用水量定额（L/人•d）</w:t>
            </w:r>
          </w:p>
        </w:tc>
        <w:tc>
          <w:tcPr>
            <w:tcW w:w="84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r>
              <w:rPr>
                <w:rFonts w:hint="default" w:ascii="Times New Roman" w:hAnsi="Times New Roman" w:cs="Times New Roman"/>
                <w:color w:val="000000"/>
                <w:highlight w:val="none"/>
                <w:lang w:val="en-US" w:eastAsia="zh-CN"/>
              </w:rPr>
              <w:t>30</w:t>
            </w:r>
            <w:r>
              <w:rPr>
                <w:rFonts w:hint="default" w:ascii="Times New Roman" w:hAnsi="Times New Roman" w:cs="Times New Roman"/>
                <w:color w:val="000000"/>
                <w:highlight w:val="none"/>
              </w:rPr>
              <w:t>年需水量（m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管阳片区</w:t>
            </w: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管阳村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5650</w:t>
            </w:r>
          </w:p>
        </w:tc>
        <w:tc>
          <w:tcPr>
            <w:tcW w:w="743" w:type="pct"/>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5939</w:t>
            </w:r>
          </w:p>
        </w:tc>
        <w:tc>
          <w:tcPr>
            <w:tcW w:w="1173"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150</w:t>
            </w: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891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章边村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3726</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3917</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588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广化村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2017</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2120</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318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80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11393</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11976</w:t>
            </w:r>
          </w:p>
        </w:tc>
        <w:tc>
          <w:tcPr>
            <w:tcW w:w="1173" w:type="pct"/>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1796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西阳片区</w:t>
            </w: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七浦村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1290</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1356</w:t>
            </w:r>
          </w:p>
        </w:tc>
        <w:tc>
          <w:tcPr>
            <w:tcW w:w="1173"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150</w:t>
            </w: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乾头村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1438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1527</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227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元潭村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1618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1718</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255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溪头村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1988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2111</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徐陈村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1655</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1757</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261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西阳村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3643</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3868</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574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天竹村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3978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4223</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627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缙阳村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1138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1208</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楮楼村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1658</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1760</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261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西昆村</w:t>
            </w:r>
          </w:p>
        </w:tc>
        <w:tc>
          <w:tcPr>
            <w:tcW w:w="80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2004</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2128</w:t>
            </w:r>
          </w:p>
        </w:tc>
        <w:tc>
          <w:tcPr>
            <w:tcW w:w="117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316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58"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6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80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20410</w:t>
            </w:r>
          </w:p>
        </w:tc>
        <w:tc>
          <w:tcPr>
            <w:tcW w:w="74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21454</w:t>
            </w:r>
          </w:p>
        </w:tc>
        <w:tc>
          <w:tcPr>
            <w:tcW w:w="1173" w:type="pct"/>
            <w:tcBorders>
              <w:tl2br w:val="nil"/>
              <w:tr2bl w:val="nil"/>
            </w:tcBorders>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84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3218</w:t>
            </w:r>
          </w:p>
        </w:tc>
      </w:tr>
    </w:tbl>
    <w:p>
      <w:pPr>
        <w:pStyle w:val="21"/>
        <w:bidi w:val="0"/>
        <w:rPr>
          <w:rFonts w:hint="default" w:ascii="Times New Roman" w:hAnsi="Times New Roman" w:cs="Times New Roman"/>
          <w:color w:val="000000"/>
          <w:highlight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1"/>
        <w:bidi w:val="0"/>
        <w:rPr>
          <w:rFonts w:hint="default" w:ascii="Times New Roman" w:hAnsi="Times New Roman" w:cs="Times New Roman"/>
          <w:color w:val="000000"/>
          <w:highlight w:val="none"/>
          <w:lang w:val="en-US" w:eastAsia="zh-CN"/>
        </w:rPr>
      </w:pPr>
      <w:bookmarkStart w:id="78" w:name="_Ref6144"/>
      <w:r>
        <w:rPr>
          <w:rFonts w:hint="default" w:ascii="Times New Roman" w:hAnsi="Times New Roman" w:cs="Times New Roman"/>
          <w:color w:val="000000"/>
          <w:highlight w:val="none"/>
          <w:lang w:val="en-US" w:eastAsia="zh-CN"/>
        </w:rPr>
        <w:t>2022年分项指标法需水量预测结果</w:t>
      </w:r>
      <w:bookmarkEnd w:id="78"/>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20"/>
        <w:gridCol w:w="1534"/>
        <w:gridCol w:w="1152"/>
        <w:gridCol w:w="1172"/>
        <w:gridCol w:w="1784"/>
        <w:gridCol w:w="1320"/>
        <w:gridCol w:w="1306"/>
        <w:gridCol w:w="1138"/>
        <w:gridCol w:w="1590"/>
        <w:gridCol w:w="1181"/>
        <w:gridCol w:w="131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片区</w:t>
            </w: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村庄</w:t>
            </w:r>
          </w:p>
        </w:tc>
        <w:tc>
          <w:tcPr>
            <w:tcW w:w="40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2018年人口（人）</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2022年人口（人）</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人均生活用水量定额（L/人•d）</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生活需水量（m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公共建筑用水量（m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工业用水</w:t>
            </w:r>
          </w:p>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浇洒和绿地用水量（m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管网漏失量（m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合计（m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管阳片区</w:t>
            </w: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管阳村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5650</w:t>
            </w:r>
          </w:p>
        </w:tc>
        <w:tc>
          <w:tcPr>
            <w:tcW w:w="41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5764</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692</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138</w:t>
            </w:r>
          </w:p>
        </w:tc>
        <w:tc>
          <w:tcPr>
            <w:tcW w:w="400"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300</w:t>
            </w:r>
          </w:p>
        </w:tc>
        <w:tc>
          <w:tcPr>
            <w:tcW w:w="55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56</w:t>
            </w:r>
          </w:p>
        </w:tc>
        <w:tc>
          <w:tcPr>
            <w:tcW w:w="415"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237</w:t>
            </w:r>
          </w:p>
        </w:tc>
        <w:tc>
          <w:tcPr>
            <w:tcW w:w="461"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1424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章边村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3726</w:t>
            </w:r>
          </w:p>
        </w:tc>
        <w:tc>
          <w:tcPr>
            <w:tcW w:w="41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3801</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456</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23</w:t>
            </w:r>
          </w:p>
        </w:tc>
        <w:tc>
          <w:tcPr>
            <w:tcW w:w="415"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96</w:t>
            </w:r>
          </w:p>
        </w:tc>
        <w:tc>
          <w:tcPr>
            <w:tcW w:w="461"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575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广化村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2017</w:t>
            </w:r>
          </w:p>
        </w:tc>
        <w:tc>
          <w:tcPr>
            <w:tcW w:w="41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2058</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247</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12</w:t>
            </w:r>
          </w:p>
        </w:tc>
        <w:tc>
          <w:tcPr>
            <w:tcW w:w="415"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52</w:t>
            </w:r>
          </w:p>
        </w:tc>
        <w:tc>
          <w:tcPr>
            <w:tcW w:w="461"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405"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11393</w:t>
            </w:r>
          </w:p>
        </w:tc>
        <w:tc>
          <w:tcPr>
            <w:tcW w:w="412"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11623</w:t>
            </w:r>
          </w:p>
        </w:tc>
        <w:tc>
          <w:tcPr>
            <w:tcW w:w="62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46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1395</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138</w:t>
            </w:r>
          </w:p>
        </w:tc>
        <w:tc>
          <w:tcPr>
            <w:tcW w:w="400"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3</w:t>
            </w:r>
            <w:r>
              <w:rPr>
                <w:rFonts w:hint="default" w:ascii="Times New Roman" w:hAnsi="Times New Roman" w:cs="Times New Roman"/>
                <w:color w:val="000000"/>
                <w:highlight w:val="none"/>
                <w:lang w:val="en-US" w:eastAsia="zh-CN"/>
              </w:rPr>
              <w:t>00</w:t>
            </w:r>
          </w:p>
        </w:tc>
        <w:tc>
          <w:tcPr>
            <w:tcW w:w="559"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92</w:t>
            </w:r>
          </w:p>
        </w:tc>
        <w:tc>
          <w:tcPr>
            <w:tcW w:w="415"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385</w:t>
            </w:r>
          </w:p>
        </w:tc>
        <w:tc>
          <w:tcPr>
            <w:tcW w:w="461"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2310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西阳片区</w:t>
            </w: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七浦村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1290</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1316</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158</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lang w:val="en-US"/>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33</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乾头村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1438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1467</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176</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9</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37</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222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元潭村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1618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1651</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198</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42</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溪头村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1988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2028</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243</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51</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徐陈村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1655</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1688</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203</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43</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西阳村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3643</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3716</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446</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89</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27</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112</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674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天竹村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3978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4058</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487</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102</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614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缙阳村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1138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1161</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139</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7</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29</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176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楮楼村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1658</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1691</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203</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10</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43</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西昆村</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2004</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2044</w:t>
            </w:r>
          </w:p>
        </w:tc>
        <w:tc>
          <w:tcPr>
            <w:tcW w:w="6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245</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52</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小计</w:t>
            </w:r>
          </w:p>
        </w:tc>
        <w:tc>
          <w:tcPr>
            <w:tcW w:w="405" w:type="pct"/>
            <w:tcBorders>
              <w:tl2br w:val="nil"/>
              <w:tr2bl w:val="nil"/>
            </w:tcBorders>
            <w:noWrap w:val="0"/>
            <w:vAlign w:val="center"/>
          </w:tcPr>
          <w:p>
            <w:pPr>
              <w:pStyle w:val="19"/>
              <w:bidi w:val="0"/>
              <w:ind w:firstLine="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20410</w:t>
            </w:r>
          </w:p>
        </w:tc>
        <w:tc>
          <w:tcPr>
            <w:tcW w:w="412"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20821</w:t>
            </w:r>
          </w:p>
        </w:tc>
        <w:tc>
          <w:tcPr>
            <w:tcW w:w="627"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2499</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89</w:t>
            </w:r>
          </w:p>
        </w:tc>
        <w:tc>
          <w:tcPr>
            <w:tcW w:w="400"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129</w:t>
            </w:r>
          </w:p>
        </w:tc>
        <w:tc>
          <w:tcPr>
            <w:tcW w:w="415"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543</w:t>
            </w:r>
          </w:p>
        </w:tc>
        <w:tc>
          <w:tcPr>
            <w:tcW w:w="46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3261</w:t>
            </w:r>
          </w:p>
        </w:tc>
      </w:tr>
    </w:tbl>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pStyle w:val="21"/>
        <w:bidi w:val="0"/>
        <w:rPr>
          <w:rFonts w:hint="default" w:ascii="Times New Roman" w:hAnsi="Times New Roman" w:cs="Times New Roman"/>
          <w:color w:val="000000"/>
          <w:highlight w:val="none"/>
          <w:lang w:val="en-US" w:eastAsia="zh-CN"/>
        </w:rPr>
      </w:pPr>
      <w:bookmarkStart w:id="79" w:name="_Ref6177"/>
      <w:r>
        <w:rPr>
          <w:rFonts w:hint="default" w:ascii="Times New Roman" w:hAnsi="Times New Roman" w:cs="Times New Roman"/>
          <w:color w:val="000000"/>
          <w:highlight w:val="none"/>
          <w:lang w:val="en-US" w:eastAsia="zh-CN"/>
        </w:rPr>
        <w:t>2030年分项指标法需水量预测结果</w:t>
      </w:r>
      <w:bookmarkEnd w:id="79"/>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20"/>
        <w:gridCol w:w="1533"/>
        <w:gridCol w:w="1155"/>
        <w:gridCol w:w="1169"/>
        <w:gridCol w:w="1786"/>
        <w:gridCol w:w="1320"/>
        <w:gridCol w:w="1305"/>
        <w:gridCol w:w="1140"/>
        <w:gridCol w:w="1590"/>
        <w:gridCol w:w="1214"/>
        <w:gridCol w:w="127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片区</w:t>
            </w:r>
          </w:p>
        </w:tc>
        <w:tc>
          <w:tcPr>
            <w:tcW w:w="53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村庄</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2018年人口（人）</w:t>
            </w:r>
          </w:p>
        </w:tc>
        <w:tc>
          <w:tcPr>
            <w:tcW w:w="41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2022年人口（人）</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人均生活用水量定额（L/人•d）</w:t>
            </w:r>
          </w:p>
        </w:tc>
        <w:tc>
          <w:tcPr>
            <w:tcW w:w="46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生活需水量（m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公共建筑用水量（m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工业用水</w:t>
            </w:r>
          </w:p>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55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浇洒和绿地用水量（m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27"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管网漏失量（m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c>
          <w:tcPr>
            <w:tcW w:w="449"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合计（m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管阳片区</w:t>
            </w: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管阳村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5650</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5998</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720</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144</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rPr>
              <w:t>00</w:t>
            </w: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eastAsia="zh-CN"/>
              </w:rPr>
            </w:pPr>
            <w:r>
              <w:rPr>
                <w:rFonts w:hint="default" w:ascii="Times New Roman" w:hAnsi="Times New Roman" w:eastAsia="宋体" w:cs="Times New Roman"/>
                <w:color w:val="000000"/>
                <w:kern w:val="0"/>
                <w:sz w:val="21"/>
                <w:szCs w:val="21"/>
                <w:highlight w:val="none"/>
              </w:rPr>
              <w:t>6</w:t>
            </w:r>
            <w:r>
              <w:rPr>
                <w:rFonts w:hint="default" w:ascii="Times New Roman" w:hAnsi="Times New Roman" w:eastAsia="宋体" w:cs="Times New Roman"/>
                <w:color w:val="000000"/>
                <w:kern w:val="0"/>
                <w:sz w:val="21"/>
                <w:szCs w:val="21"/>
                <w:highlight w:val="none"/>
                <w:lang w:val="en-US" w:eastAsia="zh-CN"/>
              </w:rPr>
              <w:t>8</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rPr>
              <w:t>2</w:t>
            </w:r>
            <w:r>
              <w:rPr>
                <w:rFonts w:hint="default" w:ascii="Times New Roman" w:hAnsi="Times New Roman" w:eastAsia="宋体" w:cs="Times New Roman"/>
                <w:color w:val="000000"/>
                <w:kern w:val="0"/>
                <w:sz w:val="21"/>
                <w:szCs w:val="21"/>
                <w:highlight w:val="none"/>
                <w:lang w:val="en-US" w:eastAsia="zh-CN"/>
              </w:rPr>
              <w:t>86</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rPr>
              <w:t>1</w:t>
            </w:r>
            <w:r>
              <w:rPr>
                <w:rFonts w:hint="default" w:ascii="Times New Roman" w:hAnsi="Times New Roman" w:eastAsia="宋体" w:cs="Times New Roman"/>
                <w:color w:val="000000"/>
                <w:kern w:val="0"/>
                <w:sz w:val="21"/>
                <w:szCs w:val="21"/>
                <w:highlight w:val="none"/>
                <w:lang w:val="en-US" w:eastAsia="zh-CN"/>
              </w:rPr>
              <w:t>718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章边村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3726</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3956</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475</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24</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100</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598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广化村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2017</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2141</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257</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13</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54</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324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小计</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11393</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lang w:val="en-US" w:eastAsia="zh-CN"/>
              </w:rPr>
              <w:t>12096</w:t>
            </w:r>
          </w:p>
        </w:tc>
        <w:tc>
          <w:tcPr>
            <w:tcW w:w="62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lang w:val="en-US" w:eastAsia="zh-CN"/>
              </w:rPr>
              <w:t>1451</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144</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w:t>
            </w:r>
            <w:r>
              <w:rPr>
                <w:rFonts w:hint="default" w:ascii="Times New Roman" w:hAnsi="Times New Roman" w:cs="Times New Roman"/>
                <w:color w:val="000000"/>
                <w:highlight w:val="none"/>
              </w:rPr>
              <w:t>00</w:t>
            </w: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rPr>
              <w:t>1</w:t>
            </w:r>
            <w:r>
              <w:rPr>
                <w:rFonts w:hint="default" w:ascii="Times New Roman" w:hAnsi="Times New Roman" w:eastAsia="宋体" w:cs="Times New Roman"/>
                <w:color w:val="000000"/>
                <w:kern w:val="0"/>
                <w:sz w:val="21"/>
                <w:szCs w:val="21"/>
                <w:highlight w:val="none"/>
                <w:lang w:val="en-US" w:eastAsia="zh-CN"/>
              </w:rPr>
              <w:t>05</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rPr>
              <w:t>4</w:t>
            </w:r>
            <w:r>
              <w:rPr>
                <w:rFonts w:hint="default" w:ascii="Times New Roman" w:hAnsi="Times New Roman" w:eastAsia="宋体" w:cs="Times New Roman"/>
                <w:color w:val="000000"/>
                <w:kern w:val="0"/>
                <w:sz w:val="21"/>
                <w:szCs w:val="21"/>
                <w:highlight w:val="none"/>
                <w:lang w:val="en-US" w:eastAsia="zh-CN"/>
              </w:rPr>
              <w:t>40</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kern w:val="0"/>
                <w:sz w:val="21"/>
                <w:szCs w:val="21"/>
                <w:highlight w:val="none"/>
              </w:rPr>
              <w:t>2</w:t>
            </w:r>
            <w:r>
              <w:rPr>
                <w:rFonts w:hint="default" w:ascii="Times New Roman" w:hAnsi="Times New Roman" w:eastAsia="宋体" w:cs="Times New Roman"/>
                <w:color w:val="000000"/>
                <w:kern w:val="0"/>
                <w:sz w:val="21"/>
                <w:szCs w:val="21"/>
                <w:highlight w:val="none"/>
                <w:lang w:val="en-US" w:eastAsia="zh-CN"/>
              </w:rPr>
              <w:t>640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restar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西阳片区</w:t>
            </w: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七浦村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1290</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1370</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164</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8</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35</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207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乾头村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1438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1527</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183</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9</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38</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231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元潭村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1618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1718</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206</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10</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43</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260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溪头村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1988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2111</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253</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13</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53</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319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徐陈村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1655</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1757</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211</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11</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44</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266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西阳村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3643</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3868</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464</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93</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28</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117</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702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天竹村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3978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4223</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507</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25</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106</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639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缙阳村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1138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1208</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145</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7</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30</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183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楮楼村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1658</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1760</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211</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11</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44</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266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西昆村</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2004</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2128</w:t>
            </w:r>
          </w:p>
        </w:tc>
        <w:tc>
          <w:tcPr>
            <w:tcW w:w="628"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120</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255</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0</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13</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54</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322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539"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rPr>
              <w:t>小计</w:t>
            </w:r>
          </w:p>
        </w:tc>
        <w:tc>
          <w:tcPr>
            <w:tcW w:w="406" w:type="pct"/>
            <w:tcBorders>
              <w:tl2br w:val="nil"/>
              <w:tr2bl w:val="nil"/>
            </w:tcBorders>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20410</w:t>
            </w:r>
          </w:p>
        </w:tc>
        <w:tc>
          <w:tcPr>
            <w:tcW w:w="411"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21669</w:t>
            </w:r>
          </w:p>
        </w:tc>
        <w:tc>
          <w:tcPr>
            <w:tcW w:w="62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w:t>
            </w:r>
          </w:p>
        </w:tc>
        <w:tc>
          <w:tcPr>
            <w:tcW w:w="464"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2600</w:t>
            </w:r>
          </w:p>
        </w:tc>
        <w:tc>
          <w:tcPr>
            <w:tcW w:w="4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93</w:t>
            </w:r>
          </w:p>
        </w:tc>
        <w:tc>
          <w:tcPr>
            <w:tcW w:w="401"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0</w:t>
            </w:r>
          </w:p>
        </w:tc>
        <w:tc>
          <w:tcPr>
            <w:tcW w:w="55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135</w:t>
            </w:r>
          </w:p>
        </w:tc>
        <w:tc>
          <w:tcPr>
            <w:tcW w:w="427"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566</w:t>
            </w:r>
          </w:p>
        </w:tc>
        <w:tc>
          <w:tcPr>
            <w:tcW w:w="449" w:type="pct"/>
            <w:tcBorders>
              <w:tl2br w:val="nil"/>
              <w:tr2bl w:val="nil"/>
            </w:tcBorders>
            <w:noWrap w:val="0"/>
            <w:vAlign w:val="center"/>
          </w:tcPr>
          <w:p>
            <w:pPr>
              <w:widowControl/>
              <w:spacing w:line="240" w:lineRule="auto"/>
              <w:ind w:firstLine="0" w:firstLineChars="0"/>
              <w:jc w:val="center"/>
              <w:rPr>
                <w:rFonts w:hint="default" w:ascii="Times New Roman" w:hAnsi="Times New Roman" w:cs="Times New Roman"/>
                <w:color w:val="000000"/>
                <w:highlight w:val="none"/>
              </w:rPr>
            </w:pPr>
            <w:r>
              <w:rPr>
                <w:rFonts w:hint="default" w:ascii="Times New Roman" w:hAnsi="Times New Roman" w:eastAsia="宋体" w:cs="Times New Roman"/>
                <w:color w:val="000000"/>
                <w:kern w:val="0"/>
                <w:sz w:val="21"/>
                <w:szCs w:val="21"/>
                <w:highlight w:val="none"/>
              </w:rPr>
              <w:t>3393</w:t>
            </w:r>
          </w:p>
        </w:tc>
      </w:tr>
    </w:tbl>
    <w:p>
      <w:pPr>
        <w:bidi w:val="0"/>
        <w:rPr>
          <w:rFonts w:hint="default" w:ascii="Times New Roman" w:hAnsi="Times New Roman" w:cs="Times New Roman"/>
          <w:highlight w:val="none"/>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供水规模确定</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本次需水量计算成果采用分项指标法。</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由上述计算结果可知，管阳镇及周边乡村覆盖</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个行政村，2022年总用水量为2</w:t>
      </w:r>
      <w:r>
        <w:rPr>
          <w:rFonts w:hint="default" w:ascii="Times New Roman" w:hAnsi="Times New Roman" w:cs="Times New Roman"/>
          <w:color w:val="000000"/>
          <w:highlight w:val="none"/>
          <w:lang w:val="en-US" w:eastAsia="zh-CN"/>
        </w:rPr>
        <w:t xml:space="preserve">310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superscript"/>
        </w:rPr>
        <w:t>/</w:t>
      </w:r>
      <w:r>
        <w:rPr>
          <w:rFonts w:hint="default" w:ascii="Times New Roman" w:hAnsi="Times New Roman" w:cs="Times New Roman"/>
          <w:color w:val="000000"/>
          <w:highlight w:val="none"/>
        </w:rPr>
        <w:t>d，2030年总用水量约2</w:t>
      </w:r>
      <w:r>
        <w:rPr>
          <w:rFonts w:hint="default" w:ascii="Times New Roman" w:hAnsi="Times New Roman" w:cs="Times New Roman"/>
          <w:color w:val="000000"/>
          <w:highlight w:val="none"/>
          <w:lang w:val="en-US" w:eastAsia="zh-CN"/>
        </w:rPr>
        <w:t xml:space="preserve">640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/d；西阳村及周边乡村覆盖10个行政村，2022年总用水量为32</w:t>
      </w:r>
      <w:r>
        <w:rPr>
          <w:rFonts w:hint="default" w:ascii="Times New Roman" w:hAnsi="Times New Roman" w:cs="Times New Roman"/>
          <w:color w:val="000000"/>
          <w:highlight w:val="none"/>
          <w:lang w:val="en-US" w:eastAsia="zh-CN"/>
        </w:rPr>
        <w:t xml:space="preserve">61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/d，2030年总用水量为</w:t>
      </w:r>
      <w:r>
        <w:rPr>
          <w:rFonts w:hint="default" w:ascii="Times New Roman" w:hAnsi="Times New Roman" w:cs="Times New Roman"/>
          <w:color w:val="000000"/>
          <w:highlight w:val="none"/>
          <w:lang w:val="en-US" w:eastAsia="zh-CN"/>
        </w:rPr>
        <w:t xml:space="preserve">3393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根据项目区水资源状况、实际情况与远期发展状况，结合规划报告布局和建设单位要求，本项目水厂按远期设计，规划建设2座水厂，分别为管阳水厂、西阳水厂</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管阳水厂建设规模3000 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/d，西阳水厂建设规模3500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/d，两座水厂向项目区内1</w:t>
      </w:r>
      <w:r>
        <w:rPr>
          <w:rFonts w:hint="default" w:ascii="Times New Roman" w:hAnsi="Times New Roman" w:cs="Times New Roman"/>
          <w:color w:val="000000"/>
          <w:highlight w:val="none"/>
          <w:lang w:val="en-US" w:eastAsia="zh-CN"/>
        </w:rPr>
        <w:t>3</w:t>
      </w:r>
      <w:r>
        <w:rPr>
          <w:rFonts w:hint="default" w:ascii="Times New Roman" w:hAnsi="Times New Roman" w:cs="Times New Roman"/>
          <w:color w:val="000000"/>
          <w:highlight w:val="none"/>
        </w:rPr>
        <w:t>个行政村供水。配水管按远期设计，总规模6500</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rPr>
        <w:t>/d。</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供需平衡</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水法》规定“开发利用水资源，应当首先满足城乡居民生活用水，统筹兼顾农业、工业用水和航运需要”；“按生活、农业、工业的顺序计划限量供应；紧缩工业用水计划，严格执行定额用水，节约用水，提高水循环利用率；对农业用水应改善灌溉制度，推广管灌、喷灌、滴灌等先进灌溉技术，尽最大努力采取有效措施做好节水工作”。</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rPr>
        <w:t>根据</w:t>
      </w:r>
      <w:r>
        <w:rPr>
          <w:rFonts w:hint="default" w:ascii="Times New Roman" w:hAnsi="Times New Roman" w:cs="Times New Roman"/>
          <w:color w:val="000000"/>
          <w:highlight w:val="none"/>
          <w:lang w:val="en-US" w:eastAsia="zh-CN"/>
        </w:rPr>
        <w:t>《福鼎市管阳片区农村安全饮水工程管网部分（福鼎市城乡供水一体化二期）可行性研究报告》计算结果，各水源点可供水量情况详见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_Ref10818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表2.2-7</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_Ref10828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表2.2-8</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80" w:name="_Ref10818"/>
      <w:r>
        <w:rPr>
          <w:rFonts w:hint="default" w:ascii="Times New Roman" w:hAnsi="Times New Roman" w:cs="Times New Roman"/>
          <w:color w:val="000000"/>
          <w:highlight w:val="none"/>
          <w:lang w:val="en-US" w:eastAsia="zh-CN"/>
        </w:rPr>
        <w:t>在考虑灌溉的情况下可供水量成果表</w:t>
      </w:r>
      <w:bookmarkEnd w:id="80"/>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77"/>
        <w:gridCol w:w="3077"/>
        <w:gridCol w:w="3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水源点</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上安水库（m</w:t>
            </w:r>
            <w:r>
              <w:rPr>
                <w:rFonts w:hint="default" w:ascii="Times New Roman" w:hAnsi="Times New Roman" w:cs="Times New Roman"/>
                <w:kern w:val="0"/>
                <w:szCs w:val="20"/>
                <w:highlight w:val="none"/>
                <w:vertAlign w:val="superscript"/>
                <w:lang w:val="en-US" w:eastAsia="zh-CN"/>
              </w:rPr>
              <w:t>3</w:t>
            </w:r>
            <w:r>
              <w:rPr>
                <w:rFonts w:hint="default" w:ascii="Times New Roman" w:hAnsi="Times New Roman" w:cs="Times New Roman"/>
                <w:kern w:val="0"/>
                <w:szCs w:val="20"/>
                <w:highlight w:val="none"/>
                <w:lang w:val="en-US" w:eastAsia="zh-CN"/>
              </w:rPr>
              <w:t>/d）</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天竹水库（m</w:t>
            </w:r>
            <w:r>
              <w:rPr>
                <w:rFonts w:hint="default" w:ascii="Times New Roman" w:hAnsi="Times New Roman" w:cs="Times New Roman"/>
                <w:kern w:val="0"/>
                <w:szCs w:val="20"/>
                <w:highlight w:val="none"/>
                <w:vertAlign w:val="superscript"/>
                <w:lang w:val="en-US" w:eastAsia="zh-CN"/>
              </w:rPr>
              <w:t>3</w:t>
            </w:r>
            <w:r>
              <w:rPr>
                <w:rFonts w:hint="default" w:ascii="Times New Roman" w:hAnsi="Times New Roman" w:cs="Times New Roman"/>
                <w:kern w:val="0"/>
                <w:szCs w:val="20"/>
                <w:highlight w:val="none"/>
                <w:lang w:val="en-US" w:eastAsia="zh-CN"/>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P=50%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3920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P=75%</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2750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P=90%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2420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P=95%</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2200</w:t>
            </w:r>
          </w:p>
        </w:tc>
        <w:tc>
          <w:tcPr>
            <w:tcW w:w="1666"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1100</w:t>
            </w:r>
          </w:p>
        </w:tc>
      </w:tr>
    </w:tbl>
    <w:p>
      <w:pPr>
        <w:pStyle w:val="21"/>
        <w:bidi w:val="0"/>
        <w:rPr>
          <w:rFonts w:hint="default" w:ascii="Times New Roman" w:hAnsi="Times New Roman" w:cs="Times New Roman"/>
          <w:highlight w:val="none"/>
          <w:lang w:val="en-US" w:eastAsia="zh-CN"/>
        </w:rPr>
      </w:pPr>
      <w:bookmarkStart w:id="81" w:name="_Ref10828"/>
      <w:r>
        <w:rPr>
          <w:rFonts w:hint="default" w:ascii="Times New Roman" w:hAnsi="Times New Roman" w:cs="Times New Roman"/>
          <w:color w:val="000000"/>
          <w:highlight w:val="none"/>
          <w:lang w:val="en-US" w:eastAsia="zh-CN"/>
        </w:rPr>
        <w:t>在不考虑灌溉的情况下可供水量成果表</w:t>
      </w:r>
      <w:bookmarkEnd w:id="81"/>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2308"/>
        <w:gridCol w:w="2308"/>
        <w:gridCol w:w="23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水源点</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上安水库（m</w:t>
            </w:r>
            <w:r>
              <w:rPr>
                <w:rFonts w:hint="default" w:ascii="Times New Roman" w:hAnsi="Times New Roman" w:cs="Times New Roman"/>
                <w:kern w:val="0"/>
                <w:szCs w:val="20"/>
                <w:highlight w:val="none"/>
                <w:vertAlign w:val="superscript"/>
                <w:lang w:val="en-US" w:eastAsia="zh-CN"/>
              </w:rPr>
              <w:t>3</w:t>
            </w:r>
            <w:r>
              <w:rPr>
                <w:rFonts w:hint="default" w:ascii="Times New Roman" w:hAnsi="Times New Roman" w:cs="Times New Roman"/>
                <w:kern w:val="0"/>
                <w:szCs w:val="20"/>
                <w:highlight w:val="none"/>
                <w:lang w:val="en-US" w:eastAsia="zh-CN"/>
              </w:rPr>
              <w:t>/d）</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天竹水库（m</w:t>
            </w:r>
            <w:r>
              <w:rPr>
                <w:rFonts w:hint="default" w:ascii="Times New Roman" w:hAnsi="Times New Roman" w:cs="Times New Roman"/>
                <w:kern w:val="0"/>
                <w:szCs w:val="20"/>
                <w:highlight w:val="none"/>
                <w:vertAlign w:val="superscript"/>
                <w:lang w:val="en-US" w:eastAsia="zh-CN"/>
              </w:rPr>
              <w:t>3</w:t>
            </w:r>
            <w:r>
              <w:rPr>
                <w:rFonts w:hint="default" w:ascii="Times New Roman" w:hAnsi="Times New Roman" w:cs="Times New Roman"/>
                <w:kern w:val="0"/>
                <w:szCs w:val="20"/>
                <w:highlight w:val="none"/>
                <w:lang w:val="en-US" w:eastAsia="zh-CN"/>
              </w:rPr>
              <w:t>/d）</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龙井溪山涧水（m</w:t>
            </w:r>
            <w:r>
              <w:rPr>
                <w:rFonts w:hint="default" w:ascii="Times New Roman" w:hAnsi="Times New Roman" w:cs="Times New Roman"/>
                <w:kern w:val="0"/>
                <w:szCs w:val="20"/>
                <w:highlight w:val="none"/>
                <w:vertAlign w:val="superscript"/>
                <w:lang w:val="en-US" w:eastAsia="zh-CN"/>
              </w:rPr>
              <w:t>3</w:t>
            </w:r>
            <w:r>
              <w:rPr>
                <w:rFonts w:hint="default" w:ascii="Times New Roman" w:hAnsi="Times New Roman" w:cs="Times New Roman"/>
                <w:kern w:val="0"/>
                <w:szCs w:val="20"/>
                <w:highlight w:val="none"/>
                <w:lang w:val="en-US" w:eastAsia="zh-CN"/>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kern w:val="0"/>
                <w:szCs w:val="20"/>
                <w:highlight w:val="none"/>
                <w:lang w:val="en-US" w:eastAsia="zh-CN"/>
              </w:rPr>
              <w:t>P=90%</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2680</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1530</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tcBorders>
              <w:tl2br w:val="nil"/>
              <w:tr2bl w:val="nil"/>
            </w:tcBorders>
            <w:noWrap w:val="0"/>
            <w:vAlign w:val="center"/>
          </w:tcPr>
          <w:p>
            <w:pPr>
              <w:pStyle w:val="19"/>
              <w:bidi w:val="0"/>
              <w:ind w:firstLine="0" w:firstLineChars="0"/>
              <w:jc w:val="center"/>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cs="Times New Roman"/>
                <w:kern w:val="0"/>
                <w:szCs w:val="20"/>
                <w:highlight w:val="none"/>
                <w:lang w:val="en-US" w:eastAsia="zh-CN"/>
              </w:rPr>
              <w:t>P=95%</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2490</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1520</w:t>
            </w:r>
          </w:p>
        </w:tc>
        <w:tc>
          <w:tcPr>
            <w:tcW w:w="1250" w:type="pct"/>
            <w:tcBorders>
              <w:tl2br w:val="nil"/>
              <w:tr2bl w:val="nil"/>
            </w:tcBorders>
            <w:noWrap w:val="0"/>
            <w:vAlign w:val="center"/>
          </w:tcPr>
          <w:p>
            <w:pPr>
              <w:pStyle w:val="19"/>
              <w:bidi w:val="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1300</w:t>
            </w:r>
          </w:p>
        </w:tc>
      </w:tr>
    </w:tbl>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管阳水厂的需水量为2640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/d，建设规模为3000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/d，P=90%的情况下，</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不考虑灌溉用水，可供水量为2680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/d，可满足管阳水厂的取水需求。在P=95%的情况下，</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不考虑灌溉用水，可供水量为2490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/d，不能完全满足管阳水厂的用水需求，此时，应停止对管阳水厂的工业用水500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/d的部分，保证生活用水。</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西阳水厂的需水量为3393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/d，建设规模为3500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/d，在P=90%的情况下，天竹水库不考虑灌溉用水，可供水量为1530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/d，龙井溪山涧水的可供水量为2000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/d，水源可供水量合计3530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/d，可满足西阳水厂的取水需求。在P=95%的情况下，天竹水库不考虑灌溉用水，可供水量为1520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/d，龙井溪山涧水的可供水量为1300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/d，水源可供水量合计2830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/d，不能满足西阳水厂的取水需求，应在减少道路浇洒用水，尽可能保障生活用水。</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施工期影响环节分析</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施工期工程对周围环境产生影响因素主要包括施工建设活动及施工人员产生的污废水、机械车辆运行产生的噪声及尾气、土石方开挖及施工人员产生的固体废物等。工程对环境产生的影响作用分析见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_Ref11197 \n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表2.2-9</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82" w:name="_Ref11197"/>
      <w:r>
        <w:rPr>
          <w:rFonts w:hint="default" w:ascii="Times New Roman" w:hAnsi="Times New Roman" w:cs="Times New Roman"/>
          <w:color w:val="000000"/>
          <w:highlight w:val="none"/>
          <w:lang w:val="en-US" w:eastAsia="zh-CN"/>
        </w:rPr>
        <w:t>施工期环境影响分析</w:t>
      </w:r>
      <w:bookmarkEnd w:id="82"/>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2"/>
        <w:gridCol w:w="1986"/>
        <w:gridCol w:w="2520"/>
        <w:gridCol w:w="26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11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施工阶段</w:t>
            </w: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施工内容</w:t>
            </w:r>
          </w:p>
        </w:tc>
        <w:tc>
          <w:tcPr>
            <w:tcW w:w="136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影响因素</w:t>
            </w: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影响对象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管道工程</w:t>
            </w: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土石方开挖</w:t>
            </w:r>
          </w:p>
        </w:tc>
        <w:tc>
          <w:tcPr>
            <w:tcW w:w="136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扰动地表、废气、噪声、弃渣</w:t>
            </w: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植被、水土流失、大气环境、声环境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临时道路</w:t>
            </w: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土石方开挖、填筑</w:t>
            </w:r>
          </w:p>
        </w:tc>
        <w:tc>
          <w:tcPr>
            <w:tcW w:w="136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扰动地表、废气、扬尘、弃渣</w:t>
            </w: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植被、水土流失、大气环境、声环境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临时施工场地</w:t>
            </w: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土地平整</w:t>
            </w:r>
          </w:p>
        </w:tc>
        <w:tc>
          <w:tcPr>
            <w:tcW w:w="1364" w:type="pct"/>
            <w:vMerge w:val="restar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扰动地表、废气、扬尘、固体废物</w:t>
            </w: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植被、水土流失、大气环境、声环境、水环境、人群健康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施工人员</w:t>
            </w:r>
          </w:p>
        </w:tc>
        <w:tc>
          <w:tcPr>
            <w:tcW w:w="136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钢木加工</w:t>
            </w:r>
          </w:p>
        </w:tc>
        <w:tc>
          <w:tcPr>
            <w:tcW w:w="1364" w:type="pct"/>
            <w:vMerge w:val="continue"/>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大气环境、声环境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7"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材料运输</w:t>
            </w:r>
          </w:p>
        </w:tc>
        <w:tc>
          <w:tcPr>
            <w:tcW w:w="1075"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车辆运输</w:t>
            </w:r>
          </w:p>
        </w:tc>
        <w:tc>
          <w:tcPr>
            <w:tcW w:w="1364"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扬尘、噪声</w:t>
            </w:r>
          </w:p>
        </w:tc>
        <w:tc>
          <w:tcPr>
            <w:tcW w:w="1442" w:type="pct"/>
            <w:tcBorders>
              <w:tl2br w:val="nil"/>
              <w:tr2bl w:val="nil"/>
            </w:tcBorders>
            <w:noWrap w:val="0"/>
            <w:vAlign w:val="center"/>
          </w:tcPr>
          <w:p>
            <w:pPr>
              <w:pStyle w:val="19"/>
              <w:bidi w:val="0"/>
              <w:jc w:val="center"/>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环境空气、声环境</w:t>
            </w:r>
          </w:p>
        </w:tc>
      </w:tr>
    </w:tbl>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施工期主要影响源分析</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废水</w:t>
      </w:r>
    </w:p>
    <w:p>
      <w:pPr>
        <w:bidi w:val="0"/>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施工期产生的水污染源强主要包括</w:t>
      </w:r>
      <w:r>
        <w:rPr>
          <w:rFonts w:hint="default" w:ascii="Times New Roman" w:hAnsi="Times New Roman" w:cs="Times New Roman"/>
          <w:color w:val="000000"/>
          <w:szCs w:val="24"/>
          <w:highlight w:val="none"/>
        </w:rPr>
        <w:t>施工机械、运输车辆的清洁废水，土方开挖泥浆水及</w:t>
      </w:r>
      <w:r>
        <w:rPr>
          <w:rFonts w:hint="default" w:ascii="Times New Roman" w:hAnsi="Times New Roman" w:cs="Times New Roman"/>
          <w:color w:val="000000"/>
          <w:highlight w:val="none"/>
        </w:rPr>
        <w:t>施工人员</w:t>
      </w:r>
      <w:r>
        <w:rPr>
          <w:rFonts w:hint="default" w:ascii="Times New Roman" w:hAnsi="Times New Roman" w:cs="Times New Roman"/>
          <w:color w:val="000000"/>
          <w:highlight w:val="none"/>
          <w:lang w:val="en-US" w:eastAsia="zh-CN"/>
        </w:rPr>
        <w:t>的</w:t>
      </w:r>
      <w:r>
        <w:rPr>
          <w:rFonts w:hint="default" w:ascii="Times New Roman" w:hAnsi="Times New Roman" w:cs="Times New Roman"/>
          <w:color w:val="000000"/>
          <w:highlight w:val="none"/>
        </w:rPr>
        <w:t>生活污水等</w:t>
      </w:r>
      <w:r>
        <w:rPr>
          <w:rFonts w:hint="default" w:ascii="Times New Roman" w:hAnsi="Times New Roman" w:cs="Times New Roman"/>
          <w:color w:val="000000"/>
          <w:highlight w:val="none"/>
          <w:lang w:eastAsia="zh-CN"/>
        </w:rPr>
        <w:t>。</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（1）生产废水</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本项目施工期施工生产废水主要来自汽车机械设备冲洗</w:t>
      </w:r>
      <w:r>
        <w:rPr>
          <w:rFonts w:hint="default" w:ascii="Times New Roman" w:hAnsi="Times New Roman" w:cs="Times New Roman"/>
          <w:color w:val="000000"/>
          <w:highlight w:val="none"/>
          <w:lang w:val="en-US" w:eastAsia="zh-CN"/>
        </w:rPr>
        <w:t>的</w:t>
      </w:r>
      <w:r>
        <w:rPr>
          <w:rFonts w:hint="default" w:ascii="Times New Roman" w:hAnsi="Times New Roman" w:cs="Times New Roman"/>
          <w:color w:val="000000"/>
          <w:highlight w:val="none"/>
        </w:rPr>
        <w:t>含油废水、混凝土浇筑养护用水等，其中混凝土浇筑养护用水大多被吸收或蒸发，故其废水排放污染可忽略不计。</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机械临时保养站</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含停车场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对运输车辆和机械设备冲洗主要集中在每日晚上进行1次，估计每次冲洗总耗时约为2</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h，每次每辆</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台</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运输车辆和机械设备平均冲洗废水量约为0.6</w:t>
      </w:r>
      <w:r>
        <w:rPr>
          <w:rFonts w:hint="default" w:ascii="Times New Roman" w:hAnsi="Times New Roman" w:cs="Times New Roman"/>
          <w:color w:val="000000"/>
          <w:highlight w:val="none"/>
          <w:lang w:val="en-US" w:eastAsia="zh-CN"/>
        </w:rPr>
        <w:t xml:space="preserve"> </w:t>
      </w:r>
      <w:r>
        <w:rPr>
          <w:rFonts w:hint="default" w:ascii="Times New Roman" w:hAnsi="Times New Roman" w:cs="Times New Roman"/>
          <w:color w:val="000000"/>
          <w:highlight w:val="none"/>
        </w:rPr>
        <w:t>t，主要污染物是含有石油类物质和高浓度的泥沙。施工机械临时保养站应设置临时沉淀池，沉淀池周边做好防渗砌护，池底铺设沙子起到截留作用个，石油类物质被沙子截留后定期清运至指定的弃渣场，沉淀池不断补充沙子，用于净化含石油类污水。项目施工机械维修依托福鼎市当地机修站进行。</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本项目运输车辆和机械设备包括挖掘机、自卸汽车</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载重汽车</w:t>
      </w:r>
      <w:r>
        <w:rPr>
          <w:rFonts w:hint="default" w:ascii="Times New Roman" w:hAnsi="Times New Roman" w:cs="Times New Roman"/>
          <w:color w:val="000000"/>
          <w:highlight w:val="none"/>
        </w:rPr>
        <w:t>及各类车辆共约</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rPr>
        <w:t>0辆，则施工期高峰生产</w:t>
      </w:r>
      <w:r>
        <w:rPr>
          <w:rFonts w:hint="default" w:ascii="Times New Roman" w:hAnsi="Times New Roman" w:cs="Times New Roman"/>
          <w:color w:val="000000"/>
          <w:highlight w:val="none"/>
          <w:lang w:val="en-US" w:eastAsia="zh-CN"/>
        </w:rPr>
        <w:t>废水</w:t>
      </w:r>
      <w:r>
        <w:rPr>
          <w:rFonts w:hint="default" w:ascii="Times New Roman" w:hAnsi="Times New Roman" w:cs="Times New Roman"/>
          <w:color w:val="000000"/>
          <w:highlight w:val="none"/>
        </w:rPr>
        <w:t>污染物产生量和排放量见</w:t>
      </w: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REF _Ref12742 \n \h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表2.2-10</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w:t>
      </w:r>
    </w:p>
    <w:p>
      <w:pPr>
        <w:pStyle w:val="21"/>
        <w:bidi w:val="0"/>
        <w:rPr>
          <w:rFonts w:hint="default" w:ascii="Times New Roman" w:hAnsi="Times New Roman" w:cs="Times New Roman"/>
          <w:color w:val="000000"/>
          <w:highlight w:val="none"/>
          <w:lang w:val="en-US" w:eastAsia="zh-CN"/>
        </w:rPr>
      </w:pPr>
      <w:bookmarkStart w:id="83" w:name="_Ref12742"/>
      <w:r>
        <w:rPr>
          <w:rFonts w:hint="default" w:ascii="Times New Roman" w:hAnsi="Times New Roman" w:cs="Times New Roman"/>
          <w:color w:val="000000"/>
          <w:highlight w:val="none"/>
          <w:lang w:val="en-US" w:eastAsia="zh-CN"/>
        </w:rPr>
        <w:t>施工期高峰生产废水污染物产生量与排放量</w:t>
      </w:r>
      <w:bookmarkEnd w:id="83"/>
    </w:p>
    <w:tbl>
      <w:tblPr>
        <w:tblStyle w:val="16"/>
        <w:tblW w:w="4996"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57" w:type="dxa"/>
          <w:bottom w:w="0" w:type="dxa"/>
          <w:right w:w="57" w:type="dxa"/>
        </w:tblCellMar>
      </w:tblPr>
      <w:tblGrid>
        <w:gridCol w:w="1069"/>
        <w:gridCol w:w="1447"/>
        <w:gridCol w:w="1650"/>
        <w:gridCol w:w="1650"/>
        <w:gridCol w:w="1650"/>
        <w:gridCol w:w="165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40" w:hRule="atLeast"/>
          <w:jc w:val="center"/>
        </w:trPr>
        <w:tc>
          <w:tcPr>
            <w:tcW w:w="586"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序号</w:t>
            </w:r>
          </w:p>
        </w:tc>
        <w:tc>
          <w:tcPr>
            <w:tcW w:w="793" w:type="pct"/>
            <w:vMerge w:val="restar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w:t>
            </w:r>
          </w:p>
        </w:tc>
        <w:tc>
          <w:tcPr>
            <w:tcW w:w="1808" w:type="pct"/>
            <w:gridSpan w:val="2"/>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污染物浓度(mg/L)</w:t>
            </w:r>
          </w:p>
        </w:tc>
        <w:tc>
          <w:tcPr>
            <w:tcW w:w="1812" w:type="pct"/>
            <w:gridSpan w:val="2"/>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最大污染源强(kg/h)</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40" w:hRule="atLeast"/>
          <w:jc w:val="center"/>
        </w:trPr>
        <w:tc>
          <w:tcPr>
            <w:tcW w:w="586"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793" w:type="pct"/>
            <w:vMerge w:val="continue"/>
            <w:tcBorders>
              <w:tl2br w:val="nil"/>
              <w:tr2bl w:val="nil"/>
            </w:tcBorders>
            <w:noWrap w:val="0"/>
            <w:vAlign w:val="center"/>
          </w:tcPr>
          <w:p>
            <w:pPr>
              <w:pStyle w:val="19"/>
              <w:bidi w:val="0"/>
              <w:rPr>
                <w:rFonts w:hint="default" w:ascii="Times New Roman" w:hAnsi="Times New Roman" w:cs="Times New Roman"/>
                <w:color w:val="000000"/>
                <w:highlight w:val="none"/>
              </w:rPr>
            </w:pPr>
          </w:p>
        </w:tc>
        <w:tc>
          <w:tcPr>
            <w:tcW w:w="90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产生</w:t>
            </w:r>
            <w:r>
              <w:rPr>
                <w:rFonts w:hint="default" w:ascii="Times New Roman" w:hAnsi="Times New Roman" w:cs="Times New Roman"/>
                <w:color w:val="000000"/>
                <w:highlight w:val="none"/>
                <w:lang w:val="en-US" w:eastAsia="zh-CN"/>
              </w:rPr>
              <w:t>情况</w:t>
            </w:r>
          </w:p>
        </w:tc>
        <w:tc>
          <w:tcPr>
            <w:tcW w:w="90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排放</w:t>
            </w:r>
            <w:r>
              <w:rPr>
                <w:rFonts w:hint="default" w:ascii="Times New Roman" w:hAnsi="Times New Roman" w:cs="Times New Roman"/>
                <w:color w:val="000000"/>
                <w:highlight w:val="none"/>
                <w:lang w:val="en-US" w:eastAsia="zh-CN"/>
              </w:rPr>
              <w:t>情况</w:t>
            </w:r>
          </w:p>
        </w:tc>
        <w:tc>
          <w:tcPr>
            <w:tcW w:w="90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产生</w:t>
            </w:r>
            <w:r>
              <w:rPr>
                <w:rFonts w:hint="default" w:ascii="Times New Roman" w:hAnsi="Times New Roman" w:cs="Times New Roman"/>
                <w:color w:val="000000"/>
                <w:highlight w:val="none"/>
                <w:lang w:val="en-US" w:eastAsia="zh-CN"/>
              </w:rPr>
              <w:t>量</w:t>
            </w:r>
          </w:p>
        </w:tc>
        <w:tc>
          <w:tcPr>
            <w:tcW w:w="90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rPr>
              <w:t>排放</w:t>
            </w:r>
            <w:r>
              <w:rPr>
                <w:rFonts w:hint="default" w:ascii="Times New Roman" w:hAnsi="Times New Roman" w:cs="Times New Roman"/>
                <w:color w:val="000000"/>
                <w:highlight w:val="none"/>
                <w:lang w:val="en-US" w:eastAsia="zh-CN"/>
              </w:rPr>
              <w:t>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40" w:hRule="atLeast"/>
          <w:jc w:val="center"/>
        </w:trPr>
        <w:tc>
          <w:tcPr>
            <w:tcW w:w="58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1</w:t>
            </w:r>
          </w:p>
        </w:tc>
        <w:tc>
          <w:tcPr>
            <w:tcW w:w="793"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SS</w:t>
            </w:r>
          </w:p>
        </w:tc>
        <w:tc>
          <w:tcPr>
            <w:tcW w:w="90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3000</w:t>
            </w:r>
          </w:p>
        </w:tc>
        <w:tc>
          <w:tcPr>
            <w:tcW w:w="90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70</w:t>
            </w:r>
          </w:p>
        </w:tc>
        <w:tc>
          <w:tcPr>
            <w:tcW w:w="90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w:t>
            </w:r>
          </w:p>
        </w:tc>
        <w:tc>
          <w:tcPr>
            <w:tcW w:w="90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0.21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40" w:hRule="atLeast"/>
          <w:jc w:val="center"/>
        </w:trPr>
        <w:tc>
          <w:tcPr>
            <w:tcW w:w="58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w:t>
            </w:r>
          </w:p>
        </w:tc>
        <w:tc>
          <w:tcPr>
            <w:tcW w:w="793"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石油类</w:t>
            </w:r>
          </w:p>
        </w:tc>
        <w:tc>
          <w:tcPr>
            <w:tcW w:w="90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20</w:t>
            </w:r>
          </w:p>
        </w:tc>
        <w:tc>
          <w:tcPr>
            <w:tcW w:w="904"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04"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0.06</w:t>
            </w:r>
          </w:p>
        </w:tc>
        <w:tc>
          <w:tcPr>
            <w:tcW w:w="908" w:type="pct"/>
            <w:tcBorders>
              <w:tl2br w:val="nil"/>
              <w:tr2bl w:val="nil"/>
            </w:tcBorders>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0.015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cantSplit/>
          <w:trHeight w:val="340" w:hRule="atLeast"/>
          <w:jc w:val="center"/>
        </w:trPr>
        <w:tc>
          <w:tcPr>
            <w:tcW w:w="586"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3</w:t>
            </w:r>
          </w:p>
        </w:tc>
        <w:tc>
          <w:tcPr>
            <w:tcW w:w="793" w:type="pct"/>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污水量</w:t>
            </w:r>
          </w:p>
        </w:tc>
        <w:tc>
          <w:tcPr>
            <w:tcW w:w="3620" w:type="pct"/>
            <w:gridSpan w:val="4"/>
            <w:tcBorders>
              <w:tl2br w:val="nil"/>
              <w:tr2bl w:val="nil"/>
            </w:tcBorders>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 xml:space="preserve">6 </w:t>
            </w:r>
            <w:r>
              <w:rPr>
                <w:rFonts w:hint="default" w:ascii="Times New Roman" w:hAnsi="Times New Roman" w:cs="Times New Roman"/>
                <w:color w:val="000000"/>
                <w:highlight w:val="none"/>
              </w:rPr>
              <w:t>t/d</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 xml:space="preserve">3 </w:t>
            </w:r>
            <w:r>
              <w:rPr>
                <w:rFonts w:hint="default" w:ascii="Times New Roman" w:hAnsi="Times New Roman" w:cs="Times New Roman"/>
                <w:color w:val="000000"/>
                <w:highlight w:val="none"/>
              </w:rPr>
              <w:t>t/h</w:t>
            </w:r>
          </w:p>
        </w:tc>
      </w:tr>
    </w:tbl>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2</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土方开挖泥浆水</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土方开挖泥浆水包括管道</w:t>
      </w:r>
      <w:r>
        <w:rPr>
          <w:rFonts w:hint="default" w:ascii="Times New Roman" w:hAnsi="Times New Roman" w:cs="Times New Roman"/>
          <w:color w:val="000000"/>
          <w:highlight w:val="none"/>
          <w:lang w:val="en-US" w:eastAsia="zh-CN"/>
        </w:rPr>
        <w:t>和泵房</w:t>
      </w:r>
      <w:r>
        <w:rPr>
          <w:rFonts w:hint="default" w:ascii="Times New Roman" w:hAnsi="Times New Roman" w:cs="Times New Roman"/>
          <w:color w:val="000000"/>
          <w:highlight w:val="none"/>
        </w:rPr>
        <w:t>基坑开挖阶段受大气降水及地下水侧向补给影响，部分管段产生的基坑水，以及雨水冲刷施工场地产生的泥浆水，这种废水一般情况下主要含有砂土、悬浮物等，不含其它可溶性的有害物质。管道基坑内积水可设置集水坑采用水泵抽至沉淀池内沉淀后用于周边场地及道路的晒水。施工场地内产生的泥浆水通过在场地低洼地段设置雨水收集池，沉淀后回用于施工场地及周边道路的晒水。</w:t>
      </w:r>
    </w:p>
    <w:p>
      <w:pPr>
        <w:bidi w:val="0"/>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（3）生活污水</w:t>
      </w:r>
    </w:p>
    <w:p>
      <w:pPr>
        <w:rPr>
          <w:rFonts w:hint="default" w:ascii="Times New Roman" w:hAnsi="Times New Roman" w:eastAsia="宋体" w:cs="Times New Roman"/>
          <w:color w:val="000000"/>
          <w:sz w:val="24"/>
          <w:szCs w:val="24"/>
          <w:highlight w:val="none"/>
          <w:lang w:eastAsia="zh-CN"/>
        </w:rPr>
      </w:pPr>
      <w:r>
        <w:rPr>
          <w:rFonts w:hint="default" w:ascii="Times New Roman" w:hAnsi="Times New Roman" w:cs="Times New Roman"/>
          <w:color w:val="000000"/>
          <w:highlight w:val="none"/>
          <w:lang w:val="en-US" w:eastAsia="zh-CN"/>
        </w:rPr>
        <w:t>本工程施工高峰人数约为150人，</w:t>
      </w:r>
      <w:r>
        <w:rPr>
          <w:rFonts w:hint="default" w:ascii="Times New Roman" w:hAnsi="Times New Roman" w:cs="Times New Roman"/>
          <w:color w:val="000000"/>
          <w:sz w:val="24"/>
          <w:szCs w:val="24"/>
          <w:highlight w:val="none"/>
        </w:rPr>
        <w:t>根据《建筑给水排水设计规范》（GB50015-2003），施工人员生活用水标准取50</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rPr>
        <w:t>L/（</w:t>
      </w:r>
      <w:r>
        <w:rPr>
          <w:rFonts w:hint="default" w:ascii="Times New Roman" w:hAnsi="Times New Roman" w:cs="Times New Roman"/>
          <w:color w:val="000000"/>
          <w:sz w:val="24"/>
          <w:szCs w:val="24"/>
          <w:highlight w:val="none"/>
          <w:lang w:val="en-US" w:eastAsia="zh-CN"/>
        </w:rPr>
        <w:t>p</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szCs w:val="24"/>
          <w:highlight w:val="none"/>
          <w:lang w:val="en-US" w:eastAsia="zh-CN"/>
        </w:rPr>
        <w:t>d</w:t>
      </w:r>
      <w:r>
        <w:rPr>
          <w:rFonts w:hint="default" w:ascii="Times New Roman" w:hAnsi="Times New Roman" w:cs="Times New Roman"/>
          <w:color w:val="000000"/>
          <w:sz w:val="24"/>
          <w:szCs w:val="24"/>
          <w:highlight w:val="none"/>
        </w:rPr>
        <w:t>），污水排放系数取0.8，则本项目施工人员</w:t>
      </w:r>
      <w:r>
        <w:rPr>
          <w:rFonts w:hint="default" w:ascii="Times New Roman" w:hAnsi="Times New Roman" w:cs="Times New Roman"/>
          <w:color w:val="000000"/>
          <w:sz w:val="24"/>
          <w:szCs w:val="24"/>
          <w:highlight w:val="none"/>
          <w:lang w:val="en-US" w:eastAsia="zh-CN"/>
        </w:rPr>
        <w:t>生活用水量约为7.5 t/d，</w:t>
      </w:r>
      <w:r>
        <w:rPr>
          <w:rFonts w:hint="default" w:ascii="Times New Roman" w:hAnsi="Times New Roman" w:cs="Times New Roman"/>
          <w:color w:val="000000"/>
          <w:sz w:val="24"/>
          <w:szCs w:val="24"/>
          <w:highlight w:val="none"/>
        </w:rPr>
        <w:t>生活污水排放量约</w:t>
      </w:r>
      <w:r>
        <w:rPr>
          <w:rFonts w:hint="default" w:ascii="Times New Roman" w:hAnsi="Times New Roman" w:cs="Times New Roman"/>
          <w:color w:val="000000"/>
          <w:sz w:val="24"/>
          <w:szCs w:val="24"/>
          <w:highlight w:val="none"/>
          <w:lang w:val="en-US" w:eastAsia="zh-CN"/>
        </w:rPr>
        <w:t xml:space="preserve">6.0 </w:t>
      </w:r>
      <w:r>
        <w:rPr>
          <w:rFonts w:hint="default" w:ascii="Times New Roman" w:hAnsi="Times New Roman" w:cs="Times New Roman"/>
          <w:color w:val="000000"/>
          <w:sz w:val="24"/>
          <w:szCs w:val="24"/>
          <w:highlight w:val="none"/>
        </w:rPr>
        <w:t>t/d。</w:t>
      </w:r>
      <w:r>
        <w:rPr>
          <w:rFonts w:hint="default" w:ascii="Times New Roman" w:hAnsi="Times New Roman" w:cs="Times New Roman"/>
          <w:color w:val="000000"/>
          <w:highlight w:val="none"/>
        </w:rPr>
        <w:t>施工人员均</w:t>
      </w:r>
      <w:r>
        <w:rPr>
          <w:rFonts w:hint="default" w:ascii="Times New Roman" w:hAnsi="Times New Roman" w:cs="Times New Roman"/>
          <w:color w:val="000000"/>
          <w:highlight w:val="none"/>
          <w:lang w:val="en-US" w:eastAsia="zh-CN"/>
        </w:rPr>
        <w:t>聘用当</w:t>
      </w:r>
      <w:r>
        <w:rPr>
          <w:rFonts w:hint="default" w:ascii="Times New Roman" w:hAnsi="Times New Roman" w:cs="Times New Roman"/>
          <w:color w:val="000000"/>
          <w:highlight w:val="none"/>
        </w:rPr>
        <w:t>地居民，无需设置施工营地，生活污水纳入当地</w:t>
      </w:r>
      <w:r>
        <w:rPr>
          <w:rFonts w:hint="default" w:ascii="Times New Roman" w:hAnsi="Times New Roman" w:cs="Times New Roman"/>
          <w:color w:val="000000"/>
          <w:highlight w:val="none"/>
          <w:lang w:val="en-US" w:eastAsia="zh-CN"/>
        </w:rPr>
        <w:t>农村</w:t>
      </w:r>
      <w:r>
        <w:rPr>
          <w:rFonts w:hint="default" w:ascii="Times New Roman" w:hAnsi="Times New Roman" w:cs="Times New Roman"/>
          <w:color w:val="000000"/>
          <w:highlight w:val="none"/>
        </w:rPr>
        <w:t>污水处理系统</w:t>
      </w:r>
      <w:r>
        <w:rPr>
          <w:rFonts w:hint="default" w:ascii="Times New Roman" w:hAnsi="Times New Roman" w:cs="Times New Roman"/>
          <w:color w:val="000000"/>
          <w:highlight w:val="none"/>
          <w:lang w:eastAsia="zh-CN"/>
        </w:rPr>
        <w:t>。</w:t>
      </w:r>
    </w:p>
    <w:p>
      <w:pPr>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highlight w:val="none"/>
        </w:rPr>
        <w:t>参考《给排水设计手册》（第五册 城镇排水）典型生活污水水质示例，各指标浓度的变化范围大体可分为高、中、低三个范围，即COD浓度范围1000-400-250 mg/L；BOD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浓度范围400-220-110 mg/L；SS浓度范围：350-200-100 mg/L</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NH</w:t>
      </w:r>
      <w:r>
        <w:rPr>
          <w:rFonts w:hint="default" w:ascii="Times New Roman" w:hAnsi="Times New Roman" w:cs="Times New Roman"/>
          <w:color w:val="000000"/>
          <w:highlight w:val="none"/>
          <w:vertAlign w:val="subscript"/>
          <w:lang w:val="en-US" w:eastAsia="zh-CN"/>
        </w:rPr>
        <w:t>3</w:t>
      </w:r>
      <w:r>
        <w:rPr>
          <w:rFonts w:hint="default" w:ascii="Times New Roman" w:hAnsi="Times New Roman" w:cs="Times New Roman"/>
          <w:color w:val="000000"/>
          <w:highlight w:val="none"/>
          <w:lang w:val="en-US" w:eastAsia="zh-CN"/>
        </w:rPr>
        <w:t>-N</w:t>
      </w:r>
      <w:r>
        <w:rPr>
          <w:rFonts w:hint="default" w:ascii="Times New Roman" w:hAnsi="Times New Roman" w:eastAsia="宋体" w:cs="Times New Roman"/>
          <w:color w:val="000000"/>
          <w:highlight w:val="none"/>
          <w:lang w:val="en-US" w:eastAsia="zh-CN"/>
        </w:rPr>
        <w:t>浓度范围</w:t>
      </w:r>
      <w:r>
        <w:rPr>
          <w:rFonts w:hint="default" w:ascii="Times New Roman" w:hAnsi="Times New Roman" w:cs="Times New Roman"/>
          <w:color w:val="000000"/>
          <w:highlight w:val="none"/>
          <w:lang w:val="en-US" w:eastAsia="zh-CN"/>
        </w:rPr>
        <w:t>50-25-12</w:t>
      </w:r>
      <w:r>
        <w:rPr>
          <w:rFonts w:hint="default" w:ascii="Times New Roman" w:hAnsi="Times New Roman" w:eastAsia="宋体" w:cs="Times New Roman"/>
          <w:color w:val="000000"/>
          <w:highlight w:val="none"/>
          <w:lang w:val="en-US" w:eastAsia="zh-CN"/>
        </w:rPr>
        <w:t xml:space="preserve"> mg/L（浓度从高到低）</w:t>
      </w:r>
      <w:r>
        <w:rPr>
          <w:rFonts w:hint="default" w:ascii="Times New Roman" w:hAnsi="Times New Roman" w:cs="Times New Roman"/>
          <w:color w:val="000000"/>
          <w:highlight w:val="none"/>
        </w:rPr>
        <w:t>（浓度从高到低）。本</w:t>
      </w:r>
      <w:r>
        <w:rPr>
          <w:rFonts w:hint="default" w:ascii="Times New Roman" w:hAnsi="Times New Roman" w:cs="Times New Roman"/>
          <w:color w:val="000000"/>
          <w:highlight w:val="none"/>
          <w:lang w:val="en-US" w:eastAsia="zh-CN"/>
        </w:rPr>
        <w:t>次评价</w:t>
      </w:r>
      <w:r>
        <w:rPr>
          <w:rFonts w:hint="default" w:ascii="Times New Roman" w:hAnsi="Times New Roman" w:cs="Times New Roman"/>
          <w:color w:val="000000"/>
          <w:highlight w:val="none"/>
        </w:rPr>
        <w:t>生活污水中主要污染指标浓度取值为COD：400 mg/L、BOD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：220 mg/L、SS：200 mg/L、氨氮：35 mg/L</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则</w:t>
      </w:r>
      <w:r>
        <w:rPr>
          <w:rFonts w:hint="default" w:ascii="Times New Roman" w:hAnsi="Times New Roman" w:cs="Times New Roman"/>
          <w:color w:val="000000"/>
          <w:sz w:val="24"/>
          <w:szCs w:val="24"/>
          <w:highlight w:val="none"/>
          <w:lang w:val="en-US" w:eastAsia="zh-CN"/>
        </w:rPr>
        <w:t>施工期生活污水污染物产生量见</w:t>
      </w:r>
      <w:r>
        <w:rPr>
          <w:rFonts w:hint="default" w:ascii="Times New Roman" w:hAnsi="Times New Roman" w:cs="Times New Roman"/>
          <w:color w:val="000000"/>
          <w:sz w:val="24"/>
          <w:szCs w:val="24"/>
          <w:highlight w:val="none"/>
          <w:lang w:val="en-US" w:eastAsia="zh-CN"/>
        </w:rPr>
        <w:fldChar w:fldCharType="begin"/>
      </w:r>
      <w:r>
        <w:rPr>
          <w:rFonts w:hint="default" w:ascii="Times New Roman" w:hAnsi="Times New Roman" w:cs="Times New Roman"/>
          <w:color w:val="000000"/>
          <w:sz w:val="24"/>
          <w:szCs w:val="24"/>
          <w:highlight w:val="none"/>
          <w:lang w:val="en-US" w:eastAsia="zh-CN"/>
        </w:rPr>
        <w:instrText xml:space="preserve"> REF _Ref13271 \n \h </w:instrText>
      </w:r>
      <w:r>
        <w:rPr>
          <w:rFonts w:hint="default" w:ascii="Times New Roman" w:hAnsi="Times New Roman" w:cs="Times New Roman"/>
          <w:color w:val="000000"/>
          <w:sz w:val="24"/>
          <w:szCs w:val="24"/>
          <w:highlight w:val="none"/>
          <w:lang w:val="en-US" w:eastAsia="zh-CN"/>
        </w:rPr>
        <w:fldChar w:fldCharType="separate"/>
      </w:r>
      <w:r>
        <w:rPr>
          <w:rFonts w:hint="default" w:ascii="Times New Roman" w:hAnsi="Times New Roman" w:cs="Times New Roman"/>
          <w:color w:val="000000"/>
          <w:sz w:val="24"/>
          <w:szCs w:val="24"/>
          <w:highlight w:val="none"/>
          <w:lang w:val="en-US" w:eastAsia="zh-CN"/>
        </w:rPr>
        <w:t>表2.2-11</w:t>
      </w:r>
      <w:r>
        <w:rPr>
          <w:rFonts w:hint="default" w:ascii="Times New Roman" w:hAnsi="Times New Roman" w:cs="Times New Roman"/>
          <w:color w:val="000000"/>
          <w:sz w:val="24"/>
          <w:szCs w:val="24"/>
          <w:highlight w:val="none"/>
          <w:lang w:val="en-US" w:eastAsia="zh-CN"/>
        </w:rPr>
        <w:fldChar w:fldCharType="end"/>
      </w:r>
      <w:r>
        <w:rPr>
          <w:rFonts w:hint="default" w:ascii="Times New Roman" w:hAnsi="Times New Roman" w:cs="Times New Roman"/>
          <w:color w:val="000000"/>
          <w:sz w:val="24"/>
          <w:szCs w:val="24"/>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84" w:name="_Ref13271"/>
      <w:r>
        <w:rPr>
          <w:rFonts w:hint="default" w:ascii="Times New Roman" w:hAnsi="Times New Roman" w:cs="Times New Roman"/>
          <w:color w:val="000000"/>
          <w:highlight w:val="none"/>
          <w:lang w:val="en-US" w:eastAsia="zh-CN"/>
        </w:rPr>
        <w:t>施工期生活污水产生量</w:t>
      </w:r>
      <w:bookmarkEnd w:id="84"/>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2278"/>
        <w:gridCol w:w="1429"/>
        <w:gridCol w:w="1429"/>
        <w:gridCol w:w="1429"/>
        <w:gridCol w:w="14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01" w:type="pct"/>
            <w:gridSpan w:val="2"/>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类别</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COD</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BOD</w:t>
            </w:r>
            <w:r>
              <w:rPr>
                <w:rFonts w:hint="default" w:ascii="Times New Roman" w:hAnsi="Times New Roman" w:cs="Times New Roman"/>
                <w:color w:val="000000"/>
                <w:kern w:val="0"/>
                <w:szCs w:val="20"/>
                <w:highlight w:val="none"/>
                <w:vertAlign w:val="subscript"/>
                <w:lang w:val="en-US" w:eastAsia="zh-CN"/>
              </w:rPr>
              <w:t>5</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SS</w:t>
            </w:r>
          </w:p>
        </w:tc>
        <w:tc>
          <w:tcPr>
            <w:tcW w:w="775"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NH</w:t>
            </w:r>
            <w:r>
              <w:rPr>
                <w:rFonts w:hint="default" w:ascii="Times New Roman" w:hAnsi="Times New Roman" w:cs="Times New Roman"/>
                <w:color w:val="000000"/>
                <w:kern w:val="0"/>
                <w:szCs w:val="20"/>
                <w:highlight w:val="none"/>
                <w:vertAlign w:val="subscript"/>
                <w:lang w:val="en-US" w:eastAsia="zh-CN"/>
              </w:rPr>
              <w:t>3</w:t>
            </w:r>
            <w:r>
              <w:rPr>
                <w:rFonts w:hint="default" w:ascii="Times New Roman" w:hAnsi="Times New Roman" w:cs="Times New Roman"/>
                <w:color w:val="000000"/>
                <w:kern w:val="0"/>
                <w:szCs w:val="20"/>
                <w:highlight w:val="none"/>
                <w:lang w:val="en-US" w:eastAsia="zh-CN"/>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pct"/>
            <w:vMerge w:val="restar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生活污水（0.84 t/d）</w:t>
            </w:r>
          </w:p>
        </w:tc>
        <w:tc>
          <w:tcPr>
            <w:tcW w:w="1233"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原始浓度（mg/L）</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400</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220</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200</w:t>
            </w:r>
          </w:p>
        </w:tc>
        <w:tc>
          <w:tcPr>
            <w:tcW w:w="775"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pct"/>
            <w:vMerge w:val="continue"/>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p>
        </w:tc>
        <w:tc>
          <w:tcPr>
            <w:tcW w:w="1233"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污染物产生量（kg/d）</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0.336</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0.185</w:t>
            </w:r>
          </w:p>
        </w:tc>
        <w:tc>
          <w:tcPr>
            <w:tcW w:w="774"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0.168</w:t>
            </w:r>
          </w:p>
        </w:tc>
        <w:tc>
          <w:tcPr>
            <w:tcW w:w="775" w:type="pct"/>
            <w:tcBorders>
              <w:tl2br w:val="nil"/>
              <w:tr2bl w:val="nil"/>
            </w:tcBorders>
            <w:noWrap w:val="0"/>
            <w:vAlign w:val="center"/>
          </w:tcPr>
          <w:p>
            <w:pPr>
              <w:pStyle w:val="19"/>
              <w:bidi w:val="0"/>
              <w:rPr>
                <w:rFonts w:hint="default" w:ascii="Times New Roman" w:hAnsi="Times New Roman" w:cs="Times New Roman"/>
                <w:color w:val="000000"/>
                <w:kern w:val="0"/>
                <w:szCs w:val="20"/>
                <w:highlight w:val="none"/>
                <w:lang w:val="en-US" w:eastAsia="zh-CN"/>
              </w:rPr>
            </w:pPr>
            <w:r>
              <w:rPr>
                <w:rFonts w:hint="default" w:ascii="Times New Roman" w:hAnsi="Times New Roman" w:cs="Times New Roman"/>
                <w:color w:val="000000"/>
                <w:kern w:val="0"/>
                <w:szCs w:val="20"/>
                <w:highlight w:val="none"/>
                <w:lang w:val="en-US" w:eastAsia="zh-CN"/>
              </w:rPr>
              <w:t>0.030</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废气</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工程实施阶段</w:t>
      </w:r>
      <w:r>
        <w:rPr>
          <w:rFonts w:hint="default" w:ascii="Times New Roman" w:hAnsi="Times New Roman" w:cs="Times New Roman"/>
          <w:color w:val="000000"/>
          <w:highlight w:val="none"/>
        </w:rPr>
        <w:t>的大气污染物主要为施工扬尘、各种动力机械（包括运输车辆）排出的废气等，具体分析如下：</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（1）扬尘</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项目施工扬尘主要来源于：</w:t>
      </w:r>
      <w:r>
        <w:rPr>
          <w:rFonts w:hint="default" w:ascii="Times New Roman" w:hAnsi="Times New Roman" w:cs="Times New Roman"/>
          <w:color w:val="000000"/>
          <w:highlight w:val="none"/>
        </w:rPr>
        <w:t>管线施工</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泵房场地</w:t>
      </w:r>
      <w:r>
        <w:rPr>
          <w:rFonts w:hint="default" w:ascii="Times New Roman" w:hAnsi="Times New Roman" w:cs="Times New Roman"/>
          <w:color w:val="000000"/>
          <w:highlight w:val="none"/>
        </w:rPr>
        <w:t>开挖</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平整</w:t>
      </w:r>
      <w:r>
        <w:rPr>
          <w:rFonts w:hint="default" w:ascii="Times New Roman" w:hAnsi="Times New Roman" w:cs="Times New Roman"/>
          <w:color w:val="000000"/>
          <w:highlight w:val="none"/>
        </w:rPr>
        <w:t>等环节</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其产生量受风向、风速和空气湿度等气象条件的影响，会使周边大气环境中的TSP浓度增加，对大气环境造成不良影响。</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（2）施工机械废气、车辆尾气</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在工程施工期间，使用液体燃料的施工机械及运输车辆的发动机排放的尾气中含有NO</w:t>
      </w:r>
      <w:r>
        <w:rPr>
          <w:rFonts w:hint="default" w:ascii="Times New Roman" w:hAnsi="Times New Roman" w:cs="Times New Roman"/>
          <w:color w:val="000000"/>
          <w:highlight w:val="none"/>
          <w:vertAlign w:val="subscript"/>
        </w:rPr>
        <w:t>2</w:t>
      </w:r>
      <w:r>
        <w:rPr>
          <w:rFonts w:hint="default" w:ascii="Times New Roman" w:hAnsi="Times New Roman" w:cs="Times New Roman"/>
          <w:color w:val="000000"/>
          <w:highlight w:val="none"/>
        </w:rPr>
        <w:t>、CO、THC等</w:t>
      </w:r>
      <w:r>
        <w:rPr>
          <w:rFonts w:hint="default" w:ascii="Times New Roman" w:hAnsi="Times New Roman" w:cs="Times New Roman"/>
          <w:color w:val="000000"/>
          <w:highlight w:val="none"/>
          <w:lang w:val="en-US" w:eastAsia="zh-CN"/>
        </w:rPr>
        <w:t>燃油烟气</w:t>
      </w:r>
      <w:r>
        <w:rPr>
          <w:rFonts w:hint="default" w:ascii="Times New Roman" w:hAnsi="Times New Roman" w:cs="Times New Roman"/>
          <w:color w:val="000000"/>
          <w:highlight w:val="none"/>
        </w:rPr>
        <w:t>污染物，</w:t>
      </w:r>
      <w:r>
        <w:rPr>
          <w:rFonts w:hint="default" w:ascii="Times New Roman" w:hAnsi="Times New Roman" w:cs="Times New Roman"/>
          <w:color w:val="000000"/>
          <w:highlight w:val="none"/>
          <w:lang w:val="en-US" w:eastAsia="zh-CN"/>
        </w:rPr>
        <w:t>对大气环境会有一定的影响，但一般情况下，此类污染物的排放量不大。</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噪声</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施工期噪声源主要来自土石方开挖、混凝土浇筑时机械设备运转产生的噪声以及运输车辆在运输过程中产生的交通噪声，主要集中在施工场地和施工道路沿线。</w:t>
      </w:r>
    </w:p>
    <w:p>
      <w:pPr>
        <w:bidi w:val="0"/>
        <w:rPr>
          <w:rFonts w:hint="default" w:ascii="Times New Roman" w:hAnsi="Times New Roman" w:cs="Times New Roman"/>
          <w:color w:val="000000"/>
          <w:szCs w:val="28"/>
          <w:highlight w:val="none"/>
          <w:lang w:val="en-US" w:eastAsia="zh-CN"/>
        </w:rPr>
      </w:pPr>
      <w:r>
        <w:rPr>
          <w:rFonts w:hint="default" w:ascii="Times New Roman" w:hAnsi="Times New Roman" w:cs="Times New Roman"/>
          <w:color w:val="000000"/>
          <w:highlight w:val="none"/>
          <w:lang w:val="en-US" w:eastAsia="zh-CN"/>
        </w:rPr>
        <w:t>施工机械一般在露天，噪声传播距离远，影响范围达，是重要的临时性噪声源，根据《环境噪声与振动控制工程技术导则》（HJ2034-2013）中的相关资料，本项目主要施工机械设备噪声源强详见</w:t>
      </w:r>
      <w:r>
        <w:rPr>
          <w:rFonts w:hint="default" w:ascii="Times New Roman" w:hAnsi="Times New Roman" w:cs="Times New Roman"/>
          <w:color w:val="000000"/>
          <w:szCs w:val="28"/>
          <w:highlight w:val="none"/>
        </w:rPr>
        <w:fldChar w:fldCharType="begin"/>
      </w:r>
      <w:r>
        <w:rPr>
          <w:rFonts w:hint="default" w:ascii="Times New Roman" w:hAnsi="Times New Roman" w:cs="Times New Roman"/>
          <w:color w:val="000000"/>
          <w:szCs w:val="28"/>
          <w:highlight w:val="none"/>
        </w:rPr>
        <w:instrText xml:space="preserve"> REF _Ref13499 \n \h </w:instrText>
      </w:r>
      <w:r>
        <w:rPr>
          <w:rFonts w:hint="default" w:ascii="Times New Roman" w:hAnsi="Times New Roman" w:cs="Times New Roman"/>
          <w:color w:val="000000"/>
          <w:szCs w:val="28"/>
          <w:highlight w:val="none"/>
        </w:rPr>
        <w:fldChar w:fldCharType="separate"/>
      </w:r>
      <w:r>
        <w:rPr>
          <w:rFonts w:hint="default" w:ascii="Times New Roman" w:hAnsi="Times New Roman" w:cs="Times New Roman"/>
          <w:color w:val="000000"/>
          <w:szCs w:val="28"/>
          <w:highlight w:val="none"/>
        </w:rPr>
        <w:t>表2.2-12</w:t>
      </w:r>
      <w:r>
        <w:rPr>
          <w:rFonts w:hint="default" w:ascii="Times New Roman" w:hAnsi="Times New Roman" w:cs="Times New Roman"/>
          <w:color w:val="000000"/>
          <w:szCs w:val="28"/>
          <w:highlight w:val="none"/>
        </w:rPr>
        <w:fldChar w:fldCharType="end"/>
      </w:r>
      <w:r>
        <w:rPr>
          <w:rFonts w:hint="default" w:ascii="Times New Roman" w:hAnsi="Times New Roman" w:cs="Times New Roman"/>
          <w:color w:val="000000"/>
          <w:szCs w:val="28"/>
          <w:highlight w:val="none"/>
          <w:lang w:val="en-US" w:eastAsia="zh-CN"/>
        </w:rPr>
        <w:t>。</w:t>
      </w:r>
    </w:p>
    <w:p>
      <w:pPr>
        <w:pStyle w:val="21"/>
        <w:bidi w:val="0"/>
        <w:rPr>
          <w:rFonts w:hint="default" w:ascii="Times New Roman" w:hAnsi="Times New Roman" w:cs="Times New Roman"/>
          <w:color w:val="000000"/>
          <w:highlight w:val="none"/>
          <w:lang w:val="en-US" w:eastAsia="zh-CN"/>
        </w:rPr>
      </w:pPr>
      <w:bookmarkStart w:id="85" w:name="_Ref13499"/>
      <w:r>
        <w:rPr>
          <w:rFonts w:hint="default" w:ascii="Times New Roman" w:hAnsi="Times New Roman" w:cs="Times New Roman"/>
          <w:color w:val="000000"/>
          <w:highlight w:val="none"/>
          <w:lang w:val="en-US" w:eastAsia="zh-CN"/>
        </w:rPr>
        <w:t>项目施工机械噪声源源强</w:t>
      </w:r>
      <w:bookmarkEnd w:id="85"/>
    </w:p>
    <w:tbl>
      <w:tblPr>
        <w:tblStyle w:val="16"/>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12"/>
        <w:gridCol w:w="1774"/>
        <w:gridCol w:w="2321"/>
        <w:gridCol w:w="1809"/>
        <w:gridCol w:w="18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19"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施工阶段</w:t>
            </w:r>
          </w:p>
        </w:tc>
        <w:tc>
          <w:tcPr>
            <w:tcW w:w="961"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施工设备</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测点与设备距离（m）</w:t>
            </w:r>
          </w:p>
        </w:tc>
        <w:tc>
          <w:tcPr>
            <w:tcW w:w="980"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近场声级（dB）</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土石方阶段</w:t>
            </w:r>
          </w:p>
        </w:tc>
        <w:tc>
          <w:tcPr>
            <w:tcW w:w="96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推土机</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反铲挖掘机</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84</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10台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手风钻</w:t>
            </w:r>
          </w:p>
        </w:tc>
        <w:tc>
          <w:tcPr>
            <w:tcW w:w="125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90</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混凝土施工</w:t>
            </w:r>
          </w:p>
        </w:tc>
        <w:tc>
          <w:tcPr>
            <w:tcW w:w="96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砼拌和机</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砂浆搅拌机</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水泵</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90</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交通运输车辆</w:t>
            </w:r>
          </w:p>
        </w:tc>
        <w:tc>
          <w:tcPr>
            <w:tcW w:w="961" w:type="pct"/>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装载机</w:t>
            </w:r>
          </w:p>
        </w:tc>
        <w:tc>
          <w:tcPr>
            <w:tcW w:w="1257"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90</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ind w:firstLine="0" w:firstLineChars="0"/>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自卸手扶拖拉机</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86</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自卸汽车</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82</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20辆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动力翻斗车</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83</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12辆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汽车起重机</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90</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其他</w:t>
            </w:r>
          </w:p>
        </w:tc>
        <w:tc>
          <w:tcPr>
            <w:tcW w:w="961"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空压机</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88</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轴流风机</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变压器</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73</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柴油发电机</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95</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木材加工设备</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93</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96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钢筋加工设备</w:t>
            </w:r>
          </w:p>
        </w:tc>
        <w:tc>
          <w:tcPr>
            <w:tcW w:w="1257"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980"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95</w:t>
            </w:r>
          </w:p>
        </w:tc>
        <w:tc>
          <w:tcPr>
            <w:tcW w:w="98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6套</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p>
      <w:pPr>
        <w:rPr>
          <w:rFonts w:hint="default" w:ascii="Times New Roman" w:hAnsi="Times New Roman" w:cs="Times New Roman"/>
          <w:color w:val="000000"/>
          <w:highlight w:val="none"/>
        </w:rPr>
      </w:pPr>
      <w:r>
        <w:rPr>
          <w:rFonts w:hint="default" w:ascii="Times New Roman" w:hAnsi="Times New Roman" w:cs="Times New Roman"/>
          <w:color w:val="000000"/>
          <w:highlight w:val="none"/>
        </w:rPr>
        <w:t>拟建项目施工期固体废物主要包括施工过程中产生的</w:t>
      </w:r>
      <w:r>
        <w:rPr>
          <w:rFonts w:hint="default" w:ascii="Times New Roman" w:hAnsi="Times New Roman" w:cs="Times New Roman"/>
          <w:color w:val="000000"/>
          <w:highlight w:val="none"/>
          <w:lang w:val="en-US" w:eastAsia="zh-CN"/>
        </w:rPr>
        <w:t>建筑垃圾、</w:t>
      </w:r>
      <w:r>
        <w:rPr>
          <w:rFonts w:hint="default" w:ascii="Times New Roman" w:hAnsi="Times New Roman" w:cs="Times New Roman"/>
          <w:color w:val="000000"/>
          <w:highlight w:val="none"/>
        </w:rPr>
        <w:t>弃土石方、施工人员生活垃圾。</w:t>
      </w:r>
    </w:p>
    <w:p>
      <w:pPr>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1</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建筑垃圾</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施工过程中产生的建筑垃圾主要为</w:t>
      </w:r>
      <w:r>
        <w:rPr>
          <w:rFonts w:hint="default" w:ascii="Times New Roman" w:hAnsi="Times New Roman" w:cs="Times New Roman"/>
          <w:color w:val="000000"/>
          <w:szCs w:val="28"/>
          <w:highlight w:val="none"/>
        </w:rPr>
        <w:t>石块、砖头、废钢筋</w:t>
      </w:r>
      <w:r>
        <w:rPr>
          <w:rFonts w:hint="default" w:ascii="Times New Roman" w:hAnsi="Times New Roman" w:cs="Times New Roman"/>
          <w:color w:val="000000"/>
          <w:szCs w:val="28"/>
          <w:highlight w:val="none"/>
          <w:lang w:eastAsia="zh-CN"/>
        </w:rPr>
        <w:t>、</w:t>
      </w:r>
      <w:r>
        <w:rPr>
          <w:rFonts w:hint="default" w:ascii="Times New Roman" w:hAnsi="Times New Roman" w:cs="Times New Roman"/>
          <w:color w:val="000000"/>
          <w:highlight w:val="none"/>
          <w:lang w:val="en-US" w:eastAsia="zh-CN"/>
        </w:rPr>
        <w:t>混凝土、铁皮等，应集中安排堆放和处理。</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（2）生活垃圾</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施工人员产生的生活垃圾根据我国生活垃圾排放系数经验值估算，每人每天生活垃圾产生量按1.0 kg计，施工高峰期人员为150人，则施工期生活垃圾产生量为0.15 t/d。</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（3）弃土石方</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本工程管沟和泵房挖填过程中共计挖方量2.65万m</w:t>
      </w:r>
      <w:r>
        <w:rPr>
          <w:rFonts w:hint="default" w:ascii="Times New Roman" w:hAnsi="Times New Roman" w:cs="Times New Roman"/>
          <w:color w:val="000000"/>
          <w:highlight w:val="none"/>
          <w:vertAlign w:val="superscript"/>
          <w:lang w:val="en-US" w:eastAsia="zh-CN"/>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lang w:val="en-US" w:eastAsia="zh-CN"/>
        </w:rPr>
        <w:t>，</w:t>
      </w:r>
      <w:r>
        <w:rPr>
          <w:rFonts w:hint="default" w:ascii="Times New Roman" w:hAnsi="Times New Roman" w:cs="Times New Roman"/>
          <w:color w:val="000000"/>
          <w:highlight w:val="none"/>
        </w:rPr>
        <w:t>其中管道部分开挖土方可以堆在开挖管沟两侧用于主体工程回填和场地回填，泵站开挖土方用于土方回填及填筑围堰</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尚余1.12万m</w:t>
      </w:r>
      <w:r>
        <w:rPr>
          <w:rFonts w:hint="default" w:ascii="Times New Roman" w:hAnsi="Times New Roman" w:cs="Times New Roman"/>
          <w:color w:val="000000"/>
          <w:highlight w:val="none"/>
          <w:vertAlign w:val="superscript"/>
        </w:rPr>
        <w:t>3</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vertAlign w:val="baseline"/>
        </w:rPr>
        <w:t>自然方</w:t>
      </w:r>
      <w:r>
        <w:rPr>
          <w:rFonts w:hint="default" w:ascii="Times New Roman" w:hAnsi="Times New Roman" w:cs="Times New Roman"/>
          <w:color w:val="000000"/>
          <w:highlight w:val="none"/>
          <w:vertAlign w:val="baseline"/>
          <w:lang w:eastAsia="zh-CN"/>
        </w:rPr>
        <w:t>）</w:t>
      </w:r>
      <w:r>
        <w:rPr>
          <w:rFonts w:hint="default" w:ascii="Times New Roman" w:hAnsi="Times New Roman" w:cs="Times New Roman"/>
          <w:color w:val="000000"/>
          <w:highlight w:val="none"/>
        </w:rPr>
        <w:t>需作为弃</w:t>
      </w:r>
      <w:r>
        <w:rPr>
          <w:rFonts w:hint="default" w:ascii="Times New Roman" w:hAnsi="Times New Roman" w:cs="Times New Roman"/>
          <w:color w:val="000000"/>
          <w:highlight w:val="none"/>
          <w:lang w:val="en-US" w:eastAsia="zh-CN"/>
        </w:rPr>
        <w:t>方</w:t>
      </w:r>
      <w:r>
        <w:rPr>
          <w:rFonts w:hint="default" w:ascii="Times New Roman" w:hAnsi="Times New Roman" w:cs="Times New Roman"/>
          <w:color w:val="000000"/>
          <w:highlight w:val="none"/>
        </w:rPr>
        <w:t>处理。弃</w:t>
      </w:r>
      <w:r>
        <w:rPr>
          <w:rFonts w:hint="default" w:ascii="Times New Roman" w:hAnsi="Times New Roman" w:cs="Times New Roman"/>
          <w:color w:val="000000"/>
          <w:highlight w:val="none"/>
          <w:lang w:val="en-US" w:eastAsia="zh-CN"/>
        </w:rPr>
        <w:t>方</w:t>
      </w:r>
      <w:r>
        <w:rPr>
          <w:rFonts w:hint="default" w:ascii="Times New Roman" w:hAnsi="Times New Roman" w:cs="Times New Roman"/>
          <w:color w:val="000000"/>
          <w:highlight w:val="none"/>
        </w:rPr>
        <w:t>可以结合低洼地回填利用一部分，其余可运至当地主管部门指定的位置堆放。</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生态</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工程施工期的土地占用、施工材料的堆存将占用或破坏部分人工植被和天然植被。</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施工弃土土质松散，易被降雨和地表径流水冲刷流失。若处置和管理不善，易引起水土流失，淤塞沟渠和河道。</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运行期主要影响源分析</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废水</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运行期间，不再进行新的施工活动，原有施工场地通过地面硬化，复绿等措施，水体保持机制重新建立，被施工破坏的植被得到有效的恢复，从而使项目建设区的生态环境明显好转。因此，本工程运行期对评价范围内的陆域生态环境不再产生新的影响。</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该水域范围内无珍稀水生生物栖息地、鱼虾类产卵场、仔稚幼鱼的索饵场等重要水域。运行期对下游水生生态的影响较小。由于本工程取水主要来自上安水库、天竹水库和龙井溪山涧水，正常供水时水库库位会发生一定幅度的变化。</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本项目拟设劳动定员4人，主要对水源区、泵房和管网沿线进行定期巡检，并设置专业维护人员，发现管路破坏及时维护。巡检人员产生的生活污水依托当地污水处理系统。</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废气</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本工程为管线工程，项目投入运行后无废气产生。</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噪声</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本项目投入运行后，噪声源主要来源于管阳片区设置的1座输水泵房和2座供水泵房，泵在运行过程中会产生噪声，噪声级一般在75~95 dB（A）之间，主要噪声源详见</w:t>
      </w:r>
      <w:r>
        <w:rPr>
          <w:rFonts w:hint="default" w:ascii="Times New Roman" w:hAnsi="Times New Roman" w:cs="Times New Roman"/>
          <w:color w:val="000000"/>
          <w:highlight w:val="none"/>
          <w:lang w:val="en-US" w:eastAsia="zh-CN"/>
        </w:rPr>
        <w:fldChar w:fldCharType="begin"/>
      </w:r>
      <w:r>
        <w:rPr>
          <w:rFonts w:hint="default" w:ascii="Times New Roman" w:hAnsi="Times New Roman" w:cs="Times New Roman"/>
          <w:color w:val="000000"/>
          <w:highlight w:val="none"/>
          <w:lang w:val="en-US" w:eastAsia="zh-CN"/>
        </w:rPr>
        <w:instrText xml:space="preserve"> REF _Ref11972 \n \h </w:instrText>
      </w:r>
      <w:r>
        <w:rPr>
          <w:rFonts w:hint="default" w:ascii="Times New Roman" w:hAnsi="Times New Roman" w:cs="Times New Roman"/>
          <w:color w:val="000000"/>
          <w:highlight w:val="none"/>
          <w:lang w:val="en-US" w:eastAsia="zh-CN"/>
        </w:rPr>
        <w:fldChar w:fldCharType="separate"/>
      </w:r>
      <w:r>
        <w:rPr>
          <w:rFonts w:hint="default" w:ascii="Times New Roman" w:hAnsi="Times New Roman" w:cs="Times New Roman"/>
          <w:color w:val="000000"/>
          <w:highlight w:val="none"/>
          <w:lang w:val="en-US" w:eastAsia="zh-CN"/>
        </w:rPr>
        <w:t>表2.2-13</w:t>
      </w:r>
      <w:r>
        <w:rPr>
          <w:rFonts w:hint="default" w:ascii="Times New Roman" w:hAnsi="Times New Roman" w:cs="Times New Roman"/>
          <w:color w:val="000000"/>
          <w:highlight w:val="none"/>
          <w:lang w:val="en-US" w:eastAsia="zh-CN"/>
        </w:rPr>
        <w:fldChar w:fldCharType="end"/>
      </w:r>
      <w:r>
        <w:rPr>
          <w:rFonts w:hint="default" w:ascii="Times New Roman" w:hAnsi="Times New Roman" w:cs="Times New Roman"/>
          <w:color w:val="000000"/>
          <w:highlight w:val="none"/>
          <w:lang w:val="en-US" w:eastAsia="zh-CN"/>
        </w:rPr>
        <w:t>；西阳片区输配水主要依靠重力流，运行过程基本无噪声产生。</w:t>
      </w:r>
    </w:p>
    <w:p>
      <w:pPr>
        <w:pStyle w:val="21"/>
        <w:bidi w:val="0"/>
        <w:rPr>
          <w:rFonts w:hint="default" w:ascii="Times New Roman" w:hAnsi="Times New Roman" w:cs="Times New Roman"/>
          <w:color w:val="000000"/>
          <w:highlight w:val="none"/>
          <w:lang w:val="en-US" w:eastAsia="zh-CN"/>
        </w:rPr>
      </w:pPr>
      <w:bookmarkStart w:id="86" w:name="_Ref11972"/>
      <w:r>
        <w:rPr>
          <w:rFonts w:hint="default" w:ascii="Times New Roman" w:hAnsi="Times New Roman" w:cs="Times New Roman"/>
          <w:color w:val="000000"/>
          <w:highlight w:val="none"/>
          <w:lang w:val="en-US" w:eastAsia="zh-CN"/>
        </w:rPr>
        <w:t>运行期主要机械设备噪声源强一览表</w:t>
      </w:r>
      <w:bookmarkEnd w:id="86"/>
    </w:p>
    <w:tbl>
      <w:tblPr>
        <w:tblStyle w:val="16"/>
        <w:tblW w:w="484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1"/>
        <w:gridCol w:w="1186"/>
        <w:gridCol w:w="1343"/>
        <w:gridCol w:w="1313"/>
        <w:gridCol w:w="878"/>
        <w:gridCol w:w="1104"/>
        <w:gridCol w:w="1163"/>
        <w:gridCol w:w="12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403"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序号</w:t>
            </w:r>
          </w:p>
        </w:tc>
        <w:tc>
          <w:tcPr>
            <w:tcW w:w="663"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来源</w:t>
            </w:r>
          </w:p>
        </w:tc>
        <w:tc>
          <w:tcPr>
            <w:tcW w:w="751" w:type="pct"/>
            <w:noWrap w:val="0"/>
            <w:vAlign w:val="center"/>
          </w:tcPr>
          <w:p>
            <w:pPr>
              <w:pStyle w:val="19"/>
              <w:bidi w:val="0"/>
              <w:rPr>
                <w:rFonts w:hint="default" w:ascii="Times New Roman" w:hAnsi="Times New Roman" w:eastAsia="宋体" w:cs="Times New Roman"/>
                <w:color w:val="000000"/>
                <w:highlight w:val="none"/>
                <w:lang w:eastAsia="zh-CN"/>
              </w:rPr>
            </w:pPr>
            <w:r>
              <w:rPr>
                <w:rFonts w:hint="default" w:ascii="Times New Roman" w:hAnsi="Times New Roman" w:cs="Times New Roman"/>
                <w:color w:val="000000"/>
                <w:highlight w:val="none"/>
                <w:lang w:val="en-US" w:eastAsia="zh-CN"/>
              </w:rPr>
              <w:t>设备名称</w:t>
            </w:r>
          </w:p>
        </w:tc>
        <w:tc>
          <w:tcPr>
            <w:tcW w:w="734" w:type="pct"/>
            <w:noWrap w:val="0"/>
            <w:vAlign w:val="center"/>
          </w:tcPr>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声级</w:t>
            </w:r>
          </w:p>
          <w:p>
            <w:pPr>
              <w:pStyle w:val="19"/>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（dB</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lang w:val="en-US" w:eastAsia="zh-CN"/>
              </w:rPr>
              <w:t>A</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w:t>
            </w:r>
          </w:p>
        </w:tc>
        <w:tc>
          <w:tcPr>
            <w:tcW w:w="4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数量</w:t>
            </w:r>
          </w:p>
        </w:tc>
        <w:tc>
          <w:tcPr>
            <w:tcW w:w="61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排放规律</w:t>
            </w:r>
          </w:p>
        </w:tc>
        <w:tc>
          <w:tcPr>
            <w:tcW w:w="650"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措施</w:t>
            </w:r>
          </w:p>
        </w:tc>
        <w:tc>
          <w:tcPr>
            <w:tcW w:w="68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3"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w:t>
            </w:r>
          </w:p>
        </w:tc>
        <w:tc>
          <w:tcPr>
            <w:tcW w:w="663"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原水提升泵房</w:t>
            </w:r>
          </w:p>
        </w:tc>
        <w:tc>
          <w:tcPr>
            <w:tcW w:w="75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提升泵</w:t>
            </w:r>
          </w:p>
        </w:tc>
        <w:tc>
          <w:tcPr>
            <w:tcW w:w="73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85</w:t>
            </w:r>
          </w:p>
        </w:tc>
        <w:tc>
          <w:tcPr>
            <w:tcW w:w="4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2台</w:t>
            </w:r>
          </w:p>
        </w:tc>
        <w:tc>
          <w:tcPr>
            <w:tcW w:w="61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间歇</w:t>
            </w:r>
          </w:p>
        </w:tc>
        <w:tc>
          <w:tcPr>
            <w:tcW w:w="650" w:type="pct"/>
            <w:vMerge w:val="restar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隔声、减震、消声等综合降噪措施</w:t>
            </w:r>
          </w:p>
        </w:tc>
        <w:tc>
          <w:tcPr>
            <w:tcW w:w="687" w:type="pct"/>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2用1备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3"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2</w:t>
            </w:r>
          </w:p>
        </w:tc>
        <w:tc>
          <w:tcPr>
            <w:tcW w:w="663"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鱼池泵站</w:t>
            </w:r>
          </w:p>
        </w:tc>
        <w:tc>
          <w:tcPr>
            <w:tcW w:w="75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变频增压泵</w:t>
            </w:r>
          </w:p>
        </w:tc>
        <w:tc>
          <w:tcPr>
            <w:tcW w:w="73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80</w:t>
            </w:r>
          </w:p>
        </w:tc>
        <w:tc>
          <w:tcPr>
            <w:tcW w:w="4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1台</w:t>
            </w:r>
          </w:p>
        </w:tc>
        <w:tc>
          <w:tcPr>
            <w:tcW w:w="61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连续</w:t>
            </w:r>
          </w:p>
        </w:tc>
        <w:tc>
          <w:tcPr>
            <w:tcW w:w="650"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687" w:type="pct"/>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3"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w:t>
            </w:r>
          </w:p>
        </w:tc>
        <w:tc>
          <w:tcPr>
            <w:tcW w:w="663"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广化泵站</w:t>
            </w:r>
          </w:p>
        </w:tc>
        <w:tc>
          <w:tcPr>
            <w:tcW w:w="751"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变频增压泵</w:t>
            </w:r>
          </w:p>
        </w:tc>
        <w:tc>
          <w:tcPr>
            <w:tcW w:w="734"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80</w:t>
            </w:r>
          </w:p>
        </w:tc>
        <w:tc>
          <w:tcPr>
            <w:tcW w:w="491" w:type="pct"/>
            <w:noWrap w:val="0"/>
            <w:vAlign w:val="center"/>
          </w:tcPr>
          <w:p>
            <w:pPr>
              <w:pStyle w:val="19"/>
              <w:bidi w:val="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1台</w:t>
            </w:r>
          </w:p>
        </w:tc>
        <w:tc>
          <w:tcPr>
            <w:tcW w:w="617" w:type="pct"/>
            <w:noWrap w:val="0"/>
            <w:vAlign w:val="center"/>
          </w:tcPr>
          <w:p>
            <w:pPr>
              <w:pStyle w:val="19"/>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连续</w:t>
            </w:r>
          </w:p>
        </w:tc>
        <w:tc>
          <w:tcPr>
            <w:tcW w:w="650" w:type="pct"/>
            <w:vMerge w:val="continue"/>
            <w:noWrap w:val="0"/>
            <w:vAlign w:val="center"/>
          </w:tcPr>
          <w:p>
            <w:pPr>
              <w:pStyle w:val="19"/>
              <w:bidi w:val="0"/>
              <w:rPr>
                <w:rFonts w:hint="default" w:ascii="Times New Roman" w:hAnsi="Times New Roman" w:cs="Times New Roman"/>
                <w:color w:val="000000"/>
                <w:highlight w:val="none"/>
                <w:lang w:val="en-US" w:eastAsia="zh-CN"/>
              </w:rPr>
            </w:pPr>
          </w:p>
        </w:tc>
        <w:tc>
          <w:tcPr>
            <w:tcW w:w="687" w:type="pct"/>
            <w:noWrap w:val="0"/>
            <w:vAlign w:val="center"/>
          </w:tcPr>
          <w:p>
            <w:pPr>
              <w:pStyle w:val="19"/>
              <w:bidi w:val="0"/>
              <w:ind w:firstLine="0" w:firstLineChars="0"/>
              <w:jc w:val="center"/>
              <w:rPr>
                <w:rFonts w:hint="default" w:ascii="Times New Roman" w:hAnsi="Times New Roman" w:eastAsia="宋体" w:cs="Times New Roman"/>
                <w:color w:val="000000"/>
                <w:kern w:val="2"/>
                <w:sz w:val="21"/>
                <w:szCs w:val="24"/>
                <w:highlight w:val="none"/>
                <w:lang w:val="en-US" w:eastAsia="zh-CN" w:bidi="ar-SA"/>
              </w:rPr>
            </w:pPr>
            <w:r>
              <w:rPr>
                <w:rFonts w:hint="default" w:ascii="Times New Roman" w:hAnsi="Times New Roman" w:cs="Times New Roman"/>
                <w:color w:val="000000"/>
                <w:highlight w:val="none"/>
                <w:lang w:val="en-US" w:eastAsia="zh-CN"/>
              </w:rPr>
              <w:t>1用1备</w:t>
            </w:r>
          </w:p>
        </w:tc>
      </w:tr>
    </w:tbl>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固体废物</w:t>
      </w:r>
    </w:p>
    <w:p>
      <w:pPr>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项目运行期无固体废物产生，巡检人员产生的生活垃圾不随意丢弃，收集后由当地环卫部门清运处置。</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产业政策符合性分析</w:t>
      </w:r>
    </w:p>
    <w:p>
      <w:pPr>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本项目为城乡供水保障工程，</w:t>
      </w:r>
      <w:r>
        <w:rPr>
          <w:rFonts w:hint="default" w:ascii="Times New Roman" w:hAnsi="Times New Roman" w:cs="Times New Roman"/>
          <w:color w:val="000000"/>
          <w:sz w:val="24"/>
          <w:highlight w:val="none"/>
        </w:rPr>
        <w:t>根据</w:t>
      </w:r>
      <w:r>
        <w:rPr>
          <w:rFonts w:hint="default" w:ascii="Times New Roman" w:hAnsi="Times New Roman" w:cs="Times New Roman"/>
          <w:color w:val="000000"/>
          <w:sz w:val="24"/>
          <w:highlight w:val="none"/>
          <w:lang w:val="en-US" w:eastAsia="zh-CN"/>
        </w:rPr>
        <w:t>国家发展和改革委员会发布的</w:t>
      </w:r>
      <w:r>
        <w:rPr>
          <w:rFonts w:hint="default" w:ascii="Times New Roman" w:hAnsi="Times New Roman" w:cs="Times New Roman"/>
          <w:color w:val="000000"/>
          <w:sz w:val="24"/>
          <w:highlight w:val="none"/>
        </w:rPr>
        <w:t>《产业结构调整指导目录》</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2019年本</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w:t>
      </w:r>
      <w:r>
        <w:rPr>
          <w:rFonts w:hint="default" w:ascii="Times New Roman" w:hAnsi="Times New Roman" w:cs="Times New Roman"/>
          <w:color w:val="000000"/>
          <w:highlight w:val="none"/>
          <w:lang w:val="en-US" w:eastAsia="zh-CN"/>
        </w:rPr>
        <w:t>本工程</w:t>
      </w:r>
      <w:r>
        <w:rPr>
          <w:rFonts w:hint="default" w:ascii="Times New Roman" w:hAnsi="Times New Roman" w:cs="Times New Roman"/>
          <w:color w:val="000000"/>
          <w:sz w:val="24"/>
          <w:highlight w:val="none"/>
        </w:rPr>
        <w:t>属于</w:t>
      </w:r>
      <w:r>
        <w:rPr>
          <w:rFonts w:hint="default" w:ascii="Times New Roman" w:hAnsi="Times New Roman" w:cs="Times New Roman"/>
          <w:color w:val="000000"/>
          <w:sz w:val="24"/>
          <w:highlight w:val="none"/>
          <w:lang w:val="en-US" w:eastAsia="zh-CN"/>
        </w:rPr>
        <w:t>目录规定的“第一类 鼓励类”中“二十二、城镇基础设施7、“城镇安全饮水工程、供水水源及净水厂工程”。因此，该工程的建设符合国家当前产业政策。同时项目取得了福鼎市发展和改革局关于《福鼎市管阳片区农村安全饮水工程管网部分（福鼎市城乡供水一体化二期）可行性研究报告》的批复（鼎发改审批〔2021〕156号）和福鼎市水利局关于《福鼎市管阳片区农村安全饮水工程管网部分（福鼎市城乡供水一体化二期）初步设计报告》的批复（鼎水审批〔2021〕216号），详见</w:t>
      </w:r>
      <w:r>
        <w:rPr>
          <w:rFonts w:hint="default" w:ascii="Times New Roman" w:hAnsi="Times New Roman" w:cs="Times New Roman"/>
          <w:b/>
          <w:bCs/>
          <w:color w:val="000000"/>
          <w:sz w:val="24"/>
          <w:highlight w:val="none"/>
          <w:lang w:val="en-US" w:eastAsia="zh-CN"/>
        </w:rPr>
        <w:t>附件4</w:t>
      </w:r>
      <w:r>
        <w:rPr>
          <w:rFonts w:hint="default" w:ascii="Times New Roman" w:hAnsi="Times New Roman" w:cs="Times New Roman"/>
          <w:b w:val="0"/>
          <w:bCs w:val="0"/>
          <w:color w:val="000000"/>
          <w:sz w:val="24"/>
          <w:highlight w:val="none"/>
          <w:lang w:val="en-US" w:eastAsia="zh-CN"/>
        </w:rPr>
        <w:t>和</w:t>
      </w:r>
      <w:r>
        <w:rPr>
          <w:rFonts w:hint="default" w:ascii="Times New Roman" w:hAnsi="Times New Roman" w:cs="Times New Roman"/>
          <w:b/>
          <w:bCs/>
          <w:color w:val="000000"/>
          <w:sz w:val="24"/>
          <w:highlight w:val="none"/>
          <w:lang w:val="en-US" w:eastAsia="zh-CN"/>
        </w:rPr>
        <w:t>附件5</w:t>
      </w:r>
      <w:r>
        <w:rPr>
          <w:rFonts w:hint="default" w:ascii="Times New Roman" w:hAnsi="Times New Roman" w:cs="Times New Roman"/>
          <w:color w:val="000000"/>
          <w:sz w:val="24"/>
          <w:highlight w:val="none"/>
          <w:lang w:val="en-US" w:eastAsia="zh-CN"/>
        </w:rPr>
        <w:t>。</w:t>
      </w:r>
    </w:p>
    <w:p>
      <w:pPr>
        <w:pStyle w:val="4"/>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福鼎市城乡供水一体化管阳水厂水资源论证</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根据《福鼎市城乡供水一体化管阳水厂水资源论证报告书》，管阳水厂下辖两座净水厂，分别为西阳水厂和管阳水厂，西阳水厂取水水源为天竹水库和龙井溪山涧水，供水规模为3500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/d，管阳水厂取水水源为上安水库，供水规模为3000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/d。用水量及合理性、取水方案及水源可靠性分析如下</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（1）项目用水量及合理性</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、天竹水库和西阳村龙井溪山涧取水口可供水量计算，分别日平均取水量0.281万m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、0.131万m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和0.15万m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。规划管阳水厂和西阳水厂供水日变化系数1.80，水厂自用水和原水管道渗流损失按 10%估算，管阳水厂供水规模为3000t/d和西阳水厂供水规模为3500 t/d，满足管阳水厂3000 t/d和西阳水厂3500t/d规模的取水要求。</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（2）项目取水方案及水源可靠性</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坝址位于福鼎市管阳镇池后村附近，水库坝址以上控制流域面积1.61 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。高滩水文站以上流域多年平均面雨量为1726 mm。</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多年平均降雨量为2197.6 mm，天竹水库多年平均降雨量为1850 mm。水库坝址径流根据高滩水文站参证站径流系列按面积比，并参照坝址所在地的年面雨量进行逐年修正。以1967.4~1968.3为典型年，经计算，</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在特枯年份（P=95%）的情况下，径流量为202.7万m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，年平均径流量为0.064 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/s，天竹水库在特枯年份（P=95%）的情况下，径流量为110.60万m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，年平均径流量为0.035m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/s。</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eastAsia="zh-CN"/>
        </w:rPr>
        <w:t>在P=95%保证率情况下，灌溉面积为180亩，水库日平均可供水量0.281万m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，年可供水量102.13万m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天竹水库在P=95%保证率情况下，灌溉面积为250亩，水库日平均可供水量0.131万m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，年可供水量47.82万m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龙井溪山涧水取水口以上流域面积为4.4 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val="en-US" w:eastAsia="zh-CN"/>
        </w:rPr>
        <w:t>，多年平均降雨量1850 mm。龙井溪山涧取水口在P=95%保证率下，为满足水厂取水需求，枯水年为保障供水安全，不下泄生态流量，年可供水量为52.93万m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，日平均可供水量为0.15万m</w:t>
      </w:r>
      <w:r>
        <w:rPr>
          <w:rFonts w:hint="default" w:ascii="Times New Roman" w:hAnsi="Times New Roman" w:cs="Times New Roman"/>
          <w:highlight w:val="none"/>
          <w:vertAlign w:val="superscript"/>
          <w:lang w:val="en-US" w:eastAsia="zh-CN"/>
        </w:rPr>
        <w:t>3</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水库来水量完全满足水厂的取水，从水量方面是合理可行的。</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规划符合性分析</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水源规划</w:t>
      </w:r>
    </w:p>
    <w:p>
      <w:pPr>
        <w:bidi w:val="0"/>
        <w:rPr>
          <w:rFonts w:hint="default" w:ascii="Times New Roman" w:hAnsi="Times New Roman" w:cs="Times New Roman"/>
          <w:color w:val="000000"/>
          <w:kern w:val="0"/>
          <w:highlight w:val="none"/>
          <w:lang w:val="en-US" w:eastAsia="zh-CN"/>
        </w:rPr>
      </w:pPr>
      <w:r>
        <w:rPr>
          <w:rFonts w:hint="default" w:ascii="Times New Roman" w:hAnsi="Times New Roman" w:cs="Times New Roman"/>
          <w:color w:val="000000"/>
          <w:highlight w:val="none"/>
          <w:lang w:val="en-US" w:eastAsia="zh-CN"/>
        </w:rPr>
        <w:t>管阳水厂水源为上安水库，该水库是一座以城乡生活供水和农业灌溉功能的小（二）型水库，</w:t>
      </w:r>
      <w:r>
        <w:rPr>
          <w:rFonts w:hint="default" w:ascii="Times New Roman" w:hAnsi="Times New Roman" w:cs="Times New Roman"/>
          <w:color w:val="000000"/>
          <w:kern w:val="0"/>
          <w:highlight w:val="none"/>
        </w:rPr>
        <w:t>所在河道为福鼎市管阳溪流域上安小支流。水库坝址以上控制流域面积1.61</w:t>
      </w:r>
      <w:r>
        <w:rPr>
          <w:rFonts w:hint="default" w:ascii="Times New Roman" w:hAnsi="Times New Roman" w:cs="Times New Roman"/>
          <w:color w:val="000000"/>
          <w:kern w:val="0"/>
          <w:highlight w:val="none"/>
          <w:lang w:val="en-US" w:eastAsia="zh-CN"/>
        </w:rPr>
        <w:t xml:space="preserve"> </w:t>
      </w:r>
      <w:r>
        <w:rPr>
          <w:rFonts w:hint="default" w:ascii="Times New Roman" w:hAnsi="Times New Roman" w:cs="Times New Roman"/>
          <w:color w:val="000000"/>
          <w:kern w:val="0"/>
          <w:highlight w:val="none"/>
        </w:rPr>
        <w:t>km</w:t>
      </w:r>
      <w:r>
        <w:rPr>
          <w:rFonts w:hint="default" w:ascii="Times New Roman" w:hAnsi="Times New Roman" w:cs="Times New Roman"/>
          <w:color w:val="000000"/>
          <w:kern w:val="0"/>
          <w:highlight w:val="none"/>
          <w:vertAlign w:val="superscript"/>
          <w:lang w:val="en-US" w:eastAsia="zh-CN"/>
        </w:rPr>
        <w:t>2</w:t>
      </w:r>
      <w:r>
        <w:rPr>
          <w:rFonts w:hint="default" w:ascii="Times New Roman" w:hAnsi="Times New Roman" w:cs="Times New Roman"/>
          <w:color w:val="000000"/>
          <w:kern w:val="0"/>
          <w:highlight w:val="none"/>
        </w:rPr>
        <w:t>，总库容39.14万m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vertAlign w:val="baseline"/>
          <w:lang w:val="en-US" w:eastAsia="zh-CN"/>
        </w:rPr>
        <w:t>，</w:t>
      </w:r>
      <w:r>
        <w:rPr>
          <w:rFonts w:hint="default" w:ascii="Times New Roman" w:hAnsi="Times New Roman" w:cs="Times New Roman"/>
          <w:color w:val="000000"/>
          <w:kern w:val="0"/>
          <w:highlight w:val="none"/>
        </w:rPr>
        <w:t>调节库容为26.25万m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rPr>
        <w:t>，死库容为2.88万m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。根据福建省人民政府“关于蕉城区飞鸾镇等47个建制镇生活饮用水地表水源保护区划定方案的批复”（闽政文[2007] 141号），上安水库已被划定为水源保护区，一级保护区范围为：上安水库库区水域及其沿岸外延至——重山脊（若遇公路则以公路为界，不含公路）范围陆域；二级保护区范围：上安水库的整个汇水流域（一级保护区范围除外）。</w:t>
      </w:r>
    </w:p>
    <w:p>
      <w:pPr>
        <w:bidi w:val="0"/>
        <w:rPr>
          <w:rFonts w:hint="default" w:ascii="Times New Roman" w:hAnsi="Times New Roman"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西阳水厂水源为天竹水库和龙井溪山涧水。天竹水库属于管阳溪流域，所在河流属山丘性溪流，坝址以上控制流域面积为1.44 km</w:t>
      </w:r>
      <w:r>
        <w:rPr>
          <w:rFonts w:hint="default" w:ascii="Times New Roman" w:hAnsi="Times New Roman" w:cs="Times New Roman"/>
          <w:color w:val="000000"/>
          <w:kern w:val="0"/>
          <w:highlight w:val="none"/>
          <w:vertAlign w:val="superscript"/>
          <w:lang w:val="en-US" w:eastAsia="zh-CN"/>
        </w:rPr>
        <w:t>2</w:t>
      </w:r>
      <w:r>
        <w:rPr>
          <w:rFonts w:hint="default" w:ascii="Times New Roman" w:hAnsi="Times New Roman" w:cs="Times New Roman"/>
          <w:color w:val="000000"/>
          <w:kern w:val="0"/>
          <w:highlight w:val="none"/>
          <w:lang w:val="en-US" w:eastAsia="zh-CN"/>
        </w:rPr>
        <w:t>，总库容17万m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，兴利库容12万m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，死库容1.5万m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，是一座</w:t>
      </w:r>
      <w:r>
        <w:rPr>
          <w:rFonts w:hint="default" w:ascii="Times New Roman" w:hAnsi="Times New Roman" w:cs="Times New Roman"/>
          <w:color w:val="000000"/>
          <w:kern w:val="0"/>
          <w:highlight w:val="none"/>
        </w:rPr>
        <w:t>具有生活供水和农业灌溉功能的小（二）型水库</w:t>
      </w:r>
      <w:r>
        <w:rPr>
          <w:rFonts w:hint="default" w:ascii="Times New Roman" w:hAnsi="Times New Roman" w:cs="Times New Roman"/>
          <w:color w:val="000000"/>
          <w:kern w:val="0"/>
          <w:highlight w:val="none"/>
          <w:lang w:eastAsia="zh-CN"/>
        </w:rPr>
        <w:t>，</w:t>
      </w:r>
      <w:r>
        <w:rPr>
          <w:rFonts w:hint="default" w:ascii="Times New Roman" w:hAnsi="Times New Roman" w:cs="Times New Roman"/>
          <w:color w:val="000000"/>
          <w:kern w:val="0"/>
          <w:highlight w:val="none"/>
          <w:lang w:val="en-US" w:eastAsia="zh-CN"/>
        </w:rPr>
        <w:t>该水库暂未被划定为水源保护区。龙井溪山涧水属于管阳溪的支流，取水方式为拦河坝取水，坝址以上流域面积为4.4 km</w:t>
      </w:r>
      <w:r>
        <w:rPr>
          <w:rFonts w:hint="default" w:ascii="Times New Roman" w:hAnsi="Times New Roman" w:cs="Times New Roman"/>
          <w:color w:val="000000"/>
          <w:kern w:val="0"/>
          <w:highlight w:val="none"/>
          <w:vertAlign w:val="superscript"/>
          <w:lang w:val="en-US" w:eastAsia="zh-CN"/>
        </w:rPr>
        <w:t>2</w:t>
      </w:r>
      <w:r>
        <w:rPr>
          <w:rFonts w:hint="default" w:ascii="Times New Roman" w:hAnsi="Times New Roman" w:cs="Times New Roman"/>
          <w:color w:val="000000"/>
          <w:kern w:val="0"/>
          <w:highlight w:val="none"/>
          <w:lang w:val="en-US" w:eastAsia="zh-CN"/>
        </w:rPr>
        <w:t>，主河道长4 km，多年平均径流量602.33万m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，多年平均流量0.191m</w:t>
      </w:r>
      <w:r>
        <w:rPr>
          <w:rFonts w:hint="default" w:ascii="Times New Roman" w:hAnsi="Times New Roman" w:cs="Times New Roman"/>
          <w:color w:val="000000"/>
          <w:kern w:val="0"/>
          <w:highlight w:val="none"/>
          <w:vertAlign w:val="superscript"/>
          <w:lang w:val="en-US" w:eastAsia="zh-CN"/>
        </w:rPr>
        <w:t>3</w:t>
      </w:r>
      <w:r>
        <w:rPr>
          <w:rFonts w:hint="default" w:ascii="Times New Roman" w:hAnsi="Times New Roman" w:cs="Times New Roman"/>
          <w:color w:val="000000"/>
          <w:kern w:val="0"/>
          <w:highlight w:val="none"/>
          <w:lang w:val="en-US" w:eastAsia="zh-CN"/>
        </w:rPr>
        <w:t>/s，该河流暂未被划定为水源保护区。</w:t>
      </w:r>
    </w:p>
    <w:p>
      <w:pPr>
        <w:pStyle w:val="5"/>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与《福鼎市城乡总体规划》（2014-2030）符合性分析</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城乡总体规划》（2014-2030），福鼎市城乡基础设施规划中城乡供水将市域划分为三个供水分区，其中北片连片供水区规划水厂5座，分别为福鼎市第二水厂（原岙里水厂）、福鼎市第三水厂、前岐水厂、佳阳水厂及沙埕水厂；南片连片供水区规划水厂3座，分别为白琳水厂、太姥山水厂及龙安水厂；分散供水区规划水厂5座，分别为贯岭水厂、管阳水厂、磻溪水厂、嵛山水厂及叠石水厂。依托城市主干道路，形成环状给水管主干网，有条件时，沿海湾大道布设联络管，连通南北连片供水区。本项目位于管阳镇，主要</w:t>
      </w:r>
      <w:r>
        <w:rPr>
          <w:rFonts w:hint="default" w:ascii="Times New Roman" w:hAnsi="Times New Roman" w:cs="Times New Roman"/>
          <w:color w:val="000000"/>
          <w:sz w:val="24"/>
          <w:highlight w:val="none"/>
          <w:lang w:val="en-US" w:eastAsia="zh-CN"/>
        </w:rPr>
        <w:t>为管阳镇城乡供水提供保障。因此项目的建设符合</w:t>
      </w:r>
      <w:r>
        <w:rPr>
          <w:rFonts w:hint="default" w:ascii="Times New Roman" w:hAnsi="Times New Roman" w:cs="Times New Roman"/>
          <w:color w:val="000000"/>
          <w:highlight w:val="none"/>
          <w:lang w:val="en-US" w:eastAsia="zh-CN"/>
        </w:rPr>
        <w:t>《福鼎市城乡总体规划》（2014-2030）中城乡基础设施规划要求。</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选址选线合理性分析</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根据《福鼎市管阳片区农村安全饮水工程管网部分（福鼎市城乡供水一体化二期）可行性研究报告》，工程</w:t>
      </w:r>
      <w:r>
        <w:rPr>
          <w:rFonts w:hint="default" w:ascii="Times New Roman" w:hAnsi="Times New Roman" w:cs="Times New Roman"/>
          <w:color w:val="000000"/>
          <w:highlight w:val="none"/>
        </w:rPr>
        <w:t>选线避开泥石流易发区、崩塌滑坡危险区及易引起严重水土流失和生态恶化的地区</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选线不通过国家水土保持长期观测站，不占用全国水土保持监测网络中的水土保持监测站点、重点试验区，不占用国家确定的水土保持长期定位观测站</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选线不涉及生态脆弱区、固定半固定风沙区、国家划定的水土流失重点预防保护区和重点治理成果区，最大限度的保护现有土地和植被的水土保持功能</w:t>
      </w:r>
      <w:r>
        <w:rPr>
          <w:rFonts w:hint="default" w:ascii="Times New Roman" w:hAnsi="Times New Roman" w:cs="Times New Roman"/>
          <w:color w:val="000000"/>
          <w:highlight w:val="none"/>
          <w:lang w:eastAsia="zh-CN"/>
        </w:rPr>
        <w:t>。</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根据本评价对项目周边环境的影响分析，项目施工期会对周边环境造成一定的影响，但在采取积极有效的环保措施后，周边环境质量能满足环境功能要求。综上所述，本项目选线基本是合理的。</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与相关法律法规符合性分析</w:t>
      </w:r>
    </w:p>
    <w:p>
      <w:pPr>
        <w:rPr>
          <w:rFonts w:hint="default" w:ascii="Times New Roman" w:hAnsi="Times New Roman"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根据福建省人民政府“关于蕉城区飞鸾镇等47个建制镇生活饮用水地表水源保护区划定方案的批复”（闽政文[2007] 141号），上安水库已被划定为水源保护区，一级保护区范围为：上安水库库区水域及其沿岸外延至——重山脊（若遇公路则以公路为界，不含公路）范围陆域；二级保护区范围：上安水库的整个汇水流域（一级保护区范围除外）。本项目管阳水厂取水水源为上安水库，满足作为饮用水取水要求。</w:t>
      </w:r>
    </w:p>
    <w:p>
      <w:pPr>
        <w:rPr>
          <w:rFonts w:hint="default" w:ascii="Times New Roman" w:hAnsi="Times New Roman"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西阳水厂取水水源为天竹水库和龙井溪山涧水，目前该区域暂未被划定为饮用水源保护区，建设单位应尽快向生态主管部门申请水源保护区划定和调整，以保障西阳水厂供水安全。</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与《中华人民共和国水污染防治法》相符性分析</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根据《中华人民共和国水污染防治法》（2017年6月27日修订），与饮用水地表水源一级和二级保护区有关的规定如下：</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第六十四条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在饮用水水源保护区内，禁止设置排污口。</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第六十五条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禁止在饮用水水源一级保护区内新建、改建、扩建与供水设施和保护水源无关的建设项目；已建成的与供水设施和保护水源无关的建设项目，由县级以上人民政府责令拆除或者关闭。</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禁止在饮用水水源一级保护区内从事网箱养殖、旅游、游泳、垂钓或者其他可能污染饮用水水体的活动。</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第六十六条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禁止在饮用水水源二级保护区内新建、改建、扩建排放污染物的建设项目；已建成的排放污染物的建设项目，由县级以上人民政府责令拆除或者关闭。</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在饮用水水源二级保护区内从事网箱养殖、旅游等活动的，应当按照规定采取措施，防止污染饮用水水体。</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第六十九条</w:t>
      </w:r>
      <w:r>
        <w:rPr>
          <w:rFonts w:hint="default" w:ascii="Times New Roman" w:hAnsi="Times New Roman" w:cs="Times New Roman"/>
          <w:color w:val="000000"/>
          <w:highlight w:val="none"/>
          <w:lang w:eastAsia="zh-CN"/>
        </w:rPr>
        <w:t>：</w:t>
      </w:r>
      <w:r>
        <w:rPr>
          <w:rFonts w:hint="default" w:ascii="Times New Roman" w:hAnsi="Times New Roman" w:cs="Times New Roman"/>
          <w:color w:val="000000"/>
          <w:highlight w:val="none"/>
        </w:rPr>
        <w:t>县级以上地方人民政府应当组织环境保护等部门，对饮用水水源保护区、地下水型饮用水源的补给区及供水单位周边区域的环境状况和污染风险进行调查评估，筛查可能存在的污染风险因素，并采取相应的风险防范措施。</w:t>
      </w:r>
    </w:p>
    <w:p>
      <w:pPr>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目前管阳水厂取水水源——上安水库已确定水源保护区范围，根据现场勘查及建设单位提供资料，上安水库周边暂未发现排污口和排放污染物的建设项目；西阳水厂取水水源——天竹水库、龙井溪山涧水，未规划为水源保护区，根据现场勘查及建设单位提供资料，周边1 km范围均未发现排污口和排放污染物的建设项目。建设单位在施工过程中应严禁将废水排入周边及引用水源保护区的前提下与</w:t>
      </w:r>
      <w:r>
        <w:rPr>
          <w:rFonts w:hint="default" w:ascii="Times New Roman" w:hAnsi="Times New Roman" w:cs="Times New Roman"/>
          <w:color w:val="000000"/>
          <w:highlight w:val="none"/>
        </w:rPr>
        <w:t>《中华人民共和国水污染防治法》是相符的</w:t>
      </w:r>
      <w:r>
        <w:rPr>
          <w:rFonts w:hint="default" w:ascii="Times New Roman" w:hAnsi="Times New Roman" w:cs="Times New Roman"/>
          <w:color w:val="000000"/>
          <w:highlight w:val="none"/>
          <w:lang w:eastAsia="zh-CN"/>
        </w:rPr>
        <w:t>。</w:t>
      </w:r>
    </w:p>
    <w:p>
      <w:pPr>
        <w:pStyle w:val="4"/>
        <w:bidi w:val="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rPr>
        <w:t>与《饮用水水源保护区污染防治管理规定》符合性分析</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根据《饮用水水源保护区污染防治管理规定》（2010年修改）第十二条  饮用水地表水源各级保护区及准保护区内必须分别遵守下列规定：</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一、一级保护区内</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二、二级保护区内</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禁止新建、改建、扩建排放污染物的建设项目；原有排污口依法拆除或者关闭；禁止设立装卸垃圾、粪便、油类和有毒物品的码头。</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三、准保护区内</w:t>
      </w:r>
    </w:p>
    <w:p>
      <w:pPr>
        <w:bidi w:val="0"/>
        <w:rPr>
          <w:rFonts w:hint="default" w:ascii="Times New Roman" w:hAnsi="Times New Roman" w:cs="Times New Roman"/>
          <w:color w:val="000000"/>
          <w:highlight w:val="none"/>
        </w:rPr>
      </w:pPr>
      <w:r>
        <w:rPr>
          <w:rFonts w:hint="default" w:ascii="Times New Roman" w:hAnsi="Times New Roman" w:cs="Times New Roman"/>
          <w:color w:val="000000"/>
          <w:highlight w:val="none"/>
        </w:rPr>
        <w:t>禁止新建、扩建对水体污染严重的建设项目，改建建设项目，不得增加排污量。</w:t>
      </w:r>
    </w:p>
    <w:p>
      <w:pPr>
        <w:rPr>
          <w:rFonts w:hint="default" w:ascii="Times New Roman" w:hAnsi="Times New Roman" w:cs="Times New Roman"/>
          <w:color w:val="000000"/>
          <w:highlight w:val="none"/>
          <w:lang w:eastAsia="zh-CN"/>
        </w:rPr>
      </w:pPr>
      <w:r>
        <w:rPr>
          <w:rFonts w:hint="default" w:ascii="Times New Roman" w:hAnsi="Times New Roman" w:cs="Times New Roman"/>
          <w:color w:val="000000"/>
          <w:highlight w:val="none"/>
          <w:lang w:val="en-US" w:eastAsia="zh-CN"/>
        </w:rPr>
        <w:t>目前管阳水厂取水水源——上安水库已确定水源保护区范围，根据现场勘查及建设单位提供资料，上安水库周边暂未发现排污口和排放污染物的建设项目；西阳水厂取水水源——天竹水库、龙井溪山涧水，未规划为水源保护区，根据现场勘查及建设单位提供资料，周边1 km范围均未发现排污口和排放污染物的建设项目。建设单位在施工过程中应严禁将废水排入周边及引用水源保护区，加大对周边居民的宣传，禁止在保护区周边放养家禽和养殖活动等并尽快申请将天竹水库、龙井溪山涧水划定为水源保护区的前提下与</w:t>
      </w:r>
      <w:r>
        <w:rPr>
          <w:rFonts w:hint="default" w:ascii="Times New Roman" w:hAnsi="Times New Roman" w:cs="Times New Roman"/>
          <w:color w:val="000000"/>
          <w:highlight w:val="none"/>
        </w:rPr>
        <w:t>《中华人民共和国水污染防治法》是相符的</w:t>
      </w:r>
      <w:r>
        <w:rPr>
          <w:rFonts w:hint="default" w:ascii="Times New Roman" w:hAnsi="Times New Roman" w:cs="Times New Roman"/>
          <w:color w:val="000000"/>
          <w:highlight w:val="none"/>
          <w:lang w:eastAsia="zh-CN"/>
        </w:rPr>
        <w:t>。</w:t>
      </w:r>
    </w:p>
    <w:p>
      <w:pPr>
        <w:rPr>
          <w:rFonts w:hint="default" w:ascii="Times New Roman" w:hAnsi="Times New Roman" w:cs="Times New Roman"/>
          <w:color w:val="000000"/>
          <w:highlight w:val="none"/>
          <w:lang w:eastAsia="zh-CN"/>
        </w:rPr>
      </w:pPr>
    </w:p>
    <w:p>
      <w:pPr>
        <w:rPr>
          <w:rFonts w:hint="default" w:ascii="Times New Roman" w:hAnsi="Times New Roman" w:cs="Times New Roman"/>
          <w:highlight w:val="none"/>
          <w:lang w:val="en-US" w:eastAsia="zh-CN"/>
        </w:rPr>
        <w:sectPr>
          <w:pgSz w:w="11850" w:h="16783"/>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pPr>
    </w:p>
    <w:p>
      <w:pPr>
        <w:pStyle w:val="2"/>
        <w:tabs>
          <w:tab w:val="left" w:leader="hyphen" w:pos="420"/>
        </w:tabs>
        <w:bidi w:val="0"/>
        <w:rPr>
          <w:rFonts w:hint="default" w:ascii="Times New Roman" w:hAnsi="Times New Roman" w:cs="Times New Roman"/>
          <w:highlight w:val="none"/>
          <w:lang w:val="en-US" w:eastAsia="zh-CN"/>
        </w:rPr>
      </w:pPr>
      <w:bookmarkStart w:id="87" w:name="_Toc10892"/>
      <w:bookmarkStart w:id="88" w:name="_Toc6032"/>
      <w:r>
        <w:rPr>
          <w:rFonts w:hint="default" w:ascii="Times New Roman" w:hAnsi="Times New Roman" w:cs="Times New Roman"/>
          <w:highlight w:val="none"/>
          <w:lang w:val="en-US" w:eastAsia="zh-CN"/>
        </w:rPr>
        <w:t>环境现状调查与评价</w:t>
      </w:r>
      <w:bookmarkEnd w:id="87"/>
      <w:bookmarkEnd w:id="88"/>
    </w:p>
    <w:p>
      <w:pPr>
        <w:pStyle w:val="3"/>
        <w:bidi w:val="0"/>
        <w:rPr>
          <w:rFonts w:hint="default" w:ascii="Times New Roman" w:hAnsi="Times New Roman" w:cs="Times New Roman"/>
          <w:highlight w:val="none"/>
          <w:lang w:val="en-US" w:eastAsia="zh-CN"/>
        </w:rPr>
      </w:pPr>
      <w:bookmarkStart w:id="89" w:name="_Toc8032"/>
      <w:bookmarkStart w:id="90" w:name="_Toc22867"/>
      <w:r>
        <w:rPr>
          <w:rFonts w:hint="default" w:ascii="Times New Roman" w:hAnsi="Times New Roman" w:cs="Times New Roman"/>
          <w:highlight w:val="none"/>
          <w:lang w:val="en-US" w:eastAsia="zh-CN"/>
        </w:rPr>
        <w:t>地理位置</w:t>
      </w:r>
      <w:bookmarkEnd w:id="89"/>
      <w:bookmarkEnd w:id="90"/>
      <w:r>
        <w:rPr>
          <w:rFonts w:hint="default" w:ascii="Times New Roman" w:hAnsi="Times New Roman" w:cs="Times New Roman"/>
          <w:highlight w:val="none"/>
          <w:lang w:val="en-US" w:eastAsia="zh-CN"/>
        </w:rPr>
        <w:tab/>
      </w:r>
    </w:p>
    <w:p>
      <w:pPr>
        <w:bidi w:val="0"/>
        <w:jc w:val="both"/>
        <w:rPr>
          <w:rFonts w:hint="default" w:ascii="Times New Roman" w:hAnsi="Times New Roman" w:cs="Times New Roman"/>
          <w:highlight w:val="none"/>
        </w:rPr>
      </w:pPr>
      <w:r>
        <w:rPr>
          <w:rFonts w:hint="default" w:ascii="Times New Roman" w:hAnsi="Times New Roman" w:cs="Times New Roman"/>
          <w:highlight w:val="none"/>
        </w:rPr>
        <w:t>福鼎市位于福建省东北部地区的滨海边陲，地理位置处于北纬26</w:t>
      </w:r>
      <w:r>
        <w:rPr>
          <w:rFonts w:hint="default" w:ascii="Times New Roman" w:hAnsi="Times New Roman" w:cs="Times New Roman"/>
          <w:highlight w:val="none"/>
          <w:lang w:val="en-US" w:eastAsia="zh-CN"/>
        </w:rPr>
        <w:t>°</w:t>
      </w:r>
      <w:r>
        <w:rPr>
          <w:rFonts w:hint="default" w:ascii="Times New Roman" w:hAnsi="Times New Roman" w:cs="Times New Roman"/>
          <w:highlight w:val="none"/>
        </w:rPr>
        <w:t>55′～27</w:t>
      </w:r>
      <w:r>
        <w:rPr>
          <w:rFonts w:hint="default" w:ascii="Times New Roman" w:hAnsi="Times New Roman" w:cs="Times New Roman"/>
          <w:highlight w:val="none"/>
          <w:lang w:val="en-US" w:eastAsia="zh-CN"/>
        </w:rPr>
        <w:t>°</w:t>
      </w:r>
      <w:r>
        <w:rPr>
          <w:rFonts w:hint="default" w:ascii="Times New Roman" w:hAnsi="Times New Roman" w:cs="Times New Roman"/>
          <w:highlight w:val="none"/>
        </w:rPr>
        <w:t>26′，东经119</w:t>
      </w:r>
      <w:r>
        <w:rPr>
          <w:rFonts w:hint="default" w:ascii="Times New Roman" w:hAnsi="Times New Roman" w:cs="Times New Roman"/>
          <w:highlight w:val="none"/>
          <w:lang w:val="en-US" w:eastAsia="zh-CN"/>
        </w:rPr>
        <w:t>°</w:t>
      </w:r>
      <w:r>
        <w:rPr>
          <w:rFonts w:hint="default" w:ascii="Times New Roman" w:hAnsi="Times New Roman" w:cs="Times New Roman"/>
          <w:highlight w:val="none"/>
        </w:rPr>
        <w:t>55′～120</w:t>
      </w:r>
      <w:r>
        <w:rPr>
          <w:rFonts w:hint="default" w:ascii="Times New Roman" w:hAnsi="Times New Roman" w:cs="Times New Roman"/>
          <w:highlight w:val="none"/>
          <w:lang w:val="en-US" w:eastAsia="zh-CN"/>
        </w:rPr>
        <w:t>°</w:t>
      </w:r>
      <w:r>
        <w:rPr>
          <w:rFonts w:hint="default" w:ascii="Times New Roman" w:hAnsi="Times New Roman" w:cs="Times New Roman"/>
          <w:highlight w:val="none"/>
        </w:rPr>
        <w:t>43′之间。东濒东海，西界柘荣，南连霞浦，北出分水关、叠石关与浙江省苍南、泰顺两县接壤。市区南距省会福州市299km，北离浙江温州市114km。城区东西窄，南北呈条状形态。东侧有桐山溪、西侧龙山溪纵贯南北，将市区分成三条狭长地带，地形北高南低。建成区海拔一般在5～9m，少部分工业区和居住区建在山坡上，海拔约25～40m。全市辖3个街道、10个建制镇、3个建制乡以及1个开发区，总人口约53万人。</w:t>
      </w:r>
    </w:p>
    <w:p>
      <w:pPr>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本项目位于福鼎市管阳镇，拟建设2座净水厂，分别为管阳水厂和西阳水厂，其中管阳水厂取水水源为上安水库，为管阳片区供水，西阳水厂取水水源为天竹水库和龙井溪山涧水，为西阳片区供水</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项目地理位置详见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_Ref3536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图3.1-1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tabs>
          <w:tab w:val="left" w:pos="0"/>
        </w:tabs>
        <w:bidi w:val="0"/>
        <w:ind w:left="0" w:leftChars="0" w:firstLine="0" w:firstLineChars="0"/>
        <w:rPr>
          <w:rFonts w:hint="default" w:ascii="Times New Roman" w:hAnsi="Times New Roman" w:cs="Times New Roman"/>
          <w:spacing w:val="-11"/>
          <w:sz w:val="24"/>
          <w:szCs w:val="24"/>
          <w:highlight w:val="none"/>
          <w:lang w:val="en-US" w:eastAsia="zh-CN"/>
        </w:rPr>
      </w:pPr>
      <w:r>
        <w:rPr>
          <w:rFonts w:hint="default" w:ascii="Times New Roman" w:hAnsi="Times New Roman" w:cs="Times New Roman"/>
          <w:spacing w:val="-11"/>
          <w:sz w:val="24"/>
          <w:szCs w:val="24"/>
          <w:highlight w:val="none"/>
          <w:lang w:val="en-US" w:eastAsia="zh-CN"/>
        </w:rPr>
        <w:drawing>
          <wp:inline distT="0" distB="0" distL="114300" distR="114300">
            <wp:extent cx="5721985" cy="4084320"/>
            <wp:effectExtent l="0" t="0" r="12065" b="11430"/>
            <wp:docPr id="10" name="图片 10" descr="福鼎市地理位置图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福鼎市地理位置图PS"/>
                    <pic:cNvPicPr>
                      <a:picLocks noChangeAspect="1"/>
                    </pic:cNvPicPr>
                  </pic:nvPicPr>
                  <pic:blipFill>
                    <a:blip r:embed="rId54"/>
                    <a:stretch>
                      <a:fillRect/>
                    </a:stretch>
                  </pic:blipFill>
                  <pic:spPr>
                    <a:xfrm>
                      <a:off x="0" y="0"/>
                      <a:ext cx="5721985" cy="4084320"/>
                    </a:xfrm>
                    <a:prstGeom prst="rect">
                      <a:avLst/>
                    </a:prstGeom>
                  </pic:spPr>
                </pic:pic>
              </a:graphicData>
            </a:graphic>
          </wp:inline>
        </w:drawing>
      </w:r>
    </w:p>
    <w:p>
      <w:pPr>
        <w:pStyle w:val="22"/>
        <w:bidi w:val="0"/>
        <w:rPr>
          <w:rFonts w:hint="default" w:ascii="Times New Roman" w:hAnsi="Times New Roman" w:cs="Times New Roman"/>
          <w:highlight w:val="none"/>
          <w:lang w:val="en-US" w:eastAsia="zh-CN"/>
        </w:rPr>
      </w:pPr>
      <w:bookmarkStart w:id="91" w:name="_Ref3536"/>
      <w:r>
        <w:rPr>
          <w:rFonts w:hint="default" w:ascii="Times New Roman" w:hAnsi="Times New Roman" w:cs="Times New Roman"/>
          <w:highlight w:val="none"/>
          <w:lang w:val="en-US" w:eastAsia="zh-CN"/>
        </w:rPr>
        <w:t>项目地理位置图</w:t>
      </w:r>
      <w:bookmarkEnd w:id="91"/>
    </w:p>
    <w:p>
      <w:pPr>
        <w:pStyle w:val="3"/>
        <w:bidi w:val="0"/>
        <w:rPr>
          <w:rFonts w:hint="default" w:ascii="Times New Roman" w:hAnsi="Times New Roman" w:cs="Times New Roman"/>
          <w:highlight w:val="none"/>
        </w:rPr>
      </w:pPr>
      <w:bookmarkStart w:id="92" w:name="_Toc22727"/>
      <w:bookmarkStart w:id="93" w:name="_Toc3842"/>
      <w:r>
        <w:rPr>
          <w:rFonts w:hint="default" w:ascii="Times New Roman" w:hAnsi="Times New Roman" w:cs="Times New Roman"/>
          <w:highlight w:val="none"/>
        </w:rPr>
        <w:t>自然环境概况</w:t>
      </w:r>
      <w:bookmarkEnd w:id="92"/>
      <w:bookmarkEnd w:id="93"/>
    </w:p>
    <w:p>
      <w:pPr>
        <w:pStyle w:val="4"/>
        <w:bidi w:val="0"/>
        <w:rPr>
          <w:rFonts w:hint="default" w:ascii="Times New Roman" w:hAnsi="Times New Roman" w:cs="Times New Roman"/>
          <w:highlight w:val="none"/>
        </w:rPr>
      </w:pPr>
      <w:r>
        <w:rPr>
          <w:rFonts w:hint="default" w:ascii="Times New Roman" w:hAnsi="Times New Roman" w:cs="Times New Roman"/>
          <w:highlight w:val="none"/>
        </w:rPr>
        <w:t>地形、地貌特征</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市受新华夏系构造和南岭纬向构造控制，地层岩性主要为中生代侏罗系、白垩系的中酸性火山碎屑岩系，其次是燕山期侵入的花岗岩类。太姥山脉纵贯西北，形成西北和西南部山势高峻、尖峰峭壁的地貌特点，海拔高度800～1000m。境内最高点在西南部的青龙山，海拔1141.3m（黄海高程）；东南部最高点为太姥山的复鼎峰，海拔917m。南雁荡山余脉从东北部深入，形成了东北部的丘陵山地。中部和南部为块状盆谷和平原。</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福鼎全境地势从东北、西北、西南向中部及东南沿海倾斜，从中山、低山和丘陵到港湾作明显的层状分布。沙埕湾则是典型的溺谷山地基岩海湾，呈NW 向伸进陆域地，直入市境腹地，在市区的东南伸展成—内海。沿海一带为狭长的滨海堆积平原，太姥山脉斜贯东南部。</w:t>
      </w:r>
    </w:p>
    <w:p>
      <w:pPr>
        <w:ind w:firstLine="480"/>
        <w:rPr>
          <w:rFonts w:hint="default" w:ascii="Times New Roman" w:hAnsi="Times New Roman" w:cs="Times New Roman"/>
          <w:highlight w:val="none"/>
        </w:rPr>
      </w:pPr>
      <w:r>
        <w:rPr>
          <w:rFonts w:hint="default" w:ascii="Times New Roman" w:hAnsi="Times New Roman" w:cs="Times New Roman"/>
          <w:highlight w:val="none"/>
        </w:rPr>
        <w:t>本工程区属于丘陵地貌，</w:t>
      </w:r>
      <w:r>
        <w:rPr>
          <w:rFonts w:hint="default" w:ascii="Times New Roman" w:hAnsi="Times New Roman" w:cs="Times New Roman"/>
          <w:highlight w:val="none"/>
          <w:lang w:eastAsia="zh-CN"/>
        </w:rPr>
        <w:t>区域内山脉纵横交错，总体上位于外围山脉构成的一片相对平坦地区内。</w:t>
      </w:r>
      <w:r>
        <w:rPr>
          <w:rFonts w:hint="default" w:ascii="Times New Roman" w:hAnsi="Times New Roman" w:cs="Times New Roman"/>
          <w:highlight w:val="none"/>
        </w:rPr>
        <w:t>区内最高峰</w:t>
      </w:r>
      <w:r>
        <w:rPr>
          <w:rFonts w:hint="default" w:ascii="Times New Roman" w:hAnsi="Times New Roman" w:cs="Times New Roman"/>
          <w:highlight w:val="none"/>
          <w:lang w:val="en-US" w:eastAsia="zh-CN"/>
        </w:rPr>
        <w:t>为犁头峙山，高程1085.04m</w:t>
      </w:r>
      <w:r>
        <w:rPr>
          <w:rFonts w:hint="default" w:ascii="Times New Roman" w:hAnsi="Times New Roman" w:cs="Times New Roman"/>
          <w:highlight w:val="none"/>
        </w:rPr>
        <w:t>，地势总体由</w:t>
      </w:r>
      <w:r>
        <w:rPr>
          <w:rFonts w:hint="default" w:ascii="Times New Roman" w:hAnsi="Times New Roman" w:cs="Times New Roman"/>
          <w:highlight w:val="none"/>
          <w:lang w:val="en-US" w:eastAsia="zh-CN"/>
        </w:rPr>
        <w:t>西南往东北</w:t>
      </w:r>
      <w:r>
        <w:rPr>
          <w:rFonts w:hint="default" w:ascii="Times New Roman" w:hAnsi="Times New Roman" w:cs="Times New Roman"/>
          <w:highlight w:val="none"/>
        </w:rPr>
        <w:t>倾。</w:t>
      </w:r>
    </w:p>
    <w:p>
      <w:pPr>
        <w:pStyle w:val="4"/>
        <w:rPr>
          <w:rFonts w:hint="default" w:ascii="Times New Roman" w:hAnsi="Times New Roman" w:cs="Times New Roman"/>
          <w:highlight w:val="none"/>
        </w:rPr>
      </w:pPr>
      <w:r>
        <w:rPr>
          <w:rFonts w:hint="default" w:ascii="Times New Roman" w:hAnsi="Times New Roman" w:cs="Times New Roman"/>
          <w:highlight w:val="none"/>
        </w:rPr>
        <w:t>气候条件</w:t>
      </w:r>
    </w:p>
    <w:p>
      <w:pPr>
        <w:ind w:firstLine="480"/>
        <w:rPr>
          <w:rFonts w:hint="default" w:ascii="Times New Roman" w:hAnsi="Times New Roman" w:cs="Times New Roman"/>
          <w:highlight w:val="none"/>
        </w:rPr>
      </w:pPr>
      <w:r>
        <w:rPr>
          <w:rFonts w:hint="default" w:ascii="Times New Roman" w:hAnsi="Times New Roman" w:cs="Times New Roman"/>
          <w:highlight w:val="none"/>
        </w:rPr>
        <w:t>本项目所在地福鼎市中亚热带季风气候区，海洋性气候特征显著，雨量充沛，日照充足，无霜期长。夏季常受西太平洋副热带高压控制，冬季则受西伯利亚冷气团影响。春末夏初有一雨量集中期，夏秋季常有台风出现。冬季盛行偏北风，夏季多为东南风。据福鼎市30 年气象统计资料，福鼎市多年平均气温17℃，多年平均气压1011.5hPa，多年平均降水量1800mm，多年平均相对湿度83％，全年风频最高的风向为N，频率为20%，次主要风向为NNE，频率为11%，平均风速较小为1.2m/s。</w:t>
      </w:r>
    </w:p>
    <w:p>
      <w:pPr>
        <w:ind w:firstLine="480"/>
        <w:rPr>
          <w:rFonts w:hint="default" w:ascii="Times New Roman" w:hAnsi="Times New Roman" w:cs="Times New Roman"/>
          <w:highlight w:val="none"/>
        </w:rPr>
      </w:pPr>
      <w:r>
        <w:rPr>
          <w:rFonts w:hint="default" w:ascii="Times New Roman" w:hAnsi="Times New Roman" w:cs="Times New Roman"/>
          <w:highlight w:val="none"/>
        </w:rPr>
        <w:t>7月份最热，月平均气温28.2°C；1月份最冷，8.6°C。极端最高气温40.6°C（1989年7 月20），极端最低气温-5.2°C（1999年12月23日）。多年平均无霜期268天。</w:t>
      </w:r>
    </w:p>
    <w:p>
      <w:pPr>
        <w:ind w:firstLine="480"/>
        <w:jc w:val="both"/>
        <w:rPr>
          <w:rFonts w:hint="default" w:ascii="Times New Roman" w:hAnsi="Times New Roman" w:cs="Times New Roman"/>
          <w:highlight w:val="none"/>
        </w:rPr>
      </w:pPr>
      <w:r>
        <w:rPr>
          <w:rFonts w:hint="default" w:ascii="Times New Roman" w:hAnsi="Times New Roman" w:cs="Times New Roman"/>
          <w:highlight w:val="none"/>
        </w:rPr>
        <w:t>年最大降水量2484.4mm（1973年），年最小降水量1045.5mm（1967年），月最大降水量808.3mm（1956年9月），月最小降水量0.0mm（1979年10月、1999年11月）。日最大降水量379.6mm，出现在1960年9月24日。雨量受地形影响分布不均，大致是西北、西南山区向东南沿海渐减。西北、西南山区及太姥山地区年降水量为1700.0~2200.0mm，沿海地区年降水量在1300.0~1700.0mm，岛屿年平均降水量不到1200.0mm。</w:t>
      </w:r>
    </w:p>
    <w:p>
      <w:pPr>
        <w:ind w:firstLine="480"/>
        <w:rPr>
          <w:rFonts w:hint="default" w:ascii="Times New Roman" w:hAnsi="Times New Roman" w:cs="Times New Roman"/>
          <w:highlight w:val="none"/>
        </w:rPr>
      </w:pPr>
      <w:r>
        <w:rPr>
          <w:rFonts w:hint="default" w:ascii="Times New Roman" w:hAnsi="Times New Roman" w:cs="Times New Roman"/>
          <w:highlight w:val="none"/>
        </w:rPr>
        <w:t>年平均蒸发量为1314.2mm。6月至10月蒸发较强，月蒸发量均在120.0mm以上。年平均日照时数为1840.1h，日照百分率42%。日照月际间分布差异较大，以七、八月份为多，月平均日照时数分别为236.5 与224.8h；最少的是每年2 月份，只有87.5h。</w:t>
      </w:r>
    </w:p>
    <w:p>
      <w:pPr>
        <w:ind w:firstLine="480"/>
        <w:rPr>
          <w:rFonts w:hint="default" w:ascii="Times New Roman" w:hAnsi="Times New Roman" w:cs="Times New Roman"/>
          <w:highlight w:val="none"/>
        </w:rPr>
      </w:pPr>
      <w:r>
        <w:rPr>
          <w:rFonts w:hint="default" w:ascii="Times New Roman" w:hAnsi="Times New Roman" w:cs="Times New Roman"/>
          <w:highlight w:val="none"/>
        </w:rPr>
        <w:t>年平均雾日为12.8 天，年最多雾日30 天，出现在1953 年，年最少雾日4 日，出现在1994 年。春季（3~5 月）为多雾季节，雾日数占全年的46.1%，其次是冬季（12 月~翌年2 月），占全年的39.8%。</w:t>
      </w:r>
    </w:p>
    <w:p>
      <w:pPr>
        <w:pStyle w:val="4"/>
        <w:rPr>
          <w:rFonts w:hint="default" w:ascii="Times New Roman" w:hAnsi="Times New Roman" w:cs="Times New Roman"/>
          <w:highlight w:val="none"/>
        </w:rPr>
      </w:pPr>
      <w:r>
        <w:rPr>
          <w:rFonts w:hint="default" w:ascii="Times New Roman" w:hAnsi="Times New Roman" w:cs="Times New Roman"/>
          <w:highlight w:val="none"/>
        </w:rPr>
        <w:t>水文水系</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福鼎市位于福建省东北部，东南濒临东海，东北界浙江省苍南县，西北邻浙江省泰顺县，西接柘荣县，南连霞浦县，距省会福州220</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km，北邻浙江温州不足100</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km，东至台湾基隆142海里，104国道、沈海高速公路和温福铁路纵贯全境，水陆交通便捷。辖区东西最大横距79.3</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km，南北最大纵距57.4</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km，总面积1526.3</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k</w:t>
      </w:r>
      <w:r>
        <w:rPr>
          <w:rFonts w:hint="default" w:ascii="Times New Roman" w:hAnsi="Times New Roman" w:cs="Times New Roman"/>
          <w:highlight w:val="none"/>
          <w:lang w:eastAsia="zh-CN"/>
        </w:rPr>
        <w:t>m²</w:t>
      </w:r>
      <w:r>
        <w:rPr>
          <w:rFonts w:hint="default" w:ascii="Times New Roman" w:hAnsi="Times New Roman" w:cs="Times New Roman"/>
          <w:highlight w:val="none"/>
        </w:rPr>
        <w:t>，山丘地约占陆地总面积的91%，盆谷平原约占9%。</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全市辖3个街道、10个镇、3个乡（其中2个民族乡）、1个开发区。其中本市东南沿海的秦屿、店下、龙安、硖门四乡（镇、区）为福鼎市东南沿海水源缺乏区，水资源分区属于Ⅱ2亚区，福鼎市水利设施相对完善，属于资源性缺水区域；福鼎市水资源丰枯明显，呈现“西北富东南贫”的状况，这与福鼎市经济发展水平倒挂，对福鼎市社会经济的发展造成一定的制约。</w:t>
      </w:r>
    </w:p>
    <w:p>
      <w:pPr>
        <w:ind w:firstLine="48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福鼎市内溪流纵横密布，状若伸开的手掌，有向心状水系特点。流域面积在100</w:t>
      </w:r>
      <w:r>
        <w:rPr>
          <w:rFonts w:hint="default" w:ascii="Times New Roman" w:hAnsi="Times New Roman" w:eastAsia="宋体" w:cs="Times New Roman"/>
          <w:sz w:val="24"/>
          <w:szCs w:val="24"/>
          <w:highlight w:val="none"/>
          <w:lang w:val="en-US" w:eastAsia="zh-CN"/>
        </w:rPr>
        <w:t xml:space="preserve"> </w:t>
      </w:r>
      <w:r>
        <w:rPr>
          <w:rFonts w:hint="default" w:ascii="Times New Roman" w:hAnsi="Times New Roman" w:eastAsia="宋体" w:cs="Times New Roman"/>
          <w:sz w:val="24"/>
          <w:szCs w:val="24"/>
          <w:highlight w:val="none"/>
        </w:rPr>
        <w:t>km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以上的河流有5条，在30</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100</w:t>
      </w:r>
      <w:r>
        <w:rPr>
          <w:rFonts w:hint="default" w:ascii="Times New Roman" w:hAnsi="Times New Roman" w:eastAsia="宋体" w:cs="Times New Roman"/>
          <w:sz w:val="24"/>
          <w:szCs w:val="24"/>
          <w:highlight w:val="none"/>
          <w:lang w:val="en-US" w:eastAsia="zh-CN"/>
        </w:rPr>
        <w:t xml:space="preserve"> </w:t>
      </w:r>
      <w:r>
        <w:rPr>
          <w:rFonts w:hint="default" w:ascii="Times New Roman" w:hAnsi="Times New Roman" w:eastAsia="宋体" w:cs="Times New Roman"/>
          <w:sz w:val="24"/>
          <w:szCs w:val="24"/>
          <w:highlight w:val="none"/>
        </w:rPr>
        <w:t>km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的河流有4条。</w:t>
      </w:r>
    </w:p>
    <w:p>
      <w:pPr>
        <w:ind w:firstLine="48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本项目自管阳溪天竹水库、上安水库、管阳溪支流龙井溪取水。</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管阳溪属交溪水系，发源于柘荣县乍洋，在福鼎市管阳东家山入境，流经管阳、广化、乾头，至管阳储楼出境，汇入福安市交溪。该溪流域面积125km²，主河道29.7km，河道比降9.14‰，多年平均径流量1.774亿m³，多年平均流量5.63 m³/s。</w:t>
      </w:r>
    </w:p>
    <w:p>
      <w:pPr>
        <w:pStyle w:val="4"/>
        <w:bidi w:val="0"/>
        <w:rPr>
          <w:rFonts w:hint="default" w:ascii="Times New Roman" w:hAnsi="Times New Roman" w:cs="Times New Roman"/>
          <w:highlight w:val="none"/>
        </w:rPr>
      </w:pPr>
      <w:r>
        <w:rPr>
          <w:rFonts w:hint="default" w:ascii="Times New Roman" w:hAnsi="Times New Roman" w:cs="Times New Roman"/>
          <w:highlight w:val="none"/>
        </w:rPr>
        <w:t>土壤植被</w:t>
      </w:r>
    </w:p>
    <w:p>
      <w:pPr>
        <w:ind w:firstLine="480"/>
        <w:rPr>
          <w:rFonts w:hint="default" w:ascii="Times New Roman" w:hAnsi="Times New Roman" w:cs="Times New Roman"/>
          <w:highlight w:val="none"/>
        </w:rPr>
      </w:pPr>
      <w:r>
        <w:rPr>
          <w:rFonts w:hint="default" w:ascii="Times New Roman" w:hAnsi="Times New Roman" w:cs="Times New Roman"/>
          <w:highlight w:val="none"/>
        </w:rPr>
        <w:t>境内土壤成土母岩以凝灰熔岩、砂页岩为主，耕地土壤以中轻壤为主，其次是重壤、沙壤。林地土壤分为三个土类，五个亚类，十四个土壤。其中按亚类分为红壤、黄红壤、精骨性红壤、黄壤、酸性紫色土。</w:t>
      </w:r>
    </w:p>
    <w:p>
      <w:pPr>
        <w:ind w:firstLine="480"/>
        <w:rPr>
          <w:rFonts w:hint="default" w:ascii="Times New Roman" w:hAnsi="Times New Roman" w:cs="Times New Roman"/>
          <w:highlight w:val="none"/>
        </w:rPr>
      </w:pPr>
      <w:r>
        <w:rPr>
          <w:rFonts w:hint="default" w:ascii="Times New Roman" w:hAnsi="Times New Roman" w:cs="Times New Roman"/>
          <w:highlight w:val="none"/>
        </w:rPr>
        <w:t>由于受自然地理条件的限制，全市地带性土壤无水平分布现象。境内地带性的红壤和黄壌呈垂直分布。随着海拔高度的升高，水热条件和植被变化，对土壤的发生和发展产生了明显的分异作用，使土壤在垂直分布上呈现出明显的差异，在海拔700~750m 以上分布着黄壤，海拔550~750m 以下分布着黄红壤，海拔500~600m 以下为红壤。水稻分布于红壤地区的山垅，沿溪流两岸，河谷平原和滨海平原。随着地形的变化，成土母质，水文条件和农业生产条件的差异，土壤呈一定规律性的区域分布。分别为滨海平原区，河谷平原区和山地丘陵区。</w:t>
      </w:r>
    </w:p>
    <w:p>
      <w:pPr>
        <w:ind w:firstLine="480"/>
        <w:rPr>
          <w:rFonts w:hint="default" w:ascii="Times New Roman" w:hAnsi="Times New Roman" w:cs="Times New Roman"/>
          <w:highlight w:val="none"/>
        </w:rPr>
      </w:pPr>
      <w:r>
        <w:rPr>
          <w:rFonts w:hint="default" w:ascii="Times New Roman" w:hAnsi="Times New Roman" w:cs="Times New Roman"/>
          <w:highlight w:val="none"/>
        </w:rPr>
        <w:t>土壤养分除母质含矿质元素外与耕作施肥，海拔高度，气候诸因素相关。境内林地土壤肥力自西向东逐渐递减，耕地土壤养分不足。</w:t>
      </w:r>
    </w:p>
    <w:p>
      <w:pPr>
        <w:ind w:firstLine="480"/>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本</w:t>
      </w:r>
      <w:r>
        <w:rPr>
          <w:rFonts w:hint="default" w:ascii="Times New Roman" w:hAnsi="Times New Roman" w:cs="Times New Roman"/>
          <w:highlight w:val="none"/>
        </w:rPr>
        <w:t>工程</w:t>
      </w:r>
      <w:r>
        <w:rPr>
          <w:rFonts w:hint="default" w:ascii="Times New Roman" w:hAnsi="Times New Roman" w:cs="Times New Roman"/>
          <w:highlight w:val="none"/>
          <w:lang w:eastAsia="zh-CN"/>
        </w:rPr>
        <w:t>分水厂与管线两部分。水厂部分现状土地为茶园，土壤类型为红壤。</w:t>
      </w:r>
    </w:p>
    <w:p>
      <w:pPr>
        <w:ind w:firstLine="480"/>
        <w:rPr>
          <w:rFonts w:hint="default" w:ascii="Times New Roman" w:hAnsi="Times New Roman" w:cs="Times New Roman"/>
          <w:highlight w:val="none"/>
        </w:rPr>
      </w:pPr>
      <w:r>
        <w:rPr>
          <w:rFonts w:hint="default" w:ascii="Times New Roman" w:hAnsi="Times New Roman" w:cs="Times New Roman"/>
          <w:highlight w:val="none"/>
        </w:rPr>
        <w:t>项目</w:t>
      </w:r>
      <w:r>
        <w:rPr>
          <w:rFonts w:hint="default" w:ascii="Times New Roman" w:hAnsi="Times New Roman" w:cs="Times New Roman"/>
          <w:highlight w:val="none"/>
          <w:lang w:eastAsia="zh-CN"/>
        </w:rPr>
        <w:t>管线主要沿道路铺设，</w:t>
      </w:r>
      <w:r>
        <w:rPr>
          <w:rFonts w:hint="default" w:ascii="Times New Roman" w:hAnsi="Times New Roman" w:cs="Times New Roman"/>
          <w:highlight w:val="none"/>
        </w:rPr>
        <w:t>沿线内未发现珍稀及特有植物及陆生动物，区域内也无国家级名胜古迹等环境保护敏感目标。</w:t>
      </w:r>
    </w:p>
    <w:p>
      <w:pPr>
        <w:pStyle w:val="3"/>
        <w:tabs>
          <w:tab w:val="left" w:pos="425"/>
        </w:tabs>
        <w:rPr>
          <w:rFonts w:hint="default" w:ascii="Times New Roman" w:hAnsi="Times New Roman" w:cs="Times New Roman"/>
          <w:highlight w:val="none"/>
        </w:rPr>
      </w:pPr>
      <w:bookmarkStart w:id="94" w:name="_Toc30362"/>
      <w:bookmarkStart w:id="95" w:name="_Toc15357"/>
      <w:r>
        <w:rPr>
          <w:rFonts w:hint="default" w:ascii="Times New Roman" w:hAnsi="Times New Roman" w:cs="Times New Roman"/>
          <w:highlight w:val="none"/>
        </w:rPr>
        <w:t>福建省福鼎市水资源配置规划报告</w:t>
      </w:r>
      <w:bookmarkEnd w:id="94"/>
      <w:bookmarkEnd w:id="95"/>
    </w:p>
    <w:p>
      <w:pPr>
        <w:ind w:firstLine="480"/>
        <w:rPr>
          <w:rFonts w:hint="default" w:ascii="Times New Roman" w:hAnsi="Times New Roman" w:cs="Times New Roman"/>
          <w:highlight w:val="none"/>
        </w:rPr>
      </w:pPr>
      <w:r>
        <w:rPr>
          <w:rFonts w:hint="default" w:ascii="Times New Roman" w:hAnsi="Times New Roman" w:cs="Times New Roman"/>
          <w:highlight w:val="none"/>
        </w:rPr>
        <w:t>根据福建省水利水电勘测设计研究院201</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年</w:t>
      </w:r>
      <w:r>
        <w:rPr>
          <w:rFonts w:hint="default" w:ascii="Times New Roman" w:hAnsi="Times New Roman" w:cs="Times New Roman"/>
          <w:highlight w:val="none"/>
          <w:lang w:val="en-US" w:eastAsia="zh-CN"/>
        </w:rPr>
        <w:t>10</w:t>
      </w:r>
      <w:r>
        <w:rPr>
          <w:rFonts w:hint="default" w:ascii="Times New Roman" w:hAnsi="Times New Roman" w:cs="Times New Roman"/>
          <w:highlight w:val="none"/>
        </w:rPr>
        <w:t>月编制的《福建省福鼎市水资配置规划》报告可知：</w:t>
      </w:r>
    </w:p>
    <w:p>
      <w:pPr>
        <w:pStyle w:val="4"/>
        <w:rPr>
          <w:rFonts w:hint="default" w:ascii="Times New Roman" w:hAnsi="Times New Roman" w:cs="Times New Roman"/>
          <w:highlight w:val="none"/>
        </w:rPr>
      </w:pPr>
      <w:r>
        <w:rPr>
          <w:rFonts w:hint="default" w:ascii="Times New Roman" w:hAnsi="Times New Roman" w:cs="Times New Roman"/>
          <w:highlight w:val="none"/>
        </w:rPr>
        <w:t>水资源开发利用情况</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福鼎市境内（不含客水）多年平均地表水水资源总量17.883亿</w:t>
      </w:r>
      <w:r>
        <w:rPr>
          <w:rFonts w:hint="default" w:ascii="Times New Roman" w:hAnsi="Times New Roman" w:cs="Times New Roman"/>
          <w:highlight w:val="none"/>
          <w:lang w:eastAsia="zh-CN"/>
        </w:rPr>
        <w:t>m³</w:t>
      </w:r>
      <w:r>
        <w:rPr>
          <w:rFonts w:hint="default" w:ascii="Times New Roman" w:hAnsi="Times New Roman" w:cs="Times New Roman"/>
          <w:highlight w:val="none"/>
        </w:rPr>
        <w:t>，平均每平方公里水资源117.2 万</w:t>
      </w:r>
      <w:r>
        <w:rPr>
          <w:rFonts w:hint="default" w:ascii="Times New Roman" w:hAnsi="Times New Roman" w:cs="Times New Roman"/>
          <w:highlight w:val="none"/>
          <w:lang w:eastAsia="zh-CN"/>
        </w:rPr>
        <w:t>m³</w:t>
      </w:r>
      <w:r>
        <w:rPr>
          <w:rFonts w:hint="default" w:ascii="Times New Roman" w:hAnsi="Times New Roman" w:cs="Times New Roman"/>
          <w:highlight w:val="none"/>
        </w:rPr>
        <w:t>，略高于全省97.1万</w:t>
      </w:r>
      <w:r>
        <w:rPr>
          <w:rFonts w:hint="default" w:ascii="Times New Roman" w:hAnsi="Times New Roman" w:cs="Times New Roman"/>
          <w:highlight w:val="none"/>
          <w:lang w:eastAsia="zh-CN"/>
        </w:rPr>
        <w:t>m³</w:t>
      </w:r>
      <w:r>
        <w:rPr>
          <w:rFonts w:hint="default" w:ascii="Times New Roman" w:hAnsi="Times New Roman" w:cs="Times New Roman"/>
          <w:highlight w:val="none"/>
        </w:rPr>
        <w:t>的平均水平；人均水资源量3105</w:t>
      </w:r>
      <w:r>
        <w:rPr>
          <w:rFonts w:hint="default" w:ascii="Times New Roman" w:hAnsi="Times New Roman" w:cs="Times New Roman"/>
          <w:highlight w:val="none"/>
          <w:lang w:eastAsia="zh-CN"/>
        </w:rPr>
        <w:t>m³</w:t>
      </w:r>
      <w:r>
        <w:rPr>
          <w:rFonts w:hint="default" w:ascii="Times New Roman" w:hAnsi="Times New Roman" w:cs="Times New Roman"/>
          <w:highlight w:val="none"/>
        </w:rPr>
        <w:t xml:space="preserve">，略低于全省3401 </w:t>
      </w:r>
      <w:r>
        <w:rPr>
          <w:rFonts w:hint="default" w:ascii="Times New Roman" w:hAnsi="Times New Roman" w:cs="Times New Roman"/>
          <w:highlight w:val="none"/>
          <w:lang w:eastAsia="zh-CN"/>
        </w:rPr>
        <w:t>m³</w:t>
      </w:r>
      <w:r>
        <w:rPr>
          <w:rFonts w:hint="default" w:ascii="Times New Roman" w:hAnsi="Times New Roman" w:cs="Times New Roman"/>
          <w:highlight w:val="none"/>
        </w:rPr>
        <w:t>的平均水平。境内主要水库有南溪水库。南溪水库坝址以上流域面积164 k</w:t>
      </w:r>
      <w:r>
        <w:rPr>
          <w:rFonts w:hint="default" w:ascii="Times New Roman" w:hAnsi="Times New Roman" w:cs="Times New Roman"/>
          <w:highlight w:val="none"/>
          <w:lang w:eastAsia="zh-CN"/>
        </w:rPr>
        <w:t>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rPr>
        <w:t xml:space="preserve">，占总流域面积38.59%。南溪水库为年调节库，原设计坝址多年平均流量6.68 </w:t>
      </w:r>
      <w:r>
        <w:rPr>
          <w:rFonts w:hint="default" w:ascii="Times New Roman" w:hAnsi="Times New Roman" w:cs="Times New Roman"/>
          <w:highlight w:val="none"/>
          <w:lang w:eastAsia="zh-CN"/>
        </w:rPr>
        <w:t>m³</w:t>
      </w:r>
      <w:r>
        <w:rPr>
          <w:rFonts w:hint="default" w:ascii="Times New Roman" w:hAnsi="Times New Roman" w:cs="Times New Roman"/>
          <w:highlight w:val="none"/>
        </w:rPr>
        <w:t>/s，多年平均来水量2.11亿</w:t>
      </w:r>
      <w:r>
        <w:rPr>
          <w:rFonts w:hint="default" w:ascii="Times New Roman" w:hAnsi="Times New Roman" w:cs="Times New Roman"/>
          <w:highlight w:val="none"/>
          <w:lang w:eastAsia="zh-CN"/>
        </w:rPr>
        <w:t>m³</w:t>
      </w:r>
      <w:r>
        <w:rPr>
          <w:rFonts w:hint="default" w:ascii="Times New Roman" w:hAnsi="Times New Roman" w:cs="Times New Roman"/>
          <w:highlight w:val="none"/>
        </w:rPr>
        <w:t>，坝顶高程164.3m，最大坝高67.3m，总库容6700万</w:t>
      </w:r>
      <w:r>
        <w:rPr>
          <w:rFonts w:hint="default" w:ascii="Times New Roman" w:hAnsi="Times New Roman" w:cs="Times New Roman"/>
          <w:highlight w:val="none"/>
          <w:lang w:eastAsia="zh-CN"/>
        </w:rPr>
        <w:t>m³</w:t>
      </w:r>
      <w:r>
        <w:rPr>
          <w:rFonts w:hint="default" w:ascii="Times New Roman" w:hAnsi="Times New Roman" w:cs="Times New Roman"/>
          <w:highlight w:val="none"/>
        </w:rPr>
        <w:t>，正常蓄水位155m，死水位124m，为保证水质，供水最低水位为138m，实际供水库容3332万</w:t>
      </w:r>
      <w:r>
        <w:rPr>
          <w:rFonts w:hint="default" w:ascii="Times New Roman" w:hAnsi="Times New Roman" w:cs="Times New Roman"/>
          <w:highlight w:val="none"/>
          <w:lang w:eastAsia="zh-CN"/>
        </w:rPr>
        <w:t>m³</w:t>
      </w:r>
      <w:r>
        <w:rPr>
          <w:rFonts w:hint="default" w:ascii="Times New Roman" w:hAnsi="Times New Roman" w:cs="Times New Roman"/>
          <w:highlight w:val="none"/>
        </w:rPr>
        <w:t>。</w:t>
      </w:r>
    </w:p>
    <w:p>
      <w:pPr>
        <w:pStyle w:val="4"/>
        <w:rPr>
          <w:rFonts w:hint="default" w:ascii="Times New Roman" w:hAnsi="Times New Roman" w:cs="Times New Roman"/>
          <w:highlight w:val="none"/>
        </w:rPr>
      </w:pPr>
      <w:r>
        <w:rPr>
          <w:rFonts w:hint="default" w:ascii="Times New Roman" w:hAnsi="Times New Roman" w:cs="Times New Roman"/>
          <w:highlight w:val="none"/>
        </w:rPr>
        <w:t>需水成果预测</w:t>
      </w:r>
    </w:p>
    <w:p>
      <w:pPr>
        <w:ind w:firstLine="480"/>
        <w:rPr>
          <w:rFonts w:hint="default" w:ascii="Times New Roman" w:hAnsi="Times New Roman" w:cs="Times New Roman"/>
          <w:highlight w:val="none"/>
        </w:rPr>
      </w:pPr>
      <w:r>
        <w:rPr>
          <w:rFonts w:hint="default" w:ascii="Times New Roman" w:hAnsi="Times New Roman" w:cs="Times New Roman"/>
          <w:highlight w:val="none"/>
          <w:lang w:val="en-US" w:eastAsia="zh-CN"/>
        </w:rPr>
        <w:t>至</w:t>
      </w:r>
      <w:r>
        <w:rPr>
          <w:rFonts w:hint="default" w:ascii="Times New Roman" w:hAnsi="Times New Roman" w:cs="Times New Roman"/>
          <w:highlight w:val="none"/>
        </w:rPr>
        <w:t>2030年</w:t>
      </w:r>
      <w:r>
        <w:rPr>
          <w:rFonts w:hint="default" w:ascii="Times New Roman" w:hAnsi="Times New Roman" w:cs="Times New Roman"/>
          <w:highlight w:val="none"/>
          <w:lang w:eastAsia="zh-CN"/>
        </w:rPr>
        <w:t>，</w:t>
      </w:r>
      <w:r>
        <w:rPr>
          <w:rFonts w:hint="default" w:ascii="Times New Roman" w:hAnsi="Times New Roman" w:cs="Times New Roman"/>
          <w:highlight w:val="none"/>
        </w:rPr>
        <w:t>城镇需水量约59.9 万t/d，其中山区片需水量3.0万t/d，北片需水量34.6万t/d，南片需水量22.0万t/d，海岛片需水量0.28万t/d</w:t>
      </w:r>
      <w:r>
        <w:rPr>
          <w:rFonts w:hint="default" w:ascii="Times New Roman" w:hAnsi="Times New Roman" w:cs="Times New Roman"/>
          <w:highlight w:val="none"/>
        </w:rPr>
        <w:t>。</w:t>
      </w:r>
    </w:p>
    <w:p>
      <w:pPr>
        <w:pStyle w:val="4"/>
        <w:rPr>
          <w:rFonts w:hint="default" w:ascii="Times New Roman" w:hAnsi="Times New Roman" w:cs="Times New Roman"/>
          <w:highlight w:val="none"/>
        </w:rPr>
      </w:pPr>
      <w:r>
        <w:rPr>
          <w:rFonts w:hint="default" w:ascii="Times New Roman" w:hAnsi="Times New Roman" w:cs="Times New Roman"/>
          <w:highlight w:val="none"/>
        </w:rPr>
        <w:t>供需平衡分析结果</w:t>
      </w:r>
    </w:p>
    <w:p>
      <w:pPr>
        <w:ind w:firstLine="480"/>
        <w:rPr>
          <w:rFonts w:hint="default" w:ascii="Times New Roman" w:hAnsi="Times New Roman" w:cs="Times New Roman"/>
          <w:highlight w:val="none"/>
        </w:rPr>
      </w:pPr>
      <w:r>
        <w:rPr>
          <w:rFonts w:hint="default" w:ascii="Times New Roman" w:hAnsi="Times New Roman" w:cs="Times New Roman"/>
          <w:highlight w:val="none"/>
        </w:rPr>
        <w:t>福鼎市供水体系核心由南溪水库、管阳溪调水工程及百步溪调水工程组成。南溪水库位于福鼎北片区，目前主要为城区及附近工业区供水；管阳溪调水工程及百步溪调水工程主要为解决福鼎南片沿海区用水问题，由于管阳溪调水枯水期可供水量有限，难以单独满足南片区的近远期用水需求，经分析，考虑由南溪水库进行补偿供水。从2020年、2030年城区与南片区P＝95％、P＝90％、P＝75％、P＝50％代表年水量平衡成果看，在规划工程已建的情况下，各代表年均可满足水量供需平衡要求。</w:t>
      </w:r>
    </w:p>
    <w:p>
      <w:pPr>
        <w:pStyle w:val="4"/>
        <w:rPr>
          <w:rFonts w:hint="default" w:ascii="Times New Roman" w:hAnsi="Times New Roman" w:cs="Times New Roman"/>
          <w:highlight w:val="none"/>
        </w:rPr>
      </w:pPr>
      <w:r>
        <w:rPr>
          <w:rFonts w:hint="default" w:ascii="Times New Roman" w:hAnsi="Times New Roman" w:cs="Times New Roman"/>
          <w:highlight w:val="none"/>
        </w:rPr>
        <w:t>水资源配置</w:t>
      </w:r>
    </w:p>
    <w:p>
      <w:pPr>
        <w:ind w:firstLine="480"/>
        <w:rPr>
          <w:rFonts w:hint="default" w:ascii="Times New Roman" w:hAnsi="Times New Roman" w:cs="Times New Roman"/>
          <w:highlight w:val="none"/>
        </w:rPr>
      </w:pPr>
      <w:r>
        <w:rPr>
          <w:rFonts w:hint="default" w:ascii="Times New Roman" w:hAnsi="Times New Roman" w:cs="Times New Roman"/>
          <w:highlight w:val="none"/>
        </w:rPr>
        <w:t>管阳溪调水与南溪水库主要用于城镇的生活、工业用水，农业灌溉以现有灌溉水源保障为主。由于管阳溪调水枯水期可供水量有限，难以单独满足南片区的近远期用水需求，经分析，考虑由南溪水库进行补偿供水。水量供需平衡时三水厂与南片区先用管阳溪调水，不足由南溪水库进行补水。其它水源均为就近乡镇供水。</w:t>
      </w:r>
    </w:p>
    <w:p>
      <w:pPr>
        <w:ind w:firstLine="480"/>
        <w:rPr>
          <w:rFonts w:hint="default" w:ascii="Times New Roman" w:hAnsi="Times New Roman" w:cs="Times New Roman"/>
          <w:highlight w:val="none"/>
        </w:rPr>
      </w:pPr>
      <w:r>
        <w:rPr>
          <w:rFonts w:hint="default" w:ascii="Times New Roman" w:hAnsi="Times New Roman" w:cs="Times New Roman"/>
          <w:highlight w:val="none"/>
        </w:rPr>
        <w:t>南溪水库除承担二水厂供水任务外，还承担三水厂与南片区的补偿供水任务。北片区的沙埕镇北片由牛头溪水库供水，佳阳镇由佳阳水库和牛头溪水库供水，前岐镇用水由牛头溪水库供水。</w:t>
      </w:r>
    </w:p>
    <w:p>
      <w:pPr>
        <w:ind w:firstLine="480"/>
        <w:rPr>
          <w:rFonts w:hint="default" w:ascii="Times New Roman" w:hAnsi="Times New Roman" w:cs="Times New Roman"/>
          <w:highlight w:val="none"/>
        </w:rPr>
      </w:pPr>
      <w:r>
        <w:rPr>
          <w:rFonts w:hint="default" w:ascii="Times New Roman" w:hAnsi="Times New Roman" w:cs="Times New Roman"/>
          <w:highlight w:val="none"/>
        </w:rPr>
        <w:t>贯岭镇、叠石乡、管阳镇、磻溪镇以及嵛山镇等其它几个乡镇，用水量较小，可用当地供水水源就近解决。</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本工程供水对象为管阳镇城镇生活、工业用水。</w:t>
      </w:r>
    </w:p>
    <w:p>
      <w:pPr>
        <w:pStyle w:val="3"/>
        <w:tabs>
          <w:tab w:val="left" w:pos="425"/>
        </w:tabs>
        <w:rPr>
          <w:rFonts w:hint="default" w:ascii="Times New Roman" w:hAnsi="Times New Roman" w:cs="Times New Roman"/>
          <w:highlight w:val="none"/>
        </w:rPr>
      </w:pPr>
      <w:bookmarkStart w:id="96" w:name="_Toc31191"/>
      <w:bookmarkStart w:id="97" w:name="_Toc7760"/>
      <w:r>
        <w:rPr>
          <w:rFonts w:hint="default" w:ascii="Times New Roman" w:hAnsi="Times New Roman" w:cs="Times New Roman"/>
          <w:highlight w:val="none"/>
        </w:rPr>
        <w:t>环境质量现状</w:t>
      </w:r>
      <w:bookmarkEnd w:id="96"/>
      <w:bookmarkEnd w:id="97"/>
    </w:p>
    <w:p>
      <w:pPr>
        <w:pStyle w:val="4"/>
        <w:rPr>
          <w:rFonts w:hint="default" w:ascii="Times New Roman" w:hAnsi="Times New Roman" w:cs="Times New Roman"/>
          <w:highlight w:val="none"/>
        </w:rPr>
      </w:pPr>
      <w:r>
        <w:rPr>
          <w:rFonts w:hint="default" w:ascii="Times New Roman" w:hAnsi="Times New Roman" w:cs="Times New Roman"/>
          <w:highlight w:val="none"/>
        </w:rPr>
        <w:t>大气环境质量现状</w:t>
      </w:r>
    </w:p>
    <w:p>
      <w:pPr>
        <w:ind w:firstLine="480"/>
        <w:rPr>
          <w:rFonts w:hint="default" w:ascii="Times New Roman" w:hAnsi="Times New Roman" w:cs="Times New Roman"/>
          <w:highlight w:val="none"/>
        </w:rPr>
      </w:pPr>
      <w:r>
        <w:rPr>
          <w:rFonts w:hint="default" w:ascii="Times New Roman" w:hAnsi="Times New Roman" w:cs="Times New Roman"/>
          <w:highlight w:val="none"/>
        </w:rPr>
        <w:t>本项目位于福鼎市，</w:t>
      </w:r>
      <w:r>
        <w:rPr>
          <w:rFonts w:hint="default" w:ascii="Times New Roman" w:hAnsi="Times New Roman" w:cs="Times New Roman"/>
          <w:highlight w:val="none"/>
          <w:lang w:val="en-US" w:eastAsia="zh-CN"/>
        </w:rPr>
        <w:t>大气环境质量现状数据引用</w:t>
      </w:r>
      <w:r>
        <w:rPr>
          <w:rFonts w:hint="default" w:ascii="Times New Roman" w:hAnsi="Times New Roman" w:cs="Times New Roman"/>
          <w:highlight w:val="none"/>
        </w:rPr>
        <w:t>福鼎市环境监测站统计的关于福鼎市201</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年的基本污染物的年均浓度，详见</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_Ref28609 \n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lang w:eastAsia="zh-CN"/>
        </w:rPr>
        <w:t>表3.4-1</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rPr>
        <w:t>。</w:t>
      </w:r>
    </w:p>
    <w:p>
      <w:pPr>
        <w:pStyle w:val="21"/>
        <w:bidi w:val="0"/>
        <w:rPr>
          <w:rFonts w:hint="default" w:ascii="Times New Roman" w:hAnsi="Times New Roman" w:cs="Times New Roman"/>
          <w:highlight w:val="none"/>
        </w:rPr>
      </w:pPr>
      <w:bookmarkStart w:id="98" w:name="_Ref28609"/>
      <w:r>
        <w:rPr>
          <w:rFonts w:hint="default" w:ascii="Times New Roman" w:hAnsi="Times New Roman" w:cs="Times New Roman"/>
          <w:highlight w:val="none"/>
        </w:rPr>
        <w:t>福鼎市区域空气质量现状评价表</w:t>
      </w:r>
      <w:bookmarkEnd w:id="98"/>
    </w:p>
    <w:tbl>
      <w:tblPr>
        <w:tblStyle w:val="1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605"/>
        <w:gridCol w:w="2025"/>
        <w:gridCol w:w="1680"/>
        <w:gridCol w:w="1410"/>
        <w:gridCol w:w="12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342" w:type="dxa"/>
            <w:tcBorders>
              <w:top w:val="single" w:color="auto" w:sz="12"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污染物</w:t>
            </w:r>
          </w:p>
        </w:tc>
        <w:tc>
          <w:tcPr>
            <w:tcW w:w="1605" w:type="dxa"/>
            <w:tcBorders>
              <w:top w:val="single" w:color="auto" w:sz="12"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年评价指标</w:t>
            </w:r>
          </w:p>
        </w:tc>
        <w:tc>
          <w:tcPr>
            <w:tcW w:w="2025" w:type="dxa"/>
            <w:tcBorders>
              <w:top w:val="single" w:color="auto" w:sz="12"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现状浓度(μg/</w:t>
            </w:r>
            <w:r>
              <w:rPr>
                <w:rFonts w:hint="default" w:ascii="Times New Roman" w:hAnsi="Times New Roman" w:cs="Times New Roman"/>
                <w:b w:val="0"/>
                <w:bCs/>
                <w:kern w:val="0"/>
                <w:szCs w:val="20"/>
                <w:highlight w:val="none"/>
                <w:lang w:eastAsia="zh-CN"/>
              </w:rPr>
              <w:t>m³</w:t>
            </w:r>
            <w:r>
              <w:rPr>
                <w:rFonts w:hint="default" w:ascii="Times New Roman" w:hAnsi="Times New Roman" w:cs="Times New Roman"/>
                <w:b w:val="0"/>
                <w:bCs/>
                <w:kern w:val="0"/>
                <w:szCs w:val="20"/>
                <w:highlight w:val="none"/>
              </w:rPr>
              <w:t>)</w:t>
            </w:r>
          </w:p>
        </w:tc>
        <w:tc>
          <w:tcPr>
            <w:tcW w:w="1680" w:type="dxa"/>
            <w:tcBorders>
              <w:top w:val="single" w:color="auto" w:sz="12"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标准值(μg/</w:t>
            </w:r>
            <w:r>
              <w:rPr>
                <w:rFonts w:hint="default" w:ascii="Times New Roman" w:hAnsi="Times New Roman" w:cs="Times New Roman"/>
                <w:b w:val="0"/>
                <w:bCs/>
                <w:kern w:val="0"/>
                <w:szCs w:val="20"/>
                <w:highlight w:val="none"/>
                <w:lang w:eastAsia="zh-CN"/>
              </w:rPr>
              <w:t>m³</w:t>
            </w:r>
            <w:r>
              <w:rPr>
                <w:rFonts w:hint="default" w:ascii="Times New Roman" w:hAnsi="Times New Roman" w:cs="Times New Roman"/>
                <w:b w:val="0"/>
                <w:bCs/>
                <w:kern w:val="0"/>
                <w:szCs w:val="20"/>
                <w:highlight w:val="none"/>
              </w:rPr>
              <w:t>)</w:t>
            </w:r>
          </w:p>
        </w:tc>
        <w:tc>
          <w:tcPr>
            <w:tcW w:w="1410" w:type="dxa"/>
            <w:tcBorders>
              <w:top w:val="single" w:color="auto" w:sz="12"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占标率（%）</w:t>
            </w:r>
          </w:p>
        </w:tc>
        <w:tc>
          <w:tcPr>
            <w:tcW w:w="1224" w:type="dxa"/>
            <w:tcBorders>
              <w:top w:val="single" w:color="auto" w:sz="12"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SO</w:t>
            </w:r>
            <w:r>
              <w:rPr>
                <w:rFonts w:hint="default" w:ascii="Times New Roman" w:hAnsi="Times New Roman" w:cs="Times New Roman"/>
                <w:b w:val="0"/>
                <w:bCs/>
                <w:kern w:val="0"/>
                <w:szCs w:val="20"/>
                <w:highlight w:val="non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年均质量浓度</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10</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60</w:t>
            </w:r>
          </w:p>
        </w:tc>
        <w:tc>
          <w:tcPr>
            <w:tcW w:w="141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17</w:t>
            </w:r>
          </w:p>
        </w:tc>
        <w:tc>
          <w:tcPr>
            <w:tcW w:w="1224" w:type="dxa"/>
            <w:tcBorders>
              <w:top w:val="single" w:color="auto" w:sz="4"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NO</w:t>
            </w:r>
            <w:r>
              <w:rPr>
                <w:rFonts w:hint="default" w:ascii="Times New Roman" w:hAnsi="Times New Roman" w:cs="Times New Roman"/>
                <w:b w:val="0"/>
                <w:bCs/>
                <w:kern w:val="0"/>
                <w:szCs w:val="20"/>
                <w:highlight w:val="non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年均质量浓度</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13</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40</w:t>
            </w:r>
          </w:p>
        </w:tc>
        <w:tc>
          <w:tcPr>
            <w:tcW w:w="141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32.5</w:t>
            </w:r>
          </w:p>
        </w:tc>
        <w:tc>
          <w:tcPr>
            <w:tcW w:w="1224" w:type="dxa"/>
            <w:tcBorders>
              <w:top w:val="single" w:color="auto" w:sz="4"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PM</w:t>
            </w:r>
            <w:r>
              <w:rPr>
                <w:rFonts w:hint="default" w:ascii="Times New Roman" w:hAnsi="Times New Roman" w:cs="Times New Roman"/>
                <w:b w:val="0"/>
                <w:bCs/>
                <w:kern w:val="0"/>
                <w:szCs w:val="20"/>
                <w:highlight w:val="none"/>
                <w:vertAlign w:val="subscript"/>
              </w:rPr>
              <w:t>10</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年均质量浓度</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37</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70</w:t>
            </w:r>
          </w:p>
        </w:tc>
        <w:tc>
          <w:tcPr>
            <w:tcW w:w="141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52.8</w:t>
            </w:r>
          </w:p>
        </w:tc>
        <w:tc>
          <w:tcPr>
            <w:tcW w:w="1224" w:type="dxa"/>
            <w:tcBorders>
              <w:top w:val="single" w:color="auto" w:sz="4"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PM</w:t>
            </w:r>
            <w:r>
              <w:rPr>
                <w:rFonts w:hint="default" w:ascii="Times New Roman" w:hAnsi="Times New Roman" w:cs="Times New Roman"/>
                <w:b w:val="0"/>
                <w:bCs/>
                <w:kern w:val="0"/>
                <w:szCs w:val="20"/>
                <w:highlight w:val="none"/>
                <w:vertAlign w:val="subscript"/>
              </w:rPr>
              <w:t>2.5</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年均质量浓度</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19</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35</w:t>
            </w:r>
          </w:p>
        </w:tc>
        <w:tc>
          <w:tcPr>
            <w:tcW w:w="141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54</w:t>
            </w:r>
          </w:p>
        </w:tc>
        <w:tc>
          <w:tcPr>
            <w:tcW w:w="1224" w:type="dxa"/>
            <w:tcBorders>
              <w:top w:val="single" w:color="auto" w:sz="4"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CO</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日均质量浓度</w:t>
            </w:r>
          </w:p>
        </w:tc>
        <w:tc>
          <w:tcPr>
            <w:tcW w:w="2025"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1400</w:t>
            </w:r>
          </w:p>
        </w:tc>
        <w:tc>
          <w:tcPr>
            <w:tcW w:w="168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4000</w:t>
            </w:r>
          </w:p>
        </w:tc>
        <w:tc>
          <w:tcPr>
            <w:tcW w:w="1410" w:type="dxa"/>
            <w:tcBorders>
              <w:top w:val="single" w:color="auto" w:sz="4" w:space="0"/>
              <w:left w:val="single" w:color="auto" w:sz="4" w:space="0"/>
              <w:bottom w:val="single" w:color="auto" w:sz="4"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35</w:t>
            </w:r>
          </w:p>
        </w:tc>
        <w:tc>
          <w:tcPr>
            <w:tcW w:w="1224" w:type="dxa"/>
            <w:tcBorders>
              <w:top w:val="single" w:color="auto" w:sz="4" w:space="0"/>
              <w:left w:val="single" w:color="auto" w:sz="4" w:space="0"/>
              <w:bottom w:val="single" w:color="auto" w:sz="4"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2" w:type="dxa"/>
            <w:tcBorders>
              <w:top w:val="single" w:color="auto" w:sz="4" w:space="0"/>
              <w:left w:val="nil"/>
              <w:bottom w:val="single" w:color="auto" w:sz="12"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O</w:t>
            </w:r>
            <w:r>
              <w:rPr>
                <w:rFonts w:hint="default" w:ascii="Times New Roman" w:hAnsi="Times New Roman" w:cs="Times New Roman"/>
                <w:b w:val="0"/>
                <w:bCs/>
                <w:kern w:val="0"/>
                <w:szCs w:val="20"/>
                <w:highlight w:val="none"/>
                <w:vertAlign w:val="subscript"/>
              </w:rPr>
              <w:t>3</w:t>
            </w:r>
          </w:p>
        </w:tc>
        <w:tc>
          <w:tcPr>
            <w:tcW w:w="1605" w:type="dxa"/>
            <w:tcBorders>
              <w:top w:val="single" w:color="auto" w:sz="4" w:space="0"/>
              <w:left w:val="single" w:color="auto" w:sz="4" w:space="0"/>
              <w:bottom w:val="single" w:color="auto" w:sz="12" w:space="0"/>
              <w:right w:val="single" w:color="auto" w:sz="4" w:space="0"/>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日最大8小时平均质量浓度</w:t>
            </w:r>
          </w:p>
        </w:tc>
        <w:tc>
          <w:tcPr>
            <w:tcW w:w="2025" w:type="dxa"/>
            <w:tcBorders>
              <w:top w:val="single" w:color="auto" w:sz="4" w:space="0"/>
              <w:left w:val="single" w:color="auto" w:sz="4" w:space="0"/>
              <w:bottom w:val="single" w:color="auto" w:sz="12"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104</w:t>
            </w:r>
          </w:p>
        </w:tc>
        <w:tc>
          <w:tcPr>
            <w:tcW w:w="1680" w:type="dxa"/>
            <w:tcBorders>
              <w:top w:val="single" w:color="auto" w:sz="4" w:space="0"/>
              <w:left w:val="single" w:color="auto" w:sz="4" w:space="0"/>
              <w:bottom w:val="single" w:color="auto" w:sz="12"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160</w:t>
            </w:r>
          </w:p>
        </w:tc>
        <w:tc>
          <w:tcPr>
            <w:tcW w:w="1410" w:type="dxa"/>
            <w:tcBorders>
              <w:top w:val="single" w:color="auto" w:sz="4" w:space="0"/>
              <w:left w:val="single" w:color="auto" w:sz="4" w:space="0"/>
              <w:bottom w:val="single" w:color="auto" w:sz="12" w:space="0"/>
              <w:right w:val="single" w:color="auto" w:sz="4" w:space="0"/>
            </w:tcBorders>
            <w:noWrap w:val="0"/>
            <w:vAlign w:val="center"/>
          </w:tcPr>
          <w:p>
            <w:pPr>
              <w:pStyle w:val="19"/>
              <w:tabs>
                <w:tab w:val="left" w:pos="648"/>
                <w:tab w:val="clear" w:pos="0"/>
              </w:tabs>
              <w:ind w:left="0" w:leftChars="0" w:firstLine="0" w:firstLineChars="0"/>
              <w:rPr>
                <w:rFonts w:hint="default" w:ascii="Times New Roman" w:hAnsi="Times New Roman" w:cs="Times New Roman"/>
                <w:b w:val="0"/>
                <w:bCs/>
                <w:kern w:val="0"/>
                <w:szCs w:val="20"/>
                <w:highlight w:val="none"/>
              </w:rPr>
            </w:pPr>
            <w:r>
              <w:rPr>
                <w:rFonts w:hint="default" w:ascii="Times New Roman" w:hAnsi="Times New Roman" w:cs="Times New Roman"/>
                <w:b w:val="0"/>
                <w:bCs/>
                <w:color w:val="auto"/>
                <w:kern w:val="0"/>
                <w:szCs w:val="21"/>
                <w:highlight w:val="none"/>
              </w:rPr>
              <w:t>65</w:t>
            </w:r>
          </w:p>
        </w:tc>
        <w:tc>
          <w:tcPr>
            <w:tcW w:w="1224" w:type="dxa"/>
            <w:tcBorders>
              <w:top w:val="single" w:color="auto" w:sz="4" w:space="0"/>
              <w:left w:val="single" w:color="auto" w:sz="4" w:space="0"/>
              <w:bottom w:val="single" w:color="auto" w:sz="12" w:space="0"/>
              <w:right w:val="nil"/>
            </w:tcBorders>
            <w:noWrap w:val="0"/>
            <w:vAlign w:val="center"/>
          </w:tcPr>
          <w:p>
            <w:pPr>
              <w:pStyle w:val="19"/>
              <w:bidi w:val="0"/>
              <w:rPr>
                <w:rFonts w:hint="default" w:ascii="Times New Roman" w:hAnsi="Times New Roman" w:cs="Times New Roman"/>
                <w:b w:val="0"/>
                <w:bCs/>
                <w:kern w:val="0"/>
                <w:szCs w:val="20"/>
                <w:highlight w:val="none"/>
              </w:rPr>
            </w:pPr>
            <w:r>
              <w:rPr>
                <w:rFonts w:hint="default" w:ascii="Times New Roman" w:hAnsi="Times New Roman" w:cs="Times New Roman"/>
                <w:b w:val="0"/>
                <w:bCs/>
                <w:kern w:val="0"/>
                <w:szCs w:val="20"/>
                <w:highlight w:val="none"/>
              </w:rPr>
              <w:t>达标</w:t>
            </w:r>
          </w:p>
        </w:tc>
      </w:tr>
    </w:tbl>
    <w:p>
      <w:pPr>
        <w:bidi w:val="0"/>
        <w:rPr>
          <w:rFonts w:hint="default" w:ascii="Times New Roman" w:hAnsi="Times New Roman" w:cs="Times New Roman"/>
          <w:highlight w:val="none"/>
        </w:rPr>
      </w:pPr>
      <w:r>
        <w:rPr>
          <w:rFonts w:hint="default" w:ascii="Times New Roman" w:hAnsi="Times New Roman" w:cs="Times New Roman"/>
          <w:highlight w:val="none"/>
        </w:rPr>
        <w:t>由上</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_Ref28609 \n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lang w:eastAsia="zh-CN"/>
        </w:rPr>
        <w:t>表3.4-1</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rPr>
        <w:t>福鼎市区域空气质量现状评价表的达标评价可知，SO</w:t>
      </w:r>
      <w:r>
        <w:rPr>
          <w:rFonts w:hint="default" w:ascii="Times New Roman" w:hAnsi="Times New Roman" w:cs="Times New Roman"/>
          <w:highlight w:val="none"/>
          <w:vertAlign w:val="subscript"/>
        </w:rPr>
        <w:t>2</w:t>
      </w:r>
      <w:r>
        <w:rPr>
          <w:rFonts w:hint="default" w:ascii="Times New Roman" w:hAnsi="Times New Roman" w:cs="Times New Roman"/>
          <w:highlight w:val="none"/>
        </w:rPr>
        <w:t>、NO</w:t>
      </w:r>
      <w:r>
        <w:rPr>
          <w:rFonts w:hint="default" w:ascii="Times New Roman" w:hAnsi="Times New Roman" w:cs="Times New Roman"/>
          <w:highlight w:val="none"/>
          <w:vertAlign w:val="subscript"/>
        </w:rPr>
        <w:t>2</w:t>
      </w:r>
      <w:r>
        <w:rPr>
          <w:rFonts w:hint="default" w:ascii="Times New Roman" w:hAnsi="Times New Roman" w:cs="Times New Roman"/>
          <w:highlight w:val="none"/>
        </w:rPr>
        <w:t>、PM</w:t>
      </w:r>
      <w:r>
        <w:rPr>
          <w:rFonts w:hint="default" w:ascii="Times New Roman" w:hAnsi="Times New Roman" w:cs="Times New Roman"/>
          <w:highlight w:val="none"/>
          <w:vertAlign w:val="subscript"/>
        </w:rPr>
        <w:t xml:space="preserve">10 </w:t>
      </w:r>
      <w:r>
        <w:rPr>
          <w:rFonts w:hint="default" w:ascii="Times New Roman" w:hAnsi="Times New Roman" w:cs="Times New Roman"/>
          <w:highlight w:val="none"/>
        </w:rPr>
        <w:t>、PM</w:t>
      </w:r>
      <w:r>
        <w:rPr>
          <w:rFonts w:hint="default" w:ascii="Times New Roman" w:hAnsi="Times New Roman" w:cs="Times New Roman"/>
          <w:highlight w:val="none"/>
          <w:vertAlign w:val="subscript"/>
        </w:rPr>
        <w:t>2.5</w:t>
      </w:r>
      <w:r>
        <w:rPr>
          <w:rFonts w:hint="default" w:ascii="Times New Roman" w:hAnsi="Times New Roman" w:cs="Times New Roman"/>
          <w:highlight w:val="none"/>
        </w:rPr>
        <w:t>、CO、O</w:t>
      </w:r>
      <w:r>
        <w:rPr>
          <w:rFonts w:hint="default" w:ascii="Times New Roman" w:hAnsi="Times New Roman" w:cs="Times New Roman"/>
          <w:highlight w:val="none"/>
          <w:vertAlign w:val="subscript"/>
        </w:rPr>
        <w:t>3</w:t>
      </w:r>
      <w:r>
        <w:rPr>
          <w:rFonts w:hint="default" w:ascii="Times New Roman" w:hAnsi="Times New Roman" w:cs="Times New Roman"/>
          <w:highlight w:val="none"/>
        </w:rPr>
        <w:t>六项污染物全部符合《环境空气质量标准》（GB3095-2012）中的二级标准要求，可以说明项目所在区域福鼎市环境空气质量是达标的。</w:t>
      </w:r>
      <w:bookmarkStart w:id="99" w:name="_Ref120077112"/>
    </w:p>
    <w:bookmarkEnd w:id="99"/>
    <w:p>
      <w:pPr>
        <w:pStyle w:val="4"/>
        <w:bidi w:val="0"/>
        <w:rPr>
          <w:rFonts w:hint="default" w:ascii="Times New Roman" w:hAnsi="Times New Roman" w:cs="Times New Roman"/>
          <w:highlight w:val="none"/>
        </w:rPr>
      </w:pPr>
      <w:r>
        <w:rPr>
          <w:rFonts w:hint="default" w:ascii="Times New Roman" w:hAnsi="Times New Roman" w:cs="Times New Roman"/>
          <w:highlight w:val="none"/>
        </w:rPr>
        <w:t>地表水环境质量现状</w:t>
      </w:r>
    </w:p>
    <w:p>
      <w:pPr>
        <w:pStyle w:val="5"/>
        <w:bidi w:val="0"/>
        <w:rPr>
          <w:rFonts w:hint="default" w:ascii="Times New Roman" w:hAnsi="Times New Roman" w:cs="Times New Roman"/>
          <w:highlight w:val="none"/>
        </w:rPr>
      </w:pPr>
      <w:r>
        <w:rPr>
          <w:rFonts w:hint="default" w:ascii="Times New Roman" w:hAnsi="Times New Roman" w:cs="Times New Roman"/>
          <w:highlight w:val="none"/>
          <w:lang w:eastAsia="zh-CN"/>
        </w:rPr>
        <w:t>监测方案</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根据福鼎市201</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年环境质量公报可知，201</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年福鼎市城市集中式饮用水源水质达标率为100%；城市</w:t>
      </w:r>
      <w:r>
        <w:rPr>
          <w:rFonts w:hint="default" w:ascii="Times New Roman" w:hAnsi="Times New Roman" w:cs="Times New Roman"/>
          <w:highlight w:val="none"/>
        </w:rPr>
        <w:t>地表水环境功能区达标率为100％，其中水北溪为100%，龙山溪为100%；入海河口黄花屿省控断面全年监测6次，水质类别均达到Ⅲ类，功能达标率为100％。</w:t>
      </w:r>
    </w:p>
    <w:p>
      <w:pPr>
        <w:tabs>
          <w:tab w:val="left" w:pos="0"/>
        </w:tabs>
        <w:bidi w:val="0"/>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pPr>
      <w:r>
        <w:rPr>
          <w:rFonts w:hint="default" w:ascii="Times New Roman" w:hAnsi="Times New Roman" w:cs="Times New Roman"/>
          <w:highlight w:val="none"/>
        </w:rPr>
        <w:t>本</w:t>
      </w:r>
      <w:r>
        <w:rPr>
          <w:rFonts w:hint="default" w:ascii="Times New Roman" w:hAnsi="Times New Roman" w:cs="Times New Roman"/>
          <w:highlight w:val="none"/>
          <w:lang w:val="en-US" w:eastAsia="zh-CN"/>
        </w:rPr>
        <w:t>次评价</w:t>
      </w:r>
      <w:r>
        <w:rPr>
          <w:rFonts w:hint="default" w:ascii="Times New Roman" w:hAnsi="Times New Roman" w:cs="Times New Roman"/>
          <w:highlight w:val="none"/>
        </w:rPr>
        <w:t>引用</w:t>
      </w:r>
      <w:r>
        <w:rPr>
          <w:rFonts w:hint="default" w:ascii="Times New Roman" w:hAnsi="Times New Roman" w:cs="Times New Roman"/>
          <w:color w:val="000000"/>
          <w:highlight w:val="none"/>
          <w:lang w:val="en-US" w:eastAsia="zh-CN"/>
        </w:rPr>
        <w:t>2019年9月29日国家城市供水水质监测网福州监测站</w:t>
      </w:r>
      <w:r>
        <w:rPr>
          <w:rFonts w:hint="default" w:ascii="Times New Roman" w:hAnsi="Times New Roman" w:cs="Times New Roman"/>
          <w:color w:val="000000" w:themeColor="text1"/>
          <w:szCs w:val="24"/>
          <w:highlight w:val="none"/>
          <w14:textFill>
            <w14:solidFill>
              <w14:schemeClr w14:val="tx1"/>
            </w14:solidFill>
          </w14:textFill>
        </w:rPr>
        <w:t>对</w:t>
      </w:r>
      <w:r>
        <w:rPr>
          <w:rFonts w:hint="default" w:ascii="Times New Roman" w:hAnsi="Times New Roman" w:cs="Times New Roman"/>
          <w:color w:val="000000" w:themeColor="text1"/>
          <w:szCs w:val="24"/>
          <w:highlight w:val="none"/>
          <w:lang w:eastAsia="zh-CN"/>
          <w14:textFill>
            <w14:solidFill>
              <w14:schemeClr w14:val="tx1"/>
            </w14:solidFill>
          </w14:textFill>
        </w:rPr>
        <w:t>管阳镇上安水库、天竹水库、龙井溪</w:t>
      </w:r>
      <w:r>
        <w:rPr>
          <w:rFonts w:hint="default" w:ascii="Times New Roman" w:hAnsi="Times New Roman" w:cs="Times New Roman"/>
          <w:bCs/>
          <w:color w:val="000000" w:themeColor="text1"/>
          <w:kern w:val="2"/>
          <w:szCs w:val="32"/>
          <w:highlight w:val="none"/>
          <w14:textFill>
            <w14:solidFill>
              <w14:schemeClr w14:val="tx1"/>
            </w14:solidFill>
          </w14:textFill>
        </w:rPr>
        <w:t>水质现状的</w:t>
      </w: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监测</w:t>
      </w:r>
      <w:r>
        <w:rPr>
          <w:rFonts w:hint="default" w:ascii="Times New Roman" w:hAnsi="Times New Roman" w:cs="Times New Roman"/>
          <w:bCs/>
          <w:color w:val="000000" w:themeColor="text1"/>
          <w:kern w:val="2"/>
          <w:szCs w:val="32"/>
          <w:highlight w:val="none"/>
          <w14:textFill>
            <w14:solidFill>
              <w14:schemeClr w14:val="tx1"/>
            </w14:solidFill>
          </w14:textFill>
        </w:rPr>
        <w:t>数据</w:t>
      </w:r>
      <w:r>
        <w:rPr>
          <w:rFonts w:hint="default" w:ascii="Times New Roman" w:hAnsi="Times New Roman" w:cs="Times New Roman"/>
          <w:bCs/>
          <w:color w:val="000000" w:themeColor="text1"/>
          <w:kern w:val="2"/>
          <w:szCs w:val="32"/>
          <w:highlight w:val="none"/>
          <w:lang w:eastAsia="zh-CN"/>
          <w14:textFill>
            <w14:solidFill>
              <w14:schemeClr w14:val="tx1"/>
            </w14:solidFill>
          </w14:textFill>
        </w:rPr>
        <w:t>，</w:t>
      </w: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并于2021年4月16日至4月18日委托福建中科环境检测技术有限公司对</w:t>
      </w:r>
      <w:r>
        <w:rPr>
          <w:rFonts w:hint="default" w:ascii="Times New Roman" w:hAnsi="Times New Roman" w:cs="Times New Roman"/>
          <w:color w:val="000000" w:themeColor="text1"/>
          <w:szCs w:val="24"/>
          <w:highlight w:val="none"/>
          <w:lang w:eastAsia="zh-CN"/>
          <w14:textFill>
            <w14:solidFill>
              <w14:schemeClr w14:val="tx1"/>
            </w14:solidFill>
          </w14:textFill>
        </w:rPr>
        <w:t>上安水库、天竹水库、龙井溪</w:t>
      </w: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叶绿素、透明度进行补充监测。为了了解取水断面下游水质现状情况，于2021年12月24日委托厦门科仪检测技术有限公司对上安水库、天竹水库、龙井溪拦河坝下游进行了水质监测。</w:t>
      </w:r>
    </w:p>
    <w:p>
      <w:pPr>
        <w:widowControl w:val="0"/>
        <w:adjustRightInd/>
        <w:snapToGrid/>
        <w:spacing w:before="0" w:beforeAutospacing="0" w:after="0" w:afterAutospacing="0" w:line="360" w:lineRule="auto"/>
        <w:ind w:firstLine="480" w:firstLineChars="200"/>
        <w:jc w:val="both"/>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eastAsia="zh-CN" w:bidi="ar"/>
          <w14:textFill>
            <w14:solidFill>
              <w14:schemeClr w14:val="tx1"/>
            </w14:solidFill>
          </w14:textFill>
        </w:rPr>
        <w:t>（</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1</w:t>
      </w:r>
      <w:r>
        <w:rPr>
          <w:rFonts w:hint="default" w:ascii="Times New Roman" w:hAnsi="Times New Roman" w:cs="Times New Roman"/>
          <w:color w:val="000000" w:themeColor="text1"/>
          <w:kern w:val="2"/>
          <w:szCs w:val="24"/>
          <w:highlight w:val="none"/>
          <w:lang w:eastAsia="zh-CN" w:bidi="ar"/>
          <w14:textFill>
            <w14:solidFill>
              <w14:schemeClr w14:val="tx1"/>
            </w14:solidFill>
          </w14:textFill>
        </w:rPr>
        <w:t>）</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监测断面设置</w:t>
      </w:r>
    </w:p>
    <w:p>
      <w:pPr>
        <w:widowControl w:val="0"/>
        <w:adjustRightInd/>
        <w:snapToGrid/>
        <w:spacing w:before="0" w:beforeAutospacing="0" w:after="0" w:afterAutospacing="0" w:line="360" w:lineRule="auto"/>
        <w:ind w:firstLine="480" w:firstLineChars="200"/>
        <w:jc w:val="both"/>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本次评价引用及委托的监测断面详见下</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_Ref15428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表3.4-2</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和第</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PAGEREF _Ref12594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82</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页</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_Ref12594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图3.4-1</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_Ref18625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图3.4-2</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w:t>
      </w:r>
    </w:p>
    <w:p>
      <w:pPr>
        <w:pStyle w:val="21"/>
        <w:bidi w:val="0"/>
        <w:rPr>
          <w:rFonts w:hint="default" w:ascii="Times New Roman" w:hAnsi="Times New Roman" w:cs="Times New Roman"/>
          <w:highlight w:val="none"/>
          <w:lang w:val="en-US" w:eastAsia="zh-CN"/>
        </w:rPr>
      </w:pPr>
      <w:bookmarkStart w:id="100" w:name="_Ref15428"/>
      <w:r>
        <w:rPr>
          <w:rFonts w:hint="default" w:ascii="Times New Roman" w:hAnsi="Times New Roman" w:cs="Times New Roman"/>
          <w:highlight w:val="none"/>
          <w:lang w:val="en-US" w:eastAsia="zh-CN"/>
        </w:rPr>
        <w:t>地表水环境监测布设情况</w:t>
      </w:r>
      <w:bookmarkEnd w:id="100"/>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067"/>
        <w:gridCol w:w="1377"/>
        <w:gridCol w:w="1225"/>
        <w:gridCol w:w="3294"/>
        <w:gridCol w:w="21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断面编号</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断面位置</w:t>
            </w:r>
          </w:p>
        </w:tc>
        <w:tc>
          <w:tcPr>
            <w:tcW w:w="675"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功能区划</w:t>
            </w:r>
          </w:p>
        </w:tc>
        <w:tc>
          <w:tcPr>
            <w:tcW w:w="1815" w:type="pc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数据来源</w:t>
            </w:r>
          </w:p>
        </w:tc>
        <w:tc>
          <w:tcPr>
            <w:tcW w:w="1159" w:type="pc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监测日期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restar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W1</w:t>
            </w:r>
          </w:p>
        </w:tc>
        <w:tc>
          <w:tcPr>
            <w:tcW w:w="759" w:type="pct"/>
            <w:vMerge w:val="restar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上安水库</w:t>
            </w:r>
          </w:p>
        </w:tc>
        <w:tc>
          <w:tcPr>
            <w:tcW w:w="675" w:type="pct"/>
            <w:vMerge w:val="restar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Ⅱ</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highlight w:val="none"/>
                <w:lang w:val="en-US" w:eastAsia="zh-CN"/>
              </w:rPr>
              <w:t>国家城市供水水质监测网福州监测站（引用）</w:t>
            </w:r>
          </w:p>
        </w:tc>
        <w:tc>
          <w:tcPr>
            <w:tcW w:w="1159" w:type="pc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2019.9.29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7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75" w:type="pct"/>
            <w:vMerge w:val="continue"/>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15"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c>
          <w:tcPr>
            <w:tcW w:w="1159" w:type="pct"/>
            <w:vAlign w:val="center"/>
          </w:tcPr>
          <w:p>
            <w:pPr>
              <w:pStyle w:val="19"/>
              <w:bidi w:val="0"/>
              <w:jc w:val="cente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2021.4.16~2021.4.17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restart"/>
            <w:vAlign w:val="center"/>
          </w:tcPr>
          <w:p>
            <w:pPr>
              <w:pStyle w:val="19"/>
              <w:bidi w:val="0"/>
              <w:jc w:val="center"/>
              <w:rPr>
                <w:rFonts w:hint="default" w:ascii="Times New Roman" w:hAnsi="Times New Roman" w:eastAsia="宋体" w:cs="Times New Roman"/>
                <w:b w:val="0"/>
                <w:bCs/>
                <w:highlight w:val="none"/>
                <w:lang w:val="en-US" w:eastAsia="zh-CN"/>
              </w:rPr>
            </w:pPr>
            <w:r>
              <w:rPr>
                <w:rFonts w:hint="default" w:ascii="Times New Roman" w:hAnsi="Times New Roman" w:cs="Times New Roman"/>
                <w:b w:val="0"/>
                <w:bCs/>
                <w:highlight w:val="none"/>
                <w:lang w:val="en-US" w:eastAsia="zh-CN"/>
              </w:rPr>
              <w:t>W2</w:t>
            </w:r>
          </w:p>
        </w:tc>
        <w:tc>
          <w:tcPr>
            <w:tcW w:w="759" w:type="pct"/>
            <w:vMerge w:val="restar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highlight w:val="none"/>
                <w:lang w:val="en-US" w:eastAsia="zh-CN"/>
              </w:rPr>
              <w:t>天竹水库</w:t>
            </w:r>
          </w:p>
        </w:tc>
        <w:tc>
          <w:tcPr>
            <w:tcW w:w="675" w:type="pct"/>
            <w:vMerge w:val="restar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color w:val="000000"/>
                <w:highlight w:val="none"/>
                <w:lang w:val="en-US" w:eastAsia="zh-CN"/>
              </w:rPr>
              <w:t>国家城市供水水质监测网福州监测站（引用）</w:t>
            </w:r>
          </w:p>
        </w:tc>
        <w:tc>
          <w:tcPr>
            <w:tcW w:w="1159"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2019.9.29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continue"/>
            <w:vAlign w:val="center"/>
          </w:tcPr>
          <w:p>
            <w:pPr>
              <w:pStyle w:val="19"/>
              <w:bidi w:val="0"/>
              <w:jc w:val="center"/>
              <w:rPr>
                <w:rFonts w:hint="default" w:ascii="Times New Roman" w:hAnsi="Times New Roman" w:cs="Times New Roman"/>
                <w:b w:val="0"/>
                <w:bCs/>
                <w:highlight w:val="none"/>
                <w:lang w:val="en-US" w:eastAsia="zh-CN"/>
              </w:rPr>
            </w:pPr>
          </w:p>
        </w:tc>
        <w:tc>
          <w:tcPr>
            <w:tcW w:w="759" w:type="pct"/>
            <w:vMerge w:val="continue"/>
            <w:vAlign w:val="center"/>
          </w:tcPr>
          <w:p>
            <w:pPr>
              <w:pStyle w:val="19"/>
              <w:bidi w:val="0"/>
              <w:jc w:val="center"/>
              <w:rPr>
                <w:rFonts w:hint="default" w:ascii="Times New Roman" w:hAnsi="Times New Roman" w:cs="Times New Roman"/>
                <w:b w:val="0"/>
                <w:bCs/>
                <w:highlight w:val="none"/>
                <w:lang w:val="en-US" w:eastAsia="zh-CN"/>
              </w:rPr>
            </w:pPr>
          </w:p>
        </w:tc>
        <w:tc>
          <w:tcPr>
            <w:tcW w:w="675" w:type="pct"/>
            <w:vMerge w:val="continue"/>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15"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c>
          <w:tcPr>
            <w:tcW w:w="1159"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2021.4.16~2021.4.17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restart"/>
            <w:vAlign w:val="center"/>
          </w:tcPr>
          <w:p>
            <w:pPr>
              <w:pStyle w:val="19"/>
              <w:bidi w:val="0"/>
              <w:jc w:val="center"/>
              <w:rPr>
                <w:rFonts w:hint="default" w:ascii="Times New Roman" w:hAnsi="Times New Roman" w:eastAsia="宋体" w:cs="Times New Roman"/>
                <w:b w:val="0"/>
                <w:bCs/>
                <w:highlight w:val="none"/>
                <w:lang w:val="en-US" w:eastAsia="zh-CN"/>
              </w:rPr>
            </w:pPr>
            <w:r>
              <w:rPr>
                <w:rFonts w:hint="default" w:ascii="Times New Roman" w:hAnsi="Times New Roman" w:cs="Times New Roman"/>
                <w:b w:val="0"/>
                <w:bCs/>
                <w:highlight w:val="none"/>
                <w:lang w:val="en-US" w:eastAsia="zh-CN"/>
              </w:rPr>
              <w:t>W3</w:t>
            </w:r>
          </w:p>
        </w:tc>
        <w:tc>
          <w:tcPr>
            <w:tcW w:w="759" w:type="pct"/>
            <w:vMerge w:val="restar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highlight w:val="none"/>
                <w:lang w:eastAsia="zh-CN"/>
              </w:rPr>
              <w:t>龙井溪拦水坝</w:t>
            </w:r>
            <w:r>
              <w:rPr>
                <w:rFonts w:hint="default" w:ascii="Times New Roman" w:hAnsi="Times New Roman" w:cs="Times New Roman"/>
                <w:b w:val="0"/>
                <w:bCs/>
                <w:highlight w:val="none"/>
                <w:lang w:val="en-US" w:eastAsia="zh-CN"/>
              </w:rPr>
              <w:t>内</w:t>
            </w:r>
          </w:p>
        </w:tc>
        <w:tc>
          <w:tcPr>
            <w:tcW w:w="675" w:type="pct"/>
            <w:vMerge w:val="restar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color w:val="000000"/>
                <w:highlight w:val="none"/>
                <w:lang w:val="en-US" w:eastAsia="zh-CN"/>
              </w:rPr>
              <w:t>国家城市供水水质监测网福州监测站（引用）</w:t>
            </w:r>
          </w:p>
        </w:tc>
        <w:tc>
          <w:tcPr>
            <w:tcW w:w="1159"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2019.9.29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Merge w:val="continue"/>
            <w:vAlign w:val="center"/>
          </w:tcPr>
          <w:p>
            <w:pPr>
              <w:pStyle w:val="19"/>
              <w:bidi w:val="0"/>
              <w:jc w:val="center"/>
              <w:rPr>
                <w:rFonts w:hint="default" w:ascii="Times New Roman" w:hAnsi="Times New Roman" w:cs="Times New Roman"/>
                <w:b w:val="0"/>
                <w:bCs/>
                <w:highlight w:val="none"/>
                <w:lang w:val="en-US" w:eastAsia="zh-CN"/>
              </w:rPr>
            </w:pPr>
          </w:p>
        </w:tc>
        <w:tc>
          <w:tcPr>
            <w:tcW w:w="7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75" w:type="pct"/>
            <w:vMerge w:val="continue"/>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15"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c>
          <w:tcPr>
            <w:tcW w:w="1159" w:type="pct"/>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sz w:val="2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2021.4.16~2021.4.17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W4</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上安水库下游池后处</w:t>
            </w:r>
          </w:p>
        </w:tc>
        <w:tc>
          <w:tcPr>
            <w:tcW w:w="675" w:type="pct"/>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Merge w:val="restar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厦门科仪检测技术有限公司（补充监测）</w:t>
            </w:r>
          </w:p>
        </w:tc>
        <w:tc>
          <w:tcPr>
            <w:tcW w:w="1159" w:type="pct"/>
            <w:vMerge w:val="restar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2021.12.24~2021.12.26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W5</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上安水库下游与管溪交汇处</w:t>
            </w:r>
          </w:p>
        </w:tc>
        <w:tc>
          <w:tcPr>
            <w:tcW w:w="675" w:type="pct"/>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1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W6</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天竹水库下游厚峰桥处</w:t>
            </w:r>
          </w:p>
        </w:tc>
        <w:tc>
          <w:tcPr>
            <w:tcW w:w="675" w:type="pct"/>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1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W7</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龙井溪下游莲花宫处</w:t>
            </w:r>
          </w:p>
        </w:tc>
        <w:tc>
          <w:tcPr>
            <w:tcW w:w="675" w:type="pct"/>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1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88" w:type="pct"/>
            <w:vAlign w:val="center"/>
          </w:tcPr>
          <w:p>
            <w:pPr>
              <w:pStyle w:val="19"/>
              <w:bidi w:val="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W8</w:t>
            </w:r>
          </w:p>
        </w:tc>
        <w:tc>
          <w:tcPr>
            <w:tcW w:w="759" w:type="pct"/>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龙井溪下游与管溪交汇处</w:t>
            </w:r>
          </w:p>
        </w:tc>
        <w:tc>
          <w:tcPr>
            <w:tcW w:w="675" w:type="pct"/>
            <w:vAlign w:val="center"/>
          </w:tcPr>
          <w:p>
            <w:pPr>
              <w:pStyle w:val="19"/>
              <w:bidi w:val="0"/>
              <w:ind w:left="0" w:leftChars="0" w:firstLine="0" w:firstLineChars="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Ⅲ</w:t>
            </w:r>
            <w:r>
              <w:rPr>
                <w:rFonts w:hint="default" w:ascii="Times New Roman" w:hAnsi="Times New Roman" w:cs="Times New Roman"/>
                <w:b w:val="0"/>
                <w:bCs/>
                <w:color w:val="000000" w:themeColor="text1"/>
                <w:highlight w:val="none"/>
                <w14:textFill>
                  <w14:solidFill>
                    <w14:schemeClr w14:val="tx1"/>
                  </w14:solidFill>
                </w14:textFill>
              </w:rPr>
              <w:t>类</w:t>
            </w:r>
          </w:p>
        </w:tc>
        <w:tc>
          <w:tcPr>
            <w:tcW w:w="1815"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159" w:type="pct"/>
            <w:vMerge w:val="continue"/>
            <w:vAlign w:val="center"/>
          </w:tcPr>
          <w:p>
            <w:pPr>
              <w:pStyle w:val="19"/>
              <w:bidi w:val="0"/>
              <w:jc w:val="center"/>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r>
    </w:tbl>
    <w:p>
      <w:pPr>
        <w:widowControl w:val="0"/>
        <w:adjustRightInd/>
        <w:snapToGrid/>
        <w:spacing w:before="0" w:beforeAutospacing="0" w:after="0" w:afterAutospacing="0" w:line="360" w:lineRule="auto"/>
        <w:ind w:firstLine="480" w:firstLineChars="200"/>
        <w:jc w:val="both"/>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（2）监测因子及监测频次</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本评价地表水环境质量现状的监测因子及频次见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_Ref27312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表3.4-3</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tabs>
          <w:tab w:val="left" w:pos="0"/>
        </w:tabs>
        <w:bidi w:val="0"/>
        <w:rPr>
          <w:rFonts w:hint="default" w:ascii="Times New Roman" w:hAnsi="Times New Roman" w:cs="Times New Roman"/>
          <w:highlight w:val="none"/>
          <w:lang w:val="en-US" w:eastAsia="zh-CN"/>
        </w:rPr>
      </w:pPr>
    </w:p>
    <w:p>
      <w:pPr>
        <w:tabs>
          <w:tab w:val="left" w:pos="0"/>
        </w:tabs>
        <w:bidi w:val="0"/>
        <w:rPr>
          <w:rFonts w:hint="default" w:ascii="Times New Roman" w:hAnsi="Times New Roman" w:cs="Times New Roman"/>
          <w:highlight w:val="none"/>
          <w:lang w:val="en-US" w:eastAsia="zh-CN"/>
        </w:rPr>
      </w:pPr>
    </w:p>
    <w:p>
      <w:pPr>
        <w:pStyle w:val="21"/>
        <w:bidi w:val="0"/>
        <w:rPr>
          <w:rFonts w:hint="default" w:ascii="Times New Roman" w:hAnsi="Times New Roman" w:cs="Times New Roman"/>
          <w:highlight w:val="none"/>
          <w:lang w:val="en-US" w:eastAsia="zh-CN"/>
        </w:rPr>
      </w:pPr>
      <w:bookmarkStart w:id="101" w:name="_Ref27312"/>
      <w:r>
        <w:rPr>
          <w:rFonts w:hint="default" w:ascii="Times New Roman" w:hAnsi="Times New Roman" w:cs="Times New Roman"/>
          <w:highlight w:val="none"/>
          <w:lang w:val="en-US" w:eastAsia="zh-CN"/>
        </w:rPr>
        <w:t>地表水环境质量现状监测因子及频次</w:t>
      </w:r>
      <w:bookmarkEnd w:id="101"/>
    </w:p>
    <w:tbl>
      <w:tblPr>
        <w:tblStyle w:val="17"/>
        <w:tblW w:w="92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4484"/>
        <w:gridCol w:w="1230"/>
        <w:gridCol w:w="24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5"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断面编号</w:t>
            </w: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监测因子</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监测频次</w:t>
            </w:r>
          </w:p>
        </w:tc>
        <w:tc>
          <w:tcPr>
            <w:tcW w:w="2479"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restart"/>
            <w:tcBorders>
              <w:tl2br w:val="nil"/>
              <w:tr2bl w:val="nil"/>
            </w:tcBorders>
            <w:vAlign w:val="center"/>
          </w:tcPr>
          <w:p>
            <w:pPr>
              <w:pStyle w:val="19"/>
              <w:bidi w:val="0"/>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W1</w:t>
            </w:r>
          </w:p>
        </w:tc>
        <w:tc>
          <w:tcPr>
            <w:tcW w:w="4484" w:type="dxa"/>
            <w:tcBorders>
              <w:tl2br w:val="nil"/>
              <w:tr2bl w:val="nil"/>
            </w:tcBorders>
            <w:vAlign w:val="center"/>
          </w:tcPr>
          <w:p>
            <w:pPr>
              <w:pStyle w:val="19"/>
              <w:bidi w:val="0"/>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rPr>
              <w:t>pH、溶解氧、高锰酸盐指数、化学需氧量、五日生化需氧量、氨氮、总磷、总氮、铜、锌、氟化物、镉、硒、砷、汞、铬、铅、氰化物、挥发酚、石油类、阴离子表面活性剂、硫化物、粪大肠菌群、硫酸盐、氯化物、硝酸盐、铁、锰共计29项</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1次/天，共1天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000000"/>
                <w:kern w:val="0"/>
                <w:szCs w:val="20"/>
                <w:highlight w:val="none"/>
                <w:lang w:val="en-US" w:eastAsia="zh-CN"/>
              </w:rPr>
              <w:t>国家城市供水水质监测网福州监测站（引用）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continue"/>
            <w:tcBorders>
              <w:tl2br w:val="nil"/>
              <w:tr2bl w:val="nil"/>
            </w:tcBorders>
            <w:vAlign w:val="center"/>
          </w:tcPr>
          <w:p>
            <w:pPr>
              <w:pStyle w:val="19"/>
              <w:bidi w:val="0"/>
              <w:ind w:left="0" w:leftChars="0" w:firstLine="0" w:firstLineChars="0"/>
              <w:jc w:val="center"/>
              <w:rPr>
                <w:rFonts w:hint="default" w:ascii="Times New Roman" w:hAnsi="Times New Roman" w:cs="Times New Roman"/>
                <w:b w:val="0"/>
                <w:bCs/>
                <w:color w:val="000000" w:themeColor="text1"/>
                <w:kern w:val="0"/>
                <w:szCs w:val="20"/>
                <w:highlight w:val="none"/>
                <w:lang w:val="en-US" w:eastAsia="zh-CN"/>
                <w14:textFill>
                  <w14:solidFill>
                    <w14:schemeClr w14:val="tx1"/>
                  </w14:solidFill>
                </w14:textFill>
              </w:rPr>
            </w:pP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叶绿素、透明度</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1次/天，共3天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restart"/>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W2</w:t>
            </w: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kern w:val="0"/>
                <w:szCs w:val="20"/>
                <w:highlight w:val="none"/>
              </w:rPr>
              <w:t>pH、溶解氧、高锰酸盐指数、化学需氧量、五日生化需氧量、氨氮、总磷、总氮、铜、锌、氟化物、镉、硒、砷、汞、铬、铅、氰化物、挥发酚、石油类、阴离子表面活性剂、硫化物、粪大肠菌群、硫酸盐、氯化物、硝酸盐、铁、锰共计29项</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1次/天，共1天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kern w:val="0"/>
                <w:sz w:val="21"/>
                <w:szCs w:val="20"/>
                <w:highlight w:val="none"/>
                <w:lang w:val="en-US" w:eastAsia="zh-CN"/>
                <w14:textFill>
                  <w14:solidFill>
                    <w14:schemeClr w14:val="tx1"/>
                  </w14:solidFill>
                </w14:textFill>
              </w:rPr>
            </w:pPr>
            <w:r>
              <w:rPr>
                <w:rFonts w:hint="default" w:ascii="Times New Roman" w:hAnsi="Times New Roman" w:cs="Times New Roman"/>
                <w:color w:val="000000"/>
                <w:kern w:val="0"/>
                <w:szCs w:val="20"/>
                <w:highlight w:val="none"/>
                <w:lang w:val="en-US" w:eastAsia="zh-CN"/>
              </w:rPr>
              <w:t>国家城市供水水质监测网福州监测站（引用）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continue"/>
            <w:tcBorders>
              <w:tl2br w:val="nil"/>
              <w:tr2bl w:val="nil"/>
            </w:tcBorders>
            <w:vAlign w:val="center"/>
          </w:tcPr>
          <w:p>
            <w:pPr>
              <w:pStyle w:val="19"/>
              <w:bidi w:val="0"/>
              <w:ind w:left="0" w:leftChars="0" w:firstLine="0" w:firstLineChars="0"/>
              <w:jc w:val="center"/>
              <w:rPr>
                <w:rFonts w:hint="default" w:ascii="Times New Roman" w:hAnsi="Times New Roman" w:cs="Times New Roman"/>
                <w:b w:val="0"/>
                <w:bCs/>
                <w:kern w:val="0"/>
                <w:szCs w:val="20"/>
                <w:highlight w:val="none"/>
                <w:lang w:val="en-US" w:eastAsia="zh-CN"/>
              </w:rPr>
            </w:pP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叶绿素、透明度</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1次/天，共3天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kern w:val="0"/>
                <w:sz w:val="21"/>
                <w:szCs w:val="20"/>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restart"/>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W3</w:t>
            </w: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kern w:val="0"/>
                <w:szCs w:val="20"/>
                <w:highlight w:val="none"/>
              </w:rPr>
              <w:t>pH、溶解氧、高锰酸盐指数、化学需氧量、五日生化需氧量、氨氮、总磷、总氮、铜、锌、氟化物、镉、硒、砷、汞、铬、铅、氰化物、挥发酚、石油类、阴离子表面活性剂、硫化物、粪大肠菌群、硫酸盐、氯化物、硝酸盐、铁、锰共计29项</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1次/天，共1天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kern w:val="0"/>
                <w:sz w:val="21"/>
                <w:szCs w:val="20"/>
                <w:highlight w:val="none"/>
                <w:lang w:val="en-US" w:eastAsia="zh-CN"/>
                <w14:textFill>
                  <w14:solidFill>
                    <w14:schemeClr w14:val="tx1"/>
                  </w14:solidFill>
                </w14:textFill>
              </w:rPr>
            </w:pPr>
            <w:r>
              <w:rPr>
                <w:rFonts w:hint="default" w:ascii="Times New Roman" w:hAnsi="Times New Roman" w:cs="Times New Roman"/>
                <w:color w:val="000000"/>
                <w:kern w:val="0"/>
                <w:szCs w:val="20"/>
                <w:highlight w:val="none"/>
                <w:lang w:val="en-US" w:eastAsia="zh-CN"/>
              </w:rPr>
              <w:t>国家城市供水水质监测网福州监测站（引用）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vMerge w:val="continue"/>
            <w:tcBorders>
              <w:tl2br w:val="nil"/>
              <w:tr2bl w:val="nil"/>
            </w:tcBorders>
            <w:vAlign w:val="center"/>
          </w:tcPr>
          <w:p>
            <w:pPr>
              <w:pStyle w:val="19"/>
              <w:bidi w:val="0"/>
              <w:ind w:left="0" w:leftChars="0" w:firstLine="0" w:firstLineChars="0"/>
              <w:jc w:val="center"/>
              <w:rPr>
                <w:rFonts w:hint="default" w:ascii="Times New Roman" w:hAnsi="Times New Roman" w:cs="Times New Roman"/>
                <w:b w:val="0"/>
                <w:bCs/>
                <w:kern w:val="0"/>
                <w:szCs w:val="20"/>
                <w:highlight w:val="none"/>
                <w:lang w:val="en-US" w:eastAsia="zh-CN"/>
              </w:rPr>
            </w:pPr>
          </w:p>
        </w:tc>
        <w:tc>
          <w:tcPr>
            <w:tcW w:w="4484"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叶绿素、透明度</w:t>
            </w:r>
          </w:p>
        </w:tc>
        <w:tc>
          <w:tcPr>
            <w:tcW w:w="1230" w:type="dxa"/>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1次/天，共3天</w:t>
            </w:r>
          </w:p>
        </w:tc>
        <w:tc>
          <w:tcPr>
            <w:tcW w:w="2479"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color w:val="000000" w:themeColor="text1"/>
                <w:kern w:val="0"/>
                <w:sz w:val="21"/>
                <w:szCs w:val="20"/>
                <w:highlight w:val="none"/>
                <w:lang w:val="en-US" w:eastAsia="zh-CN"/>
                <w14:textFill>
                  <w14:solidFill>
                    <w14:schemeClr w14:val="tx1"/>
                  </w14:solidFill>
                </w14:textFill>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福建中科环境检测技术有限公司（补充监测）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W4</w:t>
            </w:r>
          </w:p>
        </w:tc>
        <w:tc>
          <w:tcPr>
            <w:tcW w:w="4484" w:type="dxa"/>
            <w:vMerge w:val="restart"/>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 w:val="21"/>
                <w:szCs w:val="21"/>
                <w:highlight w:val="none"/>
                <w:lang w:val="en-US" w:eastAsia="zh-CN"/>
              </w:rPr>
              <w:t>水温、pH、COD、BOD</w:t>
            </w:r>
            <w:r>
              <w:rPr>
                <w:rFonts w:hint="default" w:ascii="Times New Roman" w:hAnsi="Times New Roman" w:cs="Times New Roman"/>
                <w:color w:val="auto"/>
                <w:kern w:val="0"/>
                <w:sz w:val="21"/>
                <w:szCs w:val="21"/>
                <w:highlight w:val="none"/>
                <w:vertAlign w:val="subscript"/>
                <w:lang w:val="en-US" w:eastAsia="zh-CN"/>
              </w:rPr>
              <w:t>5</w:t>
            </w:r>
            <w:r>
              <w:rPr>
                <w:rFonts w:hint="default" w:ascii="Times New Roman" w:hAnsi="Times New Roman" w:cs="Times New Roman"/>
                <w:color w:val="auto"/>
                <w:kern w:val="0"/>
                <w:sz w:val="21"/>
                <w:szCs w:val="21"/>
                <w:highlight w:val="none"/>
                <w:vertAlign w:val="baseline"/>
                <w:lang w:val="en-US" w:eastAsia="zh-CN"/>
              </w:rPr>
              <w:t>、氨氮、SS、TP</w:t>
            </w:r>
          </w:p>
        </w:tc>
        <w:tc>
          <w:tcPr>
            <w:tcW w:w="1230" w:type="dxa"/>
            <w:vMerge w:val="restart"/>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color w:val="auto"/>
                <w:kern w:val="0"/>
                <w:szCs w:val="20"/>
                <w:highlight w:val="none"/>
                <w:lang w:val="en-US" w:eastAsia="zh-CN"/>
              </w:rPr>
              <w:t>1次/天，共3天</w:t>
            </w:r>
          </w:p>
        </w:tc>
        <w:tc>
          <w:tcPr>
            <w:tcW w:w="2479" w:type="dxa"/>
            <w:vMerge w:val="restart"/>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厦门科仪检测技术有限公司（补充监测）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W5</w:t>
            </w:r>
          </w:p>
        </w:tc>
        <w:tc>
          <w:tcPr>
            <w:tcW w:w="4484"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1230"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2479"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W6</w:t>
            </w:r>
          </w:p>
        </w:tc>
        <w:tc>
          <w:tcPr>
            <w:tcW w:w="4484"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1230"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2479"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W7</w:t>
            </w:r>
          </w:p>
        </w:tc>
        <w:tc>
          <w:tcPr>
            <w:tcW w:w="4484"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1230"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2479"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dxa"/>
            <w:tcBorders>
              <w:tl2br w:val="nil"/>
              <w:tr2bl w:val="nil"/>
            </w:tcBorders>
            <w:vAlign w:val="center"/>
          </w:tcPr>
          <w:p>
            <w:pPr>
              <w:pStyle w:val="19"/>
              <w:bidi w:val="0"/>
              <w:ind w:left="0" w:leftChars="0" w:firstLine="0" w:firstLineChars="0"/>
              <w:jc w:val="center"/>
              <w:rPr>
                <w:rFonts w:hint="default" w:ascii="Times New Roman" w:hAnsi="Times New Roman" w:eastAsia="宋体" w:cs="Times New Roman"/>
                <w:b w:val="0"/>
                <w:bCs/>
                <w:kern w:val="0"/>
                <w:sz w:val="21"/>
                <w:szCs w:val="20"/>
                <w:highlight w:val="none"/>
                <w:lang w:val="en-US" w:eastAsia="zh-CN"/>
              </w:rPr>
            </w:pPr>
            <w:r>
              <w:rPr>
                <w:rFonts w:hint="default" w:ascii="Times New Roman" w:hAnsi="Times New Roman" w:cs="Times New Roman"/>
                <w:b w:val="0"/>
                <w:bCs/>
                <w:kern w:val="0"/>
                <w:szCs w:val="20"/>
                <w:highlight w:val="none"/>
                <w:lang w:val="en-US" w:eastAsia="zh-CN"/>
              </w:rPr>
              <w:t>W8</w:t>
            </w:r>
          </w:p>
        </w:tc>
        <w:tc>
          <w:tcPr>
            <w:tcW w:w="4484"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1230"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c>
          <w:tcPr>
            <w:tcW w:w="2479" w:type="dxa"/>
            <w:vMerge w:val="continue"/>
            <w:tcBorders>
              <w:tl2br w:val="nil"/>
              <w:tr2bl w:val="nil"/>
            </w:tcBorders>
            <w:vAlign w:val="center"/>
          </w:tcPr>
          <w:p>
            <w:pPr>
              <w:pStyle w:val="19"/>
              <w:bidi w:val="0"/>
              <w:jc w:val="center"/>
              <w:rPr>
                <w:rFonts w:hint="default" w:ascii="Times New Roman" w:hAnsi="Times New Roman" w:cs="Times New Roman"/>
                <w:color w:val="auto"/>
                <w:kern w:val="0"/>
                <w:szCs w:val="20"/>
                <w:highlight w:val="none"/>
                <w:lang w:val="en-US" w:eastAsia="zh-CN"/>
              </w:rPr>
            </w:pPr>
          </w:p>
        </w:tc>
      </w:tr>
    </w:tbl>
    <w:p>
      <w:pPr>
        <w:bidi w:val="0"/>
        <w:rPr>
          <w:rFonts w:hint="default" w:ascii="Times New Roman" w:hAnsi="Times New Roman" w:cs="Times New Roman"/>
          <w:highlight w:val="none"/>
          <w:lang w:val="en-US" w:eastAsia="zh-CN"/>
        </w:rPr>
      </w:pP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（3）分析方法：按国家标准规定的方法，详见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_Ref2724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表3.4-4</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pStyle w:val="21"/>
        <w:bidi w:val="0"/>
        <w:rPr>
          <w:rFonts w:hint="default" w:ascii="Times New Roman" w:hAnsi="Times New Roman" w:cs="Times New Roman"/>
          <w:highlight w:val="none"/>
          <w:lang w:val="en-US" w:eastAsia="zh-CN"/>
        </w:rPr>
      </w:pPr>
      <w:bookmarkStart w:id="102" w:name="_Ref2724"/>
      <w:r>
        <w:rPr>
          <w:rFonts w:hint="default" w:ascii="Times New Roman" w:hAnsi="Times New Roman" w:cs="Times New Roman"/>
          <w:highlight w:val="none"/>
          <w:lang w:val="en-US" w:eastAsia="zh-CN"/>
        </w:rPr>
        <w:t>地表水水质监测方法</w:t>
      </w:r>
      <w:bookmarkEnd w:id="102"/>
    </w:p>
    <w:tbl>
      <w:tblPr>
        <w:tblStyle w:val="1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94"/>
        <w:gridCol w:w="2761"/>
        <w:gridCol w:w="486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blHeader/>
          <w:jc w:val="center"/>
        </w:trPr>
        <w:tc>
          <w:tcPr>
            <w:tcW w:w="773" w:type="pct"/>
            <w:tcBorders>
              <w:top w:val="single" w:color="000000" w:sz="12"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序号</w:t>
            </w:r>
          </w:p>
        </w:tc>
        <w:tc>
          <w:tcPr>
            <w:tcW w:w="1531" w:type="pct"/>
            <w:tcBorders>
              <w:top w:val="single" w:color="000000" w:sz="12"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项目</w:t>
            </w:r>
          </w:p>
        </w:tc>
        <w:tc>
          <w:tcPr>
            <w:tcW w:w="2695" w:type="pct"/>
            <w:tcBorders>
              <w:top w:val="single" w:color="000000" w:sz="12"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检测依据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水温</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GBT13195-1991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pH值</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GB/T5750.4-2006中的5.1；5.2；GB6920-86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3</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溶解氧</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GB/T7489-1987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4</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高锰酸盐指数</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GB/T5750.7-2006中的1.1；GB11892-1989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5</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化学需氧量</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HJ828-2017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6</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五日生化需氧量</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GB/T5750.7-2006中的2.1；HJ505-2009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7</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氨氮</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GB/T5750.5-2006中的9.1；9.3；</w:t>
            </w:r>
          </w:p>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HJ536-2009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8</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总磷</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GB/T11893-1989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9</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总氮</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HJ636-2012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10</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铜</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11</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锌</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12</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氟化物</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GB/T5750.5-2006中的3.2；HJ/T84-2001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13</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镉</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14</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硒</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GB/T5750.6-2006中的7.1；HJ694-2014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15</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砷</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GB/T5750.6-2006中的6.1；HJ694-2014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16</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汞</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GB/T5750.6-2006中的8.1；HJ694-2014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17</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铬</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GB/T5750.6-2006中的10.1；GB7467-87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18</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铅</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GB/T5750.6-2006中的11.6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19</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氰化物</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GB/T5750.5-2006中的4.2；</w:t>
            </w:r>
          </w:p>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HJ484-2009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20</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挥发酚</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GB/T5750.4-2006中的9.14；HJ503-2009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21</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石油类</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HJ637-2012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22</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阴离子表面活性剂</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GB/T5750.4-2006中的10.1；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23</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硫化物</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GB/T5750.5-2006中的6.1；GB/T16489-1996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24</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粪大肠菌群</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HJ/T347-2007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25</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硫酸盐</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GB/T5750.5-2006中的1.2；</w:t>
            </w:r>
          </w:p>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HJ/T84-2001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26</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氯化物</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GB/T5750.5-2006中的2.2；</w:t>
            </w:r>
          </w:p>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HJ/T84-2001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27</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硝酸盐</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GB/T5750.5-2006中的5.3；</w:t>
            </w:r>
          </w:p>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HJ/T84-2001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28</w:t>
            </w:r>
          </w:p>
        </w:tc>
        <w:tc>
          <w:tcPr>
            <w:tcW w:w="1531" w:type="pct"/>
            <w:tcBorders>
              <w:top w:val="single" w:color="000000" w:sz="4" w:space="0"/>
              <w:left w:val="single" w:color="000000" w:sz="4" w:space="0"/>
              <w:bottom w:val="single" w:color="000000" w:sz="4"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铁</w:t>
            </w:r>
          </w:p>
        </w:tc>
        <w:tc>
          <w:tcPr>
            <w:tcW w:w="2695" w:type="pct"/>
            <w:tcBorders>
              <w:top w:val="single" w:color="000000" w:sz="4" w:space="0"/>
              <w:left w:val="single" w:color="000000" w:sz="4" w:space="0"/>
              <w:bottom w:val="single" w:color="000000" w:sz="4"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3" w:type="pct"/>
            <w:tcBorders>
              <w:top w:val="single" w:color="000000" w:sz="4" w:space="0"/>
              <w:left w:val="nil"/>
              <w:bottom w:val="single" w:color="000000" w:sz="12"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29</w:t>
            </w:r>
          </w:p>
        </w:tc>
        <w:tc>
          <w:tcPr>
            <w:tcW w:w="1531" w:type="pct"/>
            <w:tcBorders>
              <w:top w:val="single" w:color="000000" w:sz="4" w:space="0"/>
              <w:left w:val="single" w:color="000000" w:sz="4" w:space="0"/>
              <w:bottom w:val="single" w:color="000000" w:sz="12" w:space="0"/>
              <w:right w:val="single" w:color="000000" w:sz="4" w:space="0"/>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锰</w:t>
            </w:r>
          </w:p>
        </w:tc>
        <w:tc>
          <w:tcPr>
            <w:tcW w:w="2695" w:type="pct"/>
            <w:tcBorders>
              <w:top w:val="single" w:color="000000" w:sz="4" w:space="0"/>
              <w:left w:val="single" w:color="000000" w:sz="4" w:space="0"/>
              <w:bottom w:val="single" w:color="000000" w:sz="12" w:space="0"/>
              <w:right w:val="nil"/>
            </w:tcBorders>
            <w:noWrap w:val="0"/>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GB/T5750.6-2006中的3.5</w:t>
            </w:r>
          </w:p>
        </w:tc>
      </w:tr>
    </w:tbl>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水质监测</w:t>
      </w:r>
    </w:p>
    <w:p>
      <w:pPr>
        <w:numPr>
          <w:ilvl w:val="0"/>
          <w:numId w:val="3"/>
        </w:numPr>
        <w:tabs>
          <w:tab w:val="left" w:pos="0"/>
        </w:tabs>
        <w:bidi w:val="0"/>
        <w:ind w:left="0" w:leftChars="0"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执行标准和评价方法</w:t>
      </w:r>
    </w:p>
    <w:p>
      <w:pPr>
        <w:tabs>
          <w:tab w:val="left" w:pos="0"/>
        </w:tabs>
        <w:bidi w:val="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①</w:t>
      </w:r>
      <w:r>
        <w:rPr>
          <w:rFonts w:hint="default" w:ascii="Times New Roman" w:hAnsi="Times New Roman" w:cs="Times New Roman"/>
          <w:color w:val="000000" w:themeColor="text1"/>
          <w:szCs w:val="24"/>
          <w:highlight w:val="none"/>
          <w14:textFill>
            <w14:solidFill>
              <w14:schemeClr w14:val="tx1"/>
            </w14:solidFill>
          </w14:textFill>
        </w:rPr>
        <w:t>评价标准：《地表水环境质量标准》（GB3838-2002）Ⅲ类标准</w:t>
      </w:r>
      <w:r>
        <w:rPr>
          <w:rFonts w:hint="default" w:ascii="Times New Roman" w:hAnsi="Times New Roman" w:cs="Times New Roman"/>
          <w:color w:val="000000" w:themeColor="text1"/>
          <w:szCs w:val="24"/>
          <w:highlight w:val="none"/>
          <w:lang w:eastAsia="zh-CN"/>
          <w14:textFill>
            <w14:solidFill>
              <w14:schemeClr w14:val="tx1"/>
            </w14:solidFill>
          </w14:textFill>
        </w:rPr>
        <w:t>与饮用水原地补充监测标准、《</w:t>
      </w:r>
      <w:r>
        <w:rPr>
          <w:rFonts w:hint="default" w:ascii="Times New Roman" w:hAnsi="Times New Roman" w:cs="Times New Roman"/>
          <w:color w:val="000000" w:themeColor="text1"/>
          <w:szCs w:val="24"/>
          <w:highlight w:val="none"/>
          <w14:textFill>
            <w14:solidFill>
              <w14:schemeClr w14:val="tx1"/>
            </w14:solidFill>
          </w14:textFill>
        </w:rPr>
        <w:t>湖泊（水库）富营养化评价方法及分级技术规定</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w:t>
      </w:r>
    </w:p>
    <w:p>
      <w:pPr>
        <w:tabs>
          <w:tab w:val="left" w:pos="0"/>
        </w:tabs>
        <w:bidi w:val="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②</w:t>
      </w:r>
      <w:r>
        <w:rPr>
          <w:rFonts w:hint="default" w:ascii="Times New Roman" w:hAnsi="Times New Roman" w:cs="Times New Roman"/>
          <w:bCs/>
          <w:color w:val="000000" w:themeColor="text1"/>
          <w:szCs w:val="24"/>
          <w:highlight w:val="none"/>
          <w14:textFill>
            <w14:solidFill>
              <w14:schemeClr w14:val="tx1"/>
            </w14:solidFill>
          </w14:textFill>
        </w:rPr>
        <w:t>评价方法</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水质评价采用单项标准指数法进行评价，评价公式：</w:t>
      </w:r>
    </w:p>
    <w:p>
      <w:pPr>
        <w:adjustRightInd/>
        <w:snapToGrid/>
        <w:ind w:left="0" w:leftChars="0" w:firstLine="0" w:firstLineChars="0"/>
        <w:jc w:val="center"/>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6"/>
          <w:sz w:val="24"/>
          <w:szCs w:val="24"/>
          <w:highlight w:val="none"/>
          <w14:textFill>
            <w14:solidFill>
              <w14:schemeClr w14:val="tx1"/>
            </w14:solidFill>
          </w14:textFill>
        </w:rPr>
        <w:object>
          <v:shape id="_x0000_i1037" o:spt="75" type="#_x0000_t75" style="height:20pt;width:71pt;" o:ole="t" filled="f" o:preferrelative="t" stroked="f" coordsize="21600,21600">
            <v:path/>
            <v:fill on="f" focussize="0,0"/>
            <v:stroke on="f"/>
            <v:imagedata r:id="rId56" o:title=""/>
            <o:lock v:ext="edit" aspectratio="t"/>
            <w10:wrap type="none"/>
            <w10:anchorlock/>
          </v:shape>
          <o:OLEObject Type="Embed" ProgID="Equation.KSEE3" ShapeID="_x0000_i1037" DrawAspect="Content" ObjectID="_1468075737" r:id="rId55">
            <o:LockedField>false</o:LockedField>
          </o:OLEObject>
        </w:object>
      </w:r>
    </w:p>
    <w:p>
      <w:pPr>
        <w:tabs>
          <w:tab w:val="left" w:pos="0"/>
        </w:tabs>
        <w:bidi w:val="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式中：</w:t>
      </w: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38" o:spt="75" type="#_x0000_t75" style="height:19pt;width:19pt;" o:ole="t" filled="f" o:preferrelative="t" stroked="f" coordsize="21600,21600">
            <v:path/>
            <v:fill on="f" focussize="0,0"/>
            <v:stroke on="f"/>
            <v:imagedata r:id="rId58" o:title=""/>
            <o:lock v:ext="edit" aspectratio="t"/>
            <w10:wrap type="none"/>
            <w10:anchorlock/>
          </v:shape>
          <o:OLEObject Type="Embed" ProgID="Equation.KSEE3" ShapeID="_x0000_i1038" DrawAspect="Content" ObjectID="_1468075738" r:id="rId57">
            <o:LockedField>false</o:LockedField>
          </o:OLEObject>
        </w:objec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评价因子</w:t>
      </w:r>
      <w:r>
        <w:rPr>
          <w:rFonts w:hint="default" w:ascii="Times New Roman" w:hAnsi="Times New Roman" w:cs="Times New Roman"/>
          <w:color w:val="000000" w:themeColor="text1"/>
          <w:kern w:val="0"/>
          <w:position w:val="-6"/>
          <w:sz w:val="24"/>
          <w:szCs w:val="24"/>
          <w:highlight w:val="none"/>
          <w14:textFill>
            <w14:solidFill>
              <w14:schemeClr w14:val="tx1"/>
            </w14:solidFill>
          </w14:textFill>
        </w:rPr>
        <w:object>
          <v:shape id="_x0000_i1039" o:spt="75" type="#_x0000_t75" style="height:13pt;width:6.95pt;" o:ole="t" filled="f" o:preferrelative="t" stroked="f" coordsize="21600,21600">
            <v:path/>
            <v:fill on="f" focussize="0,0"/>
            <v:stroke on="f"/>
            <v:imagedata r:id="rId60" o:title=""/>
            <o:lock v:ext="edit" aspectratio="t"/>
            <w10:wrap type="none"/>
            <w10:anchorlock/>
          </v:shape>
          <o:OLEObject Type="Embed" ProgID="Equation.KSEE3" ShapeID="_x0000_i1039" DrawAspect="Content" ObjectID="_1468075739" r:id="rId59">
            <o:LockedField>false</o:LockedField>
          </o:OLEObject>
        </w:objec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的水质指数，大于1表明该水质因子超标</w:t>
      </w:r>
      <w:r>
        <w:rPr>
          <w:rFonts w:hint="default" w:ascii="Times New Roman" w:hAnsi="Times New Roman" w:cs="Times New Roman"/>
          <w:color w:val="000000" w:themeColor="text1"/>
          <w:kern w:val="0"/>
          <w:sz w:val="24"/>
          <w:szCs w:val="24"/>
          <w:highlight w:val="none"/>
          <w14:textFill>
            <w14:solidFill>
              <w14:schemeClr w14:val="tx1"/>
            </w14:solidFill>
          </w14:textFill>
        </w:rPr>
        <w:t>；</w:t>
      </w:r>
    </w:p>
    <w:p>
      <w:pPr>
        <w:tabs>
          <w:tab w:val="left" w:pos="0"/>
        </w:tabs>
        <w:bidi w:val="0"/>
        <w:ind w:firstLine="1200" w:firstLineChars="5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4"/>
          <w:sz w:val="24"/>
          <w:szCs w:val="24"/>
          <w:highlight w:val="none"/>
          <w:lang w:val="en-US" w:eastAsia="zh-CN"/>
          <w14:textFill>
            <w14:solidFill>
              <w14:schemeClr w14:val="tx1"/>
            </w14:solidFill>
          </w14:textFill>
        </w:rPr>
        <w:tab/>
      </w:r>
      <w:r>
        <w:rPr>
          <w:rFonts w:hint="default" w:ascii="Times New Roman" w:hAnsi="Times New Roman" w:cs="Times New Roman"/>
          <w:color w:val="000000" w:themeColor="text1"/>
          <w:kern w:val="0"/>
          <w:position w:val="-14"/>
          <w:sz w:val="24"/>
          <w:szCs w:val="24"/>
          <w:highlight w:val="none"/>
          <w:lang w:val="en-US" w:eastAsia="zh-CN"/>
          <w14:textFill>
            <w14:solidFill>
              <w14:schemeClr w14:val="tx1"/>
            </w14:solidFill>
          </w14:textFill>
        </w:rPr>
        <w:tab/>
      </w: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40" o:spt="75" type="#_x0000_t75" style="height:19pt;width:20pt;" o:ole="t" filled="f" o:preferrelative="t" stroked="f" coordsize="21600,21600">
            <v:path/>
            <v:fill on="f" focussize="0,0"/>
            <v:stroke on="f"/>
            <v:imagedata r:id="rId62" o:title=""/>
            <o:lock v:ext="edit" aspectratio="t"/>
            <w10:wrap type="none"/>
            <w10:anchorlock/>
          </v:shape>
          <o:OLEObject Type="Embed" ProgID="Equation.KSEE3" ShapeID="_x0000_i1040" DrawAspect="Content" ObjectID="_1468075740" r:id="rId61">
            <o:LockedField>false</o:LockedField>
          </o:OLEObject>
        </w:objec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评价因子</w:t>
      </w:r>
      <w:r>
        <w:rPr>
          <w:rFonts w:hint="default" w:ascii="Times New Roman" w:hAnsi="Times New Roman" w:cs="Times New Roman"/>
          <w:color w:val="000000" w:themeColor="text1"/>
          <w:kern w:val="0"/>
          <w:position w:val="-6"/>
          <w:sz w:val="24"/>
          <w:szCs w:val="24"/>
          <w:highlight w:val="none"/>
          <w14:textFill>
            <w14:solidFill>
              <w14:schemeClr w14:val="tx1"/>
            </w14:solidFill>
          </w14:textFill>
        </w:rPr>
        <w:object>
          <v:shape id="_x0000_i1041" o:spt="75" type="#_x0000_t75" style="height:13pt;width:6.95pt;" o:ole="t" filled="f" o:preferrelative="t" stroked="f" coordsize="21600,21600">
            <v:path/>
            <v:fill on="f" focussize="0,0"/>
            <v:stroke on="f"/>
            <v:imagedata r:id="rId60" o:title=""/>
            <o:lock v:ext="edit" aspectratio="t"/>
            <w10:wrap type="none"/>
            <w10:anchorlock/>
          </v:shape>
          <o:OLEObject Type="Embed" ProgID="Equation.KSEE3" ShapeID="_x0000_i1041" DrawAspect="Content" ObjectID="_1468075741" r:id="rId63">
            <o:LockedField>false</o:LockedField>
          </o:OLEObject>
        </w:objec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在</w:t>
      </w:r>
      <w:r>
        <w:rPr>
          <w:rFonts w:hint="default" w:ascii="Times New Roman" w:hAnsi="Times New Roman" w:cs="Times New Roman"/>
          <w:color w:val="000000" w:themeColor="text1"/>
          <w:kern w:val="0"/>
          <w:position w:val="-10"/>
          <w:sz w:val="24"/>
          <w:szCs w:val="24"/>
          <w:highlight w:val="none"/>
          <w14:textFill>
            <w14:solidFill>
              <w14:schemeClr w14:val="tx1"/>
            </w14:solidFill>
          </w14:textFill>
        </w:rPr>
        <w:object>
          <v:shape id="_x0000_i1042" o:spt="75" type="#_x0000_t75" style="height:15pt;width:10pt;" o:ole="t" filled="f" o:preferrelative="t" stroked="f" coordsize="21600,21600">
            <v:path/>
            <v:fill on="f" focussize="0,0"/>
            <v:stroke on="f"/>
            <v:imagedata r:id="rId65" o:title=""/>
            <o:lock v:ext="edit" aspectratio="t"/>
            <w10:wrap type="none"/>
            <w10:anchorlock/>
          </v:shape>
          <o:OLEObject Type="Embed" ProgID="Equation.KSEE3" ShapeID="_x0000_i1042" DrawAspect="Content" ObjectID="_1468075742" r:id="rId64">
            <o:LockedField>false</o:LockedField>
          </o:OLEObject>
        </w:objec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点的实测统计代表值</w:t>
      </w:r>
      <w:r>
        <w:rPr>
          <w:rFonts w:hint="default" w:ascii="Times New Roman" w:hAnsi="Times New Roman" w:cs="Times New Roman"/>
          <w:color w:val="000000" w:themeColor="text1"/>
          <w:kern w:val="0"/>
          <w:sz w:val="24"/>
          <w:szCs w:val="24"/>
          <w:highlight w:val="none"/>
          <w14:textFill>
            <w14:solidFill>
              <w14:schemeClr w14:val="tx1"/>
            </w14:solidFill>
          </w14:textFill>
        </w:rPr>
        <w:t>，mg/L；</w:t>
      </w:r>
    </w:p>
    <w:p>
      <w:pPr>
        <w:tabs>
          <w:tab w:val="left" w:pos="0"/>
        </w:tabs>
        <w:bidi w:val="0"/>
        <w:ind w:firstLine="1200" w:firstLineChars="5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2"/>
          <w:sz w:val="24"/>
          <w:szCs w:val="24"/>
          <w:highlight w:val="none"/>
          <w14:textFill>
            <w14:solidFill>
              <w14:schemeClr w14:val="tx1"/>
            </w14:solidFill>
          </w14:textFill>
        </w:rPr>
        <w:object>
          <v:shape id="_x0000_i1043" o:spt="75" type="#_x0000_t75" style="height:18pt;width:17pt;" o:ole="t" filled="f" o:preferrelative="t" stroked="f" coordsize="21600,21600">
            <v:path/>
            <v:fill on="f" focussize="0,0"/>
            <v:stroke on="f"/>
            <v:imagedata r:id="rId67" o:title=""/>
            <o:lock v:ext="edit" aspectratio="t"/>
            <w10:wrap type="none"/>
            <w10:anchorlock/>
          </v:shape>
          <o:OLEObject Type="Embed" ProgID="Equation.KSEE3" ShapeID="_x0000_i1043" DrawAspect="Content" ObjectID="_1468075743" r:id="rId66">
            <o:LockedField>false</o:LockedField>
          </o:OLEObject>
        </w:objec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评价因子</w:t>
      </w:r>
      <w:r>
        <w:rPr>
          <w:rFonts w:hint="default" w:ascii="Times New Roman" w:hAnsi="Times New Roman" w:cs="Times New Roman"/>
          <w:color w:val="000000" w:themeColor="text1"/>
          <w:kern w:val="0"/>
          <w:position w:val="-6"/>
          <w:sz w:val="24"/>
          <w:szCs w:val="24"/>
          <w:highlight w:val="none"/>
          <w14:textFill>
            <w14:solidFill>
              <w14:schemeClr w14:val="tx1"/>
            </w14:solidFill>
          </w14:textFill>
        </w:rPr>
        <w:object>
          <v:shape id="_x0000_i1044" o:spt="75" type="#_x0000_t75" style="height:13pt;width:6.95pt;" o:ole="t" filled="f" o:preferrelative="t" stroked="f" coordsize="21600,21600">
            <v:path/>
            <v:fill on="f" focussize="0,0"/>
            <v:stroke on="f"/>
            <v:imagedata r:id="rId60" o:title=""/>
            <o:lock v:ext="edit" aspectratio="t"/>
            <w10:wrap type="none"/>
            <w10:anchorlock/>
          </v:shape>
          <o:OLEObject Type="Embed" ProgID="Equation.KSEE3" ShapeID="_x0000_i1044" DrawAspect="Content" ObjectID="_1468075744" r:id="rId68">
            <o:LockedField>false</o:LockedField>
          </o:OLEObject>
        </w:objec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的水质评价标准限值</w:t>
      </w:r>
      <w:r>
        <w:rPr>
          <w:rFonts w:hint="default" w:ascii="Times New Roman" w:hAnsi="Times New Roman" w:cs="Times New Roman"/>
          <w:color w:val="000000" w:themeColor="text1"/>
          <w:kern w:val="0"/>
          <w:sz w:val="24"/>
          <w:szCs w:val="24"/>
          <w:highlight w:val="none"/>
          <w14:textFill>
            <w14:solidFill>
              <w14:schemeClr w14:val="tx1"/>
            </w14:solidFill>
          </w14:textFill>
        </w:rPr>
        <w:t>，mg/L。</w:t>
      </w:r>
    </w:p>
    <w:p>
      <w:pPr>
        <w:adjustRightInd/>
        <w:snapToGrid/>
        <w:spacing w:line="500" w:lineRule="exact"/>
        <w:ind w:firstLine="48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pH值的标准指数为：</w:t>
      </w:r>
    </w:p>
    <w:p>
      <w:pPr>
        <w:adjustRightInd/>
        <w:snapToGrid/>
        <w:spacing w:line="360" w:lineRule="auto"/>
        <w:ind w:left="0" w:leftChars="0" w:firstLine="0" w:firstLineChars="0"/>
        <w:jc w:val="center"/>
        <w:rPr>
          <w:rFonts w:hint="default" w:ascii="Times New Roman" w:hAnsi="Times New Roman" w:cs="Times New Roman"/>
          <w:color w:val="000000" w:themeColor="text1"/>
          <w:position w:val="-14"/>
          <w:szCs w:val="24"/>
          <w:highlight w:val="none"/>
          <w14:textFill>
            <w14:solidFill>
              <w14:schemeClr w14:val="tx1"/>
            </w14:solidFill>
          </w14:textFill>
        </w:rPr>
      </w:pPr>
      <w:r>
        <w:rPr>
          <w:rFonts w:hint="default" w:ascii="Times New Roman" w:hAnsi="Times New Roman" w:eastAsia="宋体" w:cs="Times New Roman"/>
          <w:color w:val="000000" w:themeColor="text1"/>
          <w:kern w:val="0"/>
          <w:position w:val="-30"/>
          <w:sz w:val="24"/>
          <w:szCs w:val="24"/>
          <w:highlight w:val="none"/>
          <w:lang w:eastAsia="zh-CN"/>
          <w14:textFill>
            <w14:solidFill>
              <w14:schemeClr w14:val="tx1"/>
            </w14:solidFill>
          </w14:textFill>
        </w:rPr>
        <w:object>
          <v:shape id="_x0000_i1045" o:spt="75" type="#_x0000_t75" style="height:36pt;width:93pt;" o:ole="t" filled="f" o:preferrelative="t" stroked="f" coordsize="21600,21600">
            <v:path/>
            <v:fill on="f" focussize="0,0"/>
            <v:stroke on="f"/>
            <v:imagedata r:id="rId70" o:title=""/>
            <o:lock v:ext="edit" aspectratio="t"/>
            <w10:wrap type="none"/>
            <w10:anchorlock/>
          </v:shape>
          <o:OLEObject Type="Embed" ProgID="Equation.KSEE3" ShapeID="_x0000_i1045" DrawAspect="Content" ObjectID="_1468075745" r:id="rId69">
            <o:LockedField>false</o:LockedField>
          </o:OLEObject>
        </w:object>
      </w: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46" o:spt="75" type="#_x0000_t75" style="height:19pt;width:100pt;" o:ole="t" filled="f" o:preferrelative="t" stroked="f" coordsize="21600,21600">
            <v:path/>
            <v:fill on="f" focussize="0,0"/>
            <v:stroke on="f"/>
            <v:imagedata r:id="rId72" o:title=""/>
            <o:lock v:ext="edit" aspectratio="t"/>
            <w10:wrap type="none"/>
            <w10:anchorlock/>
          </v:shape>
          <o:OLEObject Type="Embed" ProgID="Equation.KSEE3" ShapeID="_x0000_i1046" DrawAspect="Content" ObjectID="_1468075746" r:id="rId71">
            <o:LockedField>false</o:LockedField>
          </o:OLEObject>
        </w:object>
      </w:r>
    </w:p>
    <w:p>
      <w:pPr>
        <w:adjustRightInd/>
        <w:snapToGrid/>
        <w:spacing w:line="360" w:lineRule="auto"/>
        <w:ind w:left="0" w:leftChars="0" w:firstLine="0" w:firstLineChars="0"/>
        <w:jc w:val="center"/>
        <w:rPr>
          <w:rFonts w:hint="default" w:ascii="Times New Roman" w:hAnsi="Times New Roman" w:cs="Times New Roman"/>
          <w:color w:val="000000" w:themeColor="text1"/>
          <w:position w:val="-50"/>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position w:val="-30"/>
          <w:sz w:val="24"/>
          <w:szCs w:val="24"/>
          <w:highlight w:val="none"/>
          <w:lang w:eastAsia="zh-CN"/>
          <w14:textFill>
            <w14:solidFill>
              <w14:schemeClr w14:val="tx1"/>
            </w14:solidFill>
          </w14:textFill>
        </w:rPr>
        <w:object>
          <v:shape id="_x0000_i1047" o:spt="75" type="#_x0000_t75" style="height:36pt;width:93pt;" o:ole="t" filled="f" o:preferrelative="t" stroked="f" coordsize="21600,21600">
            <v:path/>
            <v:fill on="f" focussize="0,0"/>
            <v:stroke on="f"/>
            <v:imagedata r:id="rId74" o:title=""/>
            <o:lock v:ext="edit" aspectratio="t"/>
            <w10:wrap type="none"/>
            <w10:anchorlock/>
          </v:shape>
          <o:OLEObject Type="Embed" ProgID="Equation.KSEE3" ShapeID="_x0000_i1047" DrawAspect="Content" ObjectID="_1468075747" r:id="rId73">
            <o:LockedField>false</o:LockedField>
          </o:OLEObject>
        </w:object>
      </w: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48" o:spt="75" type="#_x0000_t75" style="height:19pt;width:98pt;" o:ole="t" filled="f" o:preferrelative="t" stroked="f" coordsize="21600,21600">
            <v:path/>
            <v:fill on="f" focussize="0,0"/>
            <v:stroke on="f"/>
            <v:imagedata r:id="rId76" o:title=""/>
            <o:lock v:ext="edit" aspectratio="t"/>
            <w10:wrap type="none"/>
            <w10:anchorlock/>
          </v:shape>
          <o:OLEObject Type="Embed" ProgID="Equation.KSEE3" ShapeID="_x0000_i1048" DrawAspect="Content" ObjectID="_1468075748" r:id="rId75">
            <o:LockedField>false</o:LockedField>
          </o:OLEObject>
        </w:object>
      </w:r>
    </w:p>
    <w:p>
      <w:pPr>
        <w:adjustRightInd/>
        <w:snapToGrid/>
        <w:spacing w:line="500" w:lineRule="exact"/>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49" o:spt="75" type="#_x0000_t75" style="height:19pt;width:30pt;" o:ole="t" filled="f" o:preferrelative="t" stroked="f" coordsize="21600,21600">
            <v:path/>
            <v:fill on="f" focussize="0,0"/>
            <v:stroke on="f"/>
            <v:imagedata r:id="rId78" o:title=""/>
            <o:lock v:ext="edit" aspectratio="t"/>
            <w10:wrap type="none"/>
            <w10:anchorlock/>
          </v:shape>
          <o:OLEObject Type="Embed" ProgID="Equation.KSEE3" ShapeID="_x0000_i1049" DrawAspect="Content" ObjectID="_1468075749" r:id="rId77">
            <o:LockedField>false</o:LockedField>
          </o:OLEObject>
        </w:objec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pH</w:t>
      </w:r>
      <w:r>
        <w:rPr>
          <w:rFonts w:hint="default" w:ascii="Times New Roman" w:hAnsi="Times New Roman" w:cs="Times New Roman"/>
          <w:color w:val="000000" w:themeColor="text1"/>
          <w:sz w:val="24"/>
          <w:szCs w:val="24"/>
          <w:highlight w:val="none"/>
          <w14:textFill>
            <w14:solidFill>
              <w14:schemeClr w14:val="tx1"/>
            </w14:solidFill>
          </w14:textFill>
        </w:rPr>
        <w:t>值的指数</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大于1表明该水质因子超标</w:t>
      </w:r>
      <w:r>
        <w:rPr>
          <w:rFonts w:hint="default" w:ascii="Times New Roman" w:hAnsi="Times New Roman" w:cs="Times New Roman"/>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50" o:spt="75" type="#_x0000_t75" style="height:19pt;width:24.95pt;" o:ole="t" filled="f" o:preferrelative="t" stroked="f" coordsize="21600,21600">
            <v:path/>
            <v:fill on="f" focussize="0,0"/>
            <v:stroke on="f"/>
            <v:imagedata r:id="rId80" o:title=""/>
            <o:lock v:ext="edit" aspectratio="t"/>
            <w10:wrap type="none"/>
            <w10:anchorlock/>
          </v:shape>
          <o:OLEObject Type="Embed" ProgID="Equation.KSEE3" ShapeID="_x0000_i1050" DrawAspect="Content" ObjectID="_1468075750" r:id="rId79">
            <o:LockedField>false</o:LockedField>
          </o:OLEObject>
        </w:object>
      </w:r>
      <w:r>
        <w:rPr>
          <w:rFonts w:hint="default" w:ascii="Times New Roman" w:hAnsi="Times New Roman" w:cs="Times New Roman"/>
          <w:color w:val="000000" w:themeColor="text1"/>
          <w:sz w:val="24"/>
          <w:szCs w:val="24"/>
          <w:highlight w:val="none"/>
          <w14:textFill>
            <w14:solidFill>
              <w14:schemeClr w14:val="tx1"/>
            </w14:solidFill>
          </w14:textFill>
        </w:rPr>
        <w:t>——pH值实测统计代表值；</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2"/>
          <w:sz w:val="24"/>
          <w:szCs w:val="24"/>
          <w:highlight w:val="none"/>
          <w14:textFill>
            <w14:solidFill>
              <w14:schemeClr w14:val="tx1"/>
            </w14:solidFill>
          </w14:textFill>
        </w:rPr>
        <w:object>
          <v:shape id="_x0000_i1051" o:spt="75" type="#_x0000_t75" style="height:18pt;width:28pt;" o:ole="t" filled="f" o:preferrelative="t" stroked="f" coordsize="21600,21600">
            <v:path/>
            <v:fill on="f" focussize="0,0"/>
            <v:stroke on="f"/>
            <v:imagedata r:id="rId82" o:title=""/>
            <o:lock v:ext="edit" aspectratio="t"/>
            <w10:wrap type="none"/>
            <w10:anchorlock/>
          </v:shape>
          <o:OLEObject Type="Embed" ProgID="Equation.KSEE3" ShapeID="_x0000_i1051" DrawAspect="Content" ObjectID="_1468075751" r:id="rId81">
            <o:LockedField>false</o:LockedField>
          </o:OLEObject>
        </w:objec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评价标准中</w:t>
      </w:r>
      <w:r>
        <w:rPr>
          <w:rFonts w:hint="default" w:ascii="Times New Roman" w:hAnsi="Times New Roman" w:cs="Times New Roman"/>
          <w:color w:val="000000" w:themeColor="text1"/>
          <w:sz w:val="24"/>
          <w:szCs w:val="24"/>
          <w:highlight w:val="none"/>
          <w14:textFill>
            <w14:solidFill>
              <w14:schemeClr w14:val="tx1"/>
            </w14:solidFill>
          </w14:textFill>
        </w:rPr>
        <w:t>pH值</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w:t>
      </w:r>
      <w:r>
        <w:rPr>
          <w:rFonts w:hint="default" w:ascii="Times New Roman" w:hAnsi="Times New Roman" w:cs="Times New Roman"/>
          <w:color w:val="000000" w:themeColor="text1"/>
          <w:sz w:val="24"/>
          <w:szCs w:val="24"/>
          <w:highlight w:val="none"/>
          <w14:textFill>
            <w14:solidFill>
              <w14:schemeClr w14:val="tx1"/>
            </w14:solidFill>
          </w14:textFill>
        </w:rPr>
        <w:t>下限</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值</w:t>
      </w:r>
      <w:r>
        <w:rPr>
          <w:rFonts w:hint="default" w:ascii="Times New Roman" w:hAnsi="Times New Roman" w:cs="Times New Roman"/>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left="480" w:leftChars="20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position w:val="-12"/>
          <w:sz w:val="24"/>
          <w:szCs w:val="24"/>
          <w:highlight w:val="none"/>
          <w14:textFill>
            <w14:solidFill>
              <w14:schemeClr w14:val="tx1"/>
            </w14:solidFill>
          </w14:textFill>
        </w:rPr>
        <w:object>
          <v:shape id="_x0000_i1052" o:spt="75" type="#_x0000_t75" style="height:18pt;width:28pt;" o:ole="t" filled="f" o:preferrelative="t" stroked="f" coordsize="21600,21600">
            <v:path/>
            <v:fill on="f" focussize="0,0"/>
            <v:stroke on="f"/>
            <v:imagedata r:id="rId84" o:title=""/>
            <o:lock v:ext="edit" aspectratio="t"/>
            <w10:wrap type="none"/>
            <w10:anchorlock/>
          </v:shape>
          <o:OLEObject Type="Embed" ProgID="Equation.KSEE3" ShapeID="_x0000_i1052" DrawAspect="Content" ObjectID="_1468075752" r:id="rId83">
            <o:LockedField>false</o:LockedField>
          </o:OLEObject>
        </w:objec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评价标准中</w:t>
      </w:r>
      <w:r>
        <w:rPr>
          <w:rFonts w:hint="default" w:ascii="Times New Roman" w:hAnsi="Times New Roman" w:cs="Times New Roman"/>
          <w:color w:val="000000" w:themeColor="text1"/>
          <w:sz w:val="24"/>
          <w:szCs w:val="24"/>
          <w:highlight w:val="none"/>
          <w14:textFill>
            <w14:solidFill>
              <w14:schemeClr w14:val="tx1"/>
            </w14:solidFill>
          </w14:textFill>
        </w:rPr>
        <w:t>pH值</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的上限值</w:t>
      </w:r>
      <w:r>
        <w:rPr>
          <w:rFonts w:hint="default" w:ascii="Times New Roman" w:hAnsi="Times New Roman" w:cs="Times New Roman"/>
          <w:color w:val="000000" w:themeColor="text1"/>
          <w:sz w:val="24"/>
          <w:szCs w:val="24"/>
          <w:highlight w:val="none"/>
          <w14:textFill>
            <w14:solidFill>
              <w14:schemeClr w14:val="tx1"/>
            </w14:solidFill>
          </w14:textFill>
        </w:rPr>
        <w:t>。</w:t>
      </w:r>
    </w:p>
    <w:p>
      <w:pPr>
        <w:adjustRightInd/>
        <w:snapToGrid/>
        <w:spacing w:line="500" w:lineRule="exact"/>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对于溶解氧DO的标准指数，则用下式计算：</w:t>
      </w:r>
    </w:p>
    <w:p>
      <w:pPr>
        <w:keepNext w:val="0"/>
        <w:keepLines w:val="0"/>
        <w:pageBreakBefore w:val="0"/>
        <w:widowControl w:val="0"/>
        <w:tabs>
          <w:tab w:val="left" w:pos="0"/>
        </w:tabs>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000000" w:themeColor="text1"/>
          <w:position w:val="-50"/>
          <w:szCs w:val="24"/>
          <w:highlight w:val="none"/>
          <w14:textFill>
            <w14:solidFill>
              <w14:schemeClr w14:val="tx1"/>
            </w14:solidFill>
          </w14:textFill>
        </w:rPr>
      </w:pP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53" o:spt="75" type="#_x0000_t75" style="height:19pt;width:93.45pt;" o:ole="t" filled="f" o:preferrelative="t" stroked="f" coordsize="21600,21600">
            <v:path/>
            <v:fill on="f" focussize="0,0"/>
            <v:stroke on="f"/>
            <v:imagedata r:id="rId86" o:title=""/>
            <o:lock v:ext="edit" aspectratio="t"/>
            <w10:wrap type="none"/>
            <w10:anchorlock/>
          </v:shape>
          <o:OLEObject Type="Embed" ProgID="Equation.3" ShapeID="_x0000_i1053" DrawAspect="Content" ObjectID="_1468075753" r:id="rId85">
            <o:LockedField>false</o:LockedField>
          </o:OLEObject>
        </w:object>
      </w: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54" o:spt="75" type="#_x0000_t75" style="height:19pt;width:109pt;" o:ole="t" filled="f" o:preferrelative="t" stroked="f" coordsize="21600,21600">
            <v:path/>
            <v:fill on="f" focussize="0,0"/>
            <v:stroke on="f"/>
            <v:imagedata r:id="rId88" o:title=""/>
            <o:lock v:ext="edit" aspectratio="t"/>
            <w10:wrap type="none"/>
            <w10:anchorlock/>
          </v:shape>
          <o:OLEObject Type="Embed" ProgID="Equation.KSEE3" ShapeID="_x0000_i1054" DrawAspect="Content" ObjectID="_1468075754" r:id="rId87">
            <o:LockedField>false</o:LockedField>
          </o:OLEObject>
        </w:object>
      </w:r>
    </w:p>
    <w:p>
      <w:pPr>
        <w:keepNext w:val="0"/>
        <w:keepLines w:val="0"/>
        <w:pageBreakBefore w:val="0"/>
        <w:widowControl w:val="0"/>
        <w:tabs>
          <w:tab w:val="left" w:pos="0"/>
        </w:tabs>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position w:val="-30"/>
          <w:szCs w:val="24"/>
          <w:highlight w:val="none"/>
          <w:lang w:val="en-US" w:eastAsia="zh-CN"/>
          <w14:textFill>
            <w14:solidFill>
              <w14:schemeClr w14:val="tx1"/>
            </w14:solidFill>
          </w14:textFill>
        </w:rPr>
        <w:object>
          <v:shape id="_x0000_i1055" o:spt="75" type="#_x0000_t75" style="height:41pt;width:102pt;" o:ole="t" filled="f" o:preferrelative="t" stroked="f" coordsize="21600,21600">
            <v:path/>
            <v:fill on="f" focussize="0,0"/>
            <v:stroke on="f"/>
            <v:imagedata r:id="rId90" o:title=""/>
            <o:lock v:ext="edit" aspectratio="t"/>
            <w10:wrap type="none"/>
            <w10:anchorlock/>
          </v:shape>
          <o:OLEObject Type="Embed" ProgID="Equation.KSEE3" ShapeID="_x0000_i1055" DrawAspect="Content" ObjectID="_1468075755" r:id="rId89">
            <o:LockedField>false</o:LockedField>
          </o:OLEObject>
        </w:object>
      </w:r>
      <w:r>
        <w:rPr>
          <w:rFonts w:hint="default" w:ascii="Times New Roman" w:hAnsi="Times New Roman" w:cs="Times New Roman"/>
          <w:color w:val="000000" w:themeColor="text1"/>
          <w:position w:val="-14"/>
          <w:szCs w:val="24"/>
          <w:highlight w:val="none"/>
          <w14:textFill>
            <w14:solidFill>
              <w14:schemeClr w14:val="tx1"/>
            </w14:solidFill>
          </w14:textFill>
        </w:rPr>
        <w:object>
          <v:shape id="_x0000_i1056" o:spt="75" type="#_x0000_t75" style="height:19pt;width:108pt;" o:ole="t" filled="f" o:preferrelative="t" stroked="f" coordsize="21600,21600">
            <v:path/>
            <v:fill on="f" focussize="0,0"/>
            <v:stroke on="f"/>
            <v:imagedata r:id="rId92" o:title=""/>
            <o:lock v:ext="edit" aspectratio="t"/>
            <w10:wrap type="none"/>
            <w10:anchorlock/>
          </v:shape>
          <o:OLEObject Type="Embed" ProgID="Equation.KSEE3" ShapeID="_x0000_i1056" DrawAspect="Content" ObjectID="_1468075756" r:id="rId91">
            <o:LockedField>false</o:LockedField>
          </o:OLEObject>
        </w:object>
      </w:r>
    </w:p>
    <w:p>
      <w:pPr>
        <w:bidi w:val="0"/>
        <w:adjustRightInd/>
        <w:snapToGrid/>
        <w:ind w:firstLine="881"/>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式中：</w:t>
      </w:r>
    </w:p>
    <w:p>
      <w:pPr>
        <w:keepNext w:val="0"/>
        <w:keepLines w:val="0"/>
        <w:pageBreakBefore w:val="0"/>
        <w:widowControl w:val="0"/>
        <w:kinsoku/>
        <w:wordWrap/>
        <w:overflowPunct/>
        <w:topLinePunct w:val="0"/>
        <w:autoSpaceDE/>
        <w:autoSpaceDN/>
        <w:bidi w:val="0"/>
        <w:adjustRightInd/>
        <w:snapToGrid/>
        <w:ind w:left="480" w:leftChars="200" w:firstLine="881"/>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57" o:spt="75" type="#_x0000_t75" style="height:19pt;width:30pt;" o:ole="t" filled="f" o:preferrelative="t" stroked="f" coordsize="21600,21600">
            <v:path/>
            <v:fill on="f" focussize="0,0"/>
            <v:stroke on="f"/>
            <v:imagedata r:id="rId94" o:title=""/>
            <o:lock v:ext="edit" aspectratio="t"/>
            <w10:wrap type="none"/>
            <w10:anchorlock/>
          </v:shape>
          <o:OLEObject Type="Embed" ProgID="Equation.KSEE3" ShapeID="_x0000_i1057" DrawAspect="Content" ObjectID="_1468075757" r:id="rId93">
            <o:LockedField>false</o:LockedField>
          </o:OLEObject>
        </w:objec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溶解氧的标准指数，大于1表明该水质因子超标</w:t>
      </w:r>
      <w:r>
        <w:rPr>
          <w:rFonts w:hint="default" w:ascii="Times New Roman" w:hAnsi="Times New Roman" w:cs="Times New Roman"/>
          <w:color w:val="000000" w:themeColor="text1"/>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left="480" w:leftChars="200" w:firstLine="881"/>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kern w:val="0"/>
          <w:position w:val="-14"/>
          <w:sz w:val="24"/>
          <w:szCs w:val="24"/>
          <w:highlight w:val="none"/>
          <w14:textFill>
            <w14:solidFill>
              <w14:schemeClr w14:val="tx1"/>
            </w14:solidFill>
          </w14:textFill>
        </w:rPr>
        <w:object>
          <v:shape id="_x0000_i1058" o:spt="75" type="#_x0000_t75" style="height:19pt;width:24.95pt;" o:ole="t" filled="f" o:preferrelative="t" stroked="f" coordsize="21600,21600">
            <v:path/>
            <v:fill on="f" focussize="0,0"/>
            <v:stroke on="f"/>
            <v:imagedata r:id="rId96" o:title=""/>
            <o:lock v:ext="edit" aspectratio="t"/>
            <w10:wrap type="none"/>
            <w10:anchorlock/>
          </v:shape>
          <o:OLEObject Type="Embed" ProgID="Equation.KSEE3" ShapeID="_x0000_i1058" DrawAspect="Content" ObjectID="_1468075758" r:id="rId95">
            <o:LockedField>false</o:LockedField>
          </o:OLEObject>
        </w:objec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溶解氧 在j点的实测统计代表值，mg/L</w:t>
      </w:r>
      <w:r>
        <w:rPr>
          <w:rFonts w:hint="default" w:ascii="Times New Roman" w:hAnsi="Times New Roman" w:cs="Times New Roman"/>
          <w:color w:val="000000" w:themeColor="text1"/>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left="480" w:leftChars="200" w:firstLine="881"/>
        <w:textAlignment w:val="auto"/>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kern w:val="0"/>
          <w:position w:val="-12"/>
          <w:sz w:val="24"/>
          <w:szCs w:val="24"/>
          <w:highlight w:val="none"/>
          <w14:textFill>
            <w14:solidFill>
              <w14:schemeClr w14:val="tx1"/>
            </w14:solidFill>
          </w14:textFill>
        </w:rPr>
        <w:object>
          <v:shape id="_x0000_i1059" o:spt="75" type="#_x0000_t75" style="height:18pt;width:24pt;" o:ole="t" filled="f" o:preferrelative="t" stroked="f" coordsize="21600,21600">
            <v:path/>
            <v:fill on="f" focussize="0,0"/>
            <v:stroke on="f"/>
            <v:imagedata r:id="rId98" o:title=""/>
            <o:lock v:ext="edit" aspectratio="t"/>
            <w10:wrap type="none"/>
            <w10:anchorlock/>
          </v:shape>
          <o:OLEObject Type="Embed" ProgID="Equation.KSEE3" ShapeID="_x0000_i1059" DrawAspect="Content" ObjectID="_1468075759" r:id="rId97">
            <o:LockedField>false</o:LockedField>
          </o:OLEObject>
        </w:object>
      </w:r>
      <w:r>
        <w:rPr>
          <w:rFonts w:hint="default" w:ascii="Times New Roman" w:hAnsi="Times New Roman" w:cs="Times New Roman"/>
          <w:color w:val="000000" w:themeColor="text1"/>
          <w:szCs w:val="24"/>
          <w:highlight w:val="none"/>
          <w14:textFill>
            <w14:solidFill>
              <w14:schemeClr w14:val="tx1"/>
            </w14:solidFill>
          </w14:textFill>
        </w:rPr>
        <w:t>——溶解氧的</w:t>
      </w:r>
      <w:r>
        <w:rPr>
          <w:rFonts w:hint="default" w:ascii="Times New Roman" w:hAnsi="Times New Roman" w:cs="Times New Roman"/>
          <w:color w:val="000000" w:themeColor="text1"/>
          <w:szCs w:val="24"/>
          <w:highlight w:val="none"/>
          <w:lang w:val="en-US" w:eastAsia="zh-CN"/>
          <w14:textFill>
            <w14:solidFill>
              <w14:schemeClr w14:val="tx1"/>
            </w14:solidFill>
          </w14:textFill>
        </w:rPr>
        <w:t>水质</w:t>
      </w:r>
      <w:r>
        <w:rPr>
          <w:rFonts w:hint="default" w:ascii="Times New Roman" w:hAnsi="Times New Roman" w:cs="Times New Roman"/>
          <w:color w:val="000000" w:themeColor="text1"/>
          <w:szCs w:val="24"/>
          <w:highlight w:val="none"/>
          <w14:textFill>
            <w14:solidFill>
              <w14:schemeClr w14:val="tx1"/>
            </w14:solidFill>
          </w14:textFill>
        </w:rPr>
        <w:t>评价标准限值，mg/L；</w:t>
      </w:r>
    </w:p>
    <w:p>
      <w:pPr>
        <w:keepNext w:val="0"/>
        <w:keepLines w:val="0"/>
        <w:pageBreakBefore w:val="0"/>
        <w:widowControl w:val="0"/>
        <w:kinsoku/>
        <w:wordWrap/>
        <w:overflowPunct/>
        <w:topLinePunct w:val="0"/>
        <w:autoSpaceDE/>
        <w:autoSpaceDN/>
        <w:bidi w:val="0"/>
        <w:adjustRightInd/>
        <w:snapToGrid/>
        <w:ind w:left="480" w:leftChars="200" w:firstLine="881"/>
        <w:textAlignment w:val="auto"/>
        <w:rPr>
          <w:rFonts w:hint="default" w:ascii="Times New Roman" w:hAnsi="Times New Roman" w:eastAsia="宋体" w:cs="Times New Roman"/>
          <w:color w:val="000000" w:themeColor="text1"/>
          <w:szCs w:val="24"/>
          <w:highlight w:val="none"/>
          <w:lang w:eastAsia="zh-CN"/>
          <w14:textFill>
            <w14:solidFill>
              <w14:schemeClr w14:val="tx1"/>
            </w14:solidFill>
          </w14:textFill>
        </w:rPr>
      </w:pPr>
      <w:r>
        <w:rPr>
          <w:rFonts w:hint="default" w:ascii="Times New Roman" w:hAnsi="Times New Roman" w:cs="Times New Roman"/>
          <w:color w:val="000000" w:themeColor="text1"/>
          <w:kern w:val="0"/>
          <w:position w:val="-10"/>
          <w:sz w:val="24"/>
          <w:szCs w:val="24"/>
          <w:highlight w:val="none"/>
          <w14:textFill>
            <w14:solidFill>
              <w14:schemeClr w14:val="tx1"/>
            </w14:solidFill>
          </w14:textFill>
        </w:rPr>
        <w:object>
          <v:shape id="_x0000_i1060" o:spt="75" type="#_x0000_t75" style="height:17pt;width:24.95pt;" o:ole="t" filled="f" o:preferrelative="t" stroked="f" coordsize="21600,21600">
            <v:path/>
            <v:fill on="f" focussize="0,0"/>
            <v:stroke on="f"/>
            <v:imagedata r:id="rId100" o:title=""/>
            <o:lock v:ext="edit" aspectratio="t"/>
            <w10:wrap type="none"/>
            <w10:anchorlock/>
          </v:shape>
          <o:OLEObject Type="Embed" ProgID="Equation.KSEE3" ShapeID="_x0000_i1060" DrawAspect="Content" ObjectID="_1468075760" r:id="rId99">
            <o:LockedField>false</o:LockedField>
          </o:OLEObject>
        </w:objec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饱和溶解氧浓度</w:t>
      </w:r>
      <w:r>
        <w:rPr>
          <w:rFonts w:hint="default" w:ascii="Times New Roman" w:hAnsi="Times New Roman" w:cs="Times New Roman"/>
          <w:color w:val="000000" w:themeColor="text1"/>
          <w:szCs w:val="24"/>
          <w:highlight w:val="none"/>
          <w14:textFill>
            <w14:solidFill>
              <w14:schemeClr w14:val="tx1"/>
            </w14:solidFill>
          </w14:textFill>
        </w:rPr>
        <w:t>，mg/L</w:t>
      </w: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position w:val="-10"/>
          <w:sz w:val="24"/>
          <w:szCs w:val="24"/>
          <w:highlight w:val="none"/>
          <w14:textFill>
            <w14:solidFill>
              <w14:schemeClr w14:val="tx1"/>
            </w14:solidFill>
          </w14:textFill>
        </w:rPr>
        <w:object>
          <v:shape id="_x0000_i1061" o:spt="75" type="#_x0000_t75" style="height:17pt;width:110pt;" o:ole="t" filled="f" o:preferrelative="t" stroked="f" coordsize="21600,21600">
            <v:path/>
            <v:fill on="f" focussize="0,0"/>
            <v:stroke on="f"/>
            <v:imagedata r:id="rId102" o:title=""/>
            <o:lock v:ext="edit" aspectratio="t"/>
            <w10:wrap type="none"/>
            <w10:anchorlock/>
          </v:shape>
          <o:OLEObject Type="Embed" ProgID="Equation.KSEE3" ShapeID="_x0000_i1061" DrawAspect="Content" ObjectID="_1468075761" r:id="rId101">
            <o:LockedField>false</o:LockedField>
          </o:OLEObject>
        </w:objec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left="480" w:leftChars="200" w:firstLine="881"/>
        <w:textAlignment w:val="auto"/>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position w:val="-4"/>
          <w:sz w:val="24"/>
          <w:szCs w:val="24"/>
          <w:highlight w:val="none"/>
          <w14:textFill>
            <w14:solidFill>
              <w14:schemeClr w14:val="tx1"/>
            </w14:solidFill>
          </w14:textFill>
        </w:rPr>
        <w:object>
          <v:shape id="_x0000_i1062" o:spt="75" type="#_x0000_t75" style="height:13pt;width:11pt;" o:ole="t" filled="f" o:preferrelative="t" stroked="f" coordsize="21600,21600">
            <v:path/>
            <v:fill on="f" focussize="0,0"/>
            <v:stroke on="f"/>
            <v:imagedata r:id="rId104" o:title=""/>
            <o:lock v:ext="edit" aspectratio="t"/>
            <w10:wrap type="none"/>
            <w10:anchorlock/>
          </v:shape>
          <o:OLEObject Type="Embed" ProgID="Equation.KSEE3" ShapeID="_x0000_i1062" DrawAspect="Content" ObjectID="_1468075762" r:id="rId103">
            <o:LockedField>false</o:LockedField>
          </o:OLEObject>
        </w:object>
      </w:r>
      <w:r>
        <w:rPr>
          <w:rFonts w:hint="default" w:ascii="Times New Roman" w:hAnsi="Times New Roman" w:cs="Times New Roman"/>
          <w:color w:val="000000" w:themeColor="text1"/>
          <w:szCs w:val="24"/>
          <w:highlight w:val="none"/>
          <w14:textFill>
            <w14:solidFill>
              <w14:schemeClr w14:val="tx1"/>
            </w14:solidFill>
          </w14:textFill>
        </w:rPr>
        <w:t>——水温</w:t>
      </w:r>
      <w:r>
        <w:rPr>
          <w:rFonts w:hint="default" w:ascii="Times New Roman" w:hAnsi="Times New Roman" w:cs="Times New Roman"/>
          <w:color w:val="000000" w:themeColor="text1"/>
          <w:szCs w:val="24"/>
          <w:highlight w:val="none"/>
          <w:lang w:val="en-US" w:eastAsia="zh-CN"/>
          <w14:textFill>
            <w14:solidFill>
              <w14:schemeClr w14:val="tx1"/>
            </w14:solidFill>
          </w14:textFill>
        </w:rPr>
        <w:t>℃，本次测量值为24.5℃。</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综合营养状态指数计算公式为：</w:t>
      </w:r>
    </w:p>
    <w:p>
      <w:pPr>
        <w:tabs>
          <w:tab w:val="left" w:pos="0"/>
        </w:tabs>
        <w:bidi w:val="0"/>
        <w:ind w:left="0" w:leftChars="0" w:firstLine="0" w:firstLineChars="0"/>
        <w:jc w:val="center"/>
        <w:rPr>
          <w:rFonts w:hint="default" w:ascii="Times New Roman" w:hAnsi="Times New Roman" w:eastAsia="宋体" w:cs="Times New Roman"/>
          <w:highlight w:val="none"/>
          <w:lang w:eastAsia="zh-CN"/>
        </w:rPr>
      </w:pPr>
      <w:r>
        <w:rPr>
          <w:rFonts w:hint="default" w:ascii="Times New Roman" w:hAnsi="Times New Roman" w:eastAsia="宋体" w:cs="Times New Roman"/>
          <w:position w:val="-14"/>
          <w:highlight w:val="none"/>
          <w:lang w:eastAsia="zh-CN"/>
        </w:rPr>
        <w:object>
          <v:shape id="_x0000_i1063" o:spt="75" type="#_x0000_t75" style="height:24.35pt;width:149.75pt;" o:ole="t" filled="f" o:preferrelative="t" stroked="f" coordsize="21600,21600">
            <v:path/>
            <v:fill on="f" focussize="0,0"/>
            <v:stroke on="f"/>
            <v:imagedata r:id="rId106" o:title=""/>
            <o:lock v:ext="edit" aspectratio="t"/>
            <w10:wrap type="none"/>
            <w10:anchorlock/>
          </v:shape>
          <o:OLEObject Type="Embed" ProgID="Equation.KSEE3" ShapeID="_x0000_i1063" DrawAspect="Content" ObjectID="_1468075763" r:id="rId105">
            <o:LockedField>false</o:LockedField>
          </o:OLEObject>
        </w:objec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式中：TLI（∑）—综合营养状态指数；</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W</w:t>
      </w:r>
      <w:r>
        <w:rPr>
          <w:rFonts w:hint="default" w:ascii="Times New Roman" w:hAnsi="Times New Roman" w:cs="Times New Roman"/>
          <w:highlight w:val="none"/>
          <w:vertAlign w:val="subscript"/>
        </w:rPr>
        <w:t>j</w:t>
      </w:r>
      <w:r>
        <w:rPr>
          <w:rFonts w:hint="default" w:ascii="Times New Roman" w:hAnsi="Times New Roman" w:cs="Times New Roman"/>
          <w:highlight w:val="none"/>
        </w:rPr>
        <w:t>—第j种参数的营养状态指数的相关权重。</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      T</w:t>
      </w:r>
      <w:r>
        <w:rPr>
          <w:rFonts w:hint="default" w:ascii="Times New Roman" w:hAnsi="Times New Roman" w:cs="Times New Roman"/>
          <w:highlight w:val="none"/>
        </w:rPr>
        <w:t>LI（j）—代表第j种参数的营养状态指数。</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以chla作为基准参数，则第j种参数的归一化的相关权重计算公式为：</w:t>
      </w:r>
    </w:p>
    <w:p>
      <w:pPr>
        <w:tabs>
          <w:tab w:val="left" w:pos="0"/>
        </w:tabs>
        <w:bidi w:val="0"/>
        <w:jc w:val="center"/>
        <w:rPr>
          <w:rFonts w:hint="default" w:ascii="Times New Roman" w:hAnsi="Times New Roman" w:cs="Times New Roman"/>
          <w:position w:val="-64"/>
          <w:highlight w:val="none"/>
          <w:lang w:val="en-US" w:eastAsia="zh-CN"/>
        </w:rPr>
      </w:pPr>
      <w:r>
        <w:rPr>
          <w:rFonts w:hint="default" w:ascii="Times New Roman" w:hAnsi="Times New Roman" w:cs="Times New Roman"/>
          <w:position w:val="-64"/>
          <w:highlight w:val="none"/>
          <w:lang w:val="en-US" w:eastAsia="zh-CN"/>
        </w:rPr>
        <w:object>
          <v:shape id="_x0000_i1064" o:spt="75" type="#_x0000_t75" style="height:54pt;width:54pt;" o:ole="t" filled="f" o:preferrelative="t" stroked="f" coordsize="21600,21600">
            <v:path/>
            <v:fill on="f" focussize="0,0"/>
            <v:stroke on="f"/>
            <v:imagedata r:id="rId108" o:title=""/>
            <o:lock v:ext="edit" aspectratio="t"/>
            <w10:wrap type="none"/>
            <w10:anchorlock/>
          </v:shape>
          <o:OLEObject Type="Embed" ProgID="Equation.KSEE3" ShapeID="_x0000_i1064" DrawAspect="Content" ObjectID="_1468075764" r:id="rId107">
            <o:LockedField>false</o:LockedField>
          </o:OLEObject>
        </w:objec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式中：r</w:t>
      </w:r>
      <w:r>
        <w:rPr>
          <w:rFonts w:hint="default" w:ascii="Times New Roman" w:hAnsi="Times New Roman" w:cs="Times New Roman"/>
          <w:highlight w:val="none"/>
          <w:vertAlign w:val="subscript"/>
        </w:rPr>
        <w:t>ij</w:t>
      </w:r>
      <w:r>
        <w:rPr>
          <w:rFonts w:hint="default" w:ascii="Times New Roman" w:hAnsi="Times New Roman" w:cs="Times New Roman"/>
          <w:highlight w:val="none"/>
        </w:rPr>
        <w:t>—第j种参数与基准参数chla的相关系数；</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m—评价参数的个数。</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中国湖泊（水库）的chla与其它参数之间的相关关系r</w:t>
      </w:r>
      <w:r>
        <w:rPr>
          <w:rFonts w:hint="default" w:ascii="Times New Roman" w:hAnsi="Times New Roman" w:cs="Times New Roman"/>
          <w:kern w:val="0"/>
          <w:sz w:val="24"/>
          <w:szCs w:val="24"/>
          <w:highlight w:val="none"/>
          <w:vertAlign w:val="subscript"/>
        </w:rPr>
        <w:t>ij</w:t>
      </w:r>
      <w:r>
        <w:rPr>
          <w:rFonts w:hint="default" w:ascii="Times New Roman" w:hAnsi="Times New Roman" w:cs="Times New Roman"/>
          <w:kern w:val="0"/>
          <w:sz w:val="24"/>
          <w:szCs w:val="24"/>
          <w:highlight w:val="none"/>
        </w:rPr>
        <w:t>及r</w:t>
      </w:r>
      <w:r>
        <w:rPr>
          <w:rFonts w:hint="default" w:ascii="Times New Roman" w:hAnsi="Times New Roman" w:cs="Times New Roman"/>
          <w:kern w:val="0"/>
          <w:sz w:val="24"/>
          <w:szCs w:val="24"/>
          <w:highlight w:val="none"/>
          <w:vertAlign w:val="subscript"/>
        </w:rPr>
        <w:t>ij</w:t>
      </w:r>
      <w:r>
        <w:rPr>
          <w:rFonts w:hint="default" w:ascii="Times New Roman" w:hAnsi="Times New Roman" w:cs="Times New Roman"/>
          <w:kern w:val="0"/>
          <w:sz w:val="24"/>
          <w:szCs w:val="24"/>
          <w:highlight w:val="none"/>
          <w:vertAlign w:val="superscript"/>
        </w:rPr>
        <w:t>2</w:t>
      </w:r>
      <w:r>
        <w:rPr>
          <w:rFonts w:hint="default" w:ascii="Times New Roman" w:hAnsi="Times New Roman" w:cs="Times New Roman"/>
          <w:kern w:val="0"/>
          <w:sz w:val="24"/>
          <w:szCs w:val="24"/>
          <w:highlight w:val="none"/>
        </w:rPr>
        <w:t>见下表。</w:t>
      </w:r>
    </w:p>
    <w:p>
      <w:pPr>
        <w:pStyle w:val="21"/>
        <w:bidi w:val="0"/>
        <w:rPr>
          <w:rFonts w:hint="default" w:ascii="Times New Roman" w:hAnsi="Times New Roman" w:cs="Times New Roman"/>
          <w:highlight w:val="none"/>
        </w:rPr>
      </w:pPr>
      <w:bookmarkStart w:id="103" w:name="_Ref21288"/>
      <w:r>
        <w:rPr>
          <w:rFonts w:hint="default" w:ascii="Times New Roman" w:hAnsi="Times New Roman" w:cs="Times New Roman"/>
          <w:highlight w:val="none"/>
        </w:rPr>
        <w:t>中国湖泊（水库）部分参数与chla的相关关系r</w:t>
      </w:r>
      <w:r>
        <w:rPr>
          <w:rFonts w:hint="default" w:ascii="Times New Roman" w:hAnsi="Times New Roman" w:cs="Times New Roman"/>
          <w:highlight w:val="none"/>
          <w:vertAlign w:val="subscript"/>
        </w:rPr>
        <w:t>ij</w:t>
      </w:r>
      <w:r>
        <w:rPr>
          <w:rFonts w:hint="default" w:ascii="Times New Roman" w:hAnsi="Times New Roman" w:cs="Times New Roman"/>
          <w:highlight w:val="none"/>
        </w:rPr>
        <w:t>及r</w:t>
      </w:r>
      <w:r>
        <w:rPr>
          <w:rFonts w:hint="default" w:ascii="Times New Roman" w:hAnsi="Times New Roman" w:cs="Times New Roman"/>
          <w:highlight w:val="none"/>
          <w:vertAlign w:val="subscript"/>
        </w:rPr>
        <w:t>ij</w:t>
      </w:r>
      <w:r>
        <w:rPr>
          <w:rFonts w:hint="default" w:ascii="Times New Roman" w:hAnsi="Times New Roman" w:cs="Times New Roman"/>
          <w:highlight w:val="none"/>
          <w:vertAlign w:val="superscript"/>
        </w:rPr>
        <w:t>2</w:t>
      </w:r>
      <w:r>
        <w:rPr>
          <w:rFonts w:hint="default" w:ascii="Times New Roman" w:hAnsi="Times New Roman" w:cs="Times New Roman"/>
          <w:highlight w:val="none"/>
        </w:rPr>
        <w:t>值</w:t>
      </w:r>
      <w:bookmarkEnd w:id="103"/>
    </w:p>
    <w:tbl>
      <w:tblPr>
        <w:tblStyle w:val="1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2583"/>
        <w:gridCol w:w="1291"/>
        <w:gridCol w:w="1292"/>
        <w:gridCol w:w="1292"/>
        <w:gridCol w:w="1292"/>
        <w:gridCol w:w="12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28"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参数</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chla</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TP</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TN</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SD</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COD</w:t>
            </w:r>
            <w:r>
              <w:rPr>
                <w:rFonts w:hint="default" w:ascii="Times New Roman" w:hAnsi="Times New Roman" w:cs="Times New Roman"/>
                <w:highlight w:val="none"/>
                <w:vertAlign w:val="subscript"/>
                <w:lang w:val="en-US" w:eastAsia="zh-CN"/>
              </w:rPr>
              <w:t>Mn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40" w:hRule="atLeast"/>
        </w:trPr>
        <w:tc>
          <w:tcPr>
            <w:tcW w:w="2583" w:type="dxa"/>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m:oMathPara>
              <m:oMath>
                <m:sSub>
                  <m:sSubPr>
                    <m:ctrlPr>
                      <w:rPr>
                        <w:rFonts w:hint="default" w:ascii="Cambria Math" w:hAnsi="Cambria Math" w:cs="Times New Roman"/>
                        <w:highlight w:val="none"/>
                        <w:lang w:val="en-US"/>
                      </w:rPr>
                    </m:ctrlPr>
                  </m:sSubPr>
                  <m:e>
                    <m:r>
                      <m:rPr>
                        <m:sty m:val="p"/>
                      </m:rPr>
                      <w:rPr>
                        <w:rFonts w:hint="default" w:ascii="Cambria Math" w:hAnsi="Cambria Math" w:cs="Times New Roman"/>
                        <w:highlight w:val="none"/>
                        <w:lang w:val="en-US" w:eastAsia="zh-CN"/>
                      </w:rPr>
                      <m:t>r</m:t>
                    </m:r>
                    <m:ctrlPr>
                      <w:rPr>
                        <w:rFonts w:hint="default" w:ascii="Cambria Math" w:hAnsi="Cambria Math" w:cs="Times New Roman"/>
                        <w:highlight w:val="none"/>
                        <w:lang w:val="en-US"/>
                      </w:rPr>
                    </m:ctrlPr>
                  </m:e>
                  <m:sub>
                    <m:r>
                      <m:rPr>
                        <m:sty m:val="p"/>
                      </m:rPr>
                      <w:rPr>
                        <w:rFonts w:hint="default" w:ascii="Cambria Math" w:hAnsi="Cambria Math" w:cs="Times New Roman"/>
                        <w:highlight w:val="none"/>
                        <w:lang w:val="en-US" w:eastAsia="zh-CN"/>
                      </w:rPr>
                      <m:t>ij</m:t>
                    </m:r>
                    <m:ctrlPr>
                      <w:rPr>
                        <w:rFonts w:hint="default" w:ascii="Cambria Math" w:hAnsi="Cambria Math" w:cs="Times New Roman"/>
                        <w:highlight w:val="none"/>
                        <w:lang w:val="en-US" w:eastAsia="zh-CN"/>
                      </w:rPr>
                    </m:ctrlPr>
                  </m:sub>
                </m:sSub>
              </m:oMath>
            </m:oMathPara>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0.84</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0.82</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-0.83</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83" w:type="dxa"/>
            <w:tcBorders>
              <w:tl2br w:val="nil"/>
              <w:tr2bl w:val="nil"/>
            </w:tcBorders>
            <w:shd w:val="clear" w:color="auto" w:fill="auto"/>
            <w:noWrap/>
            <w:tcMar>
              <w:top w:w="15" w:type="dxa"/>
              <w:left w:w="15" w:type="dxa"/>
              <w:right w:w="15" w:type="dxa"/>
            </w:tcMar>
            <w:vAlign w:val="center"/>
          </w:tcPr>
          <w:p>
            <w:pPr>
              <w:pStyle w:val="19"/>
              <w:bidi w:val="0"/>
              <w:rPr>
                <w:rFonts w:hint="default" w:ascii="Times New Roman" w:hAnsi="Times New Roman" w:cs="Times New Roman"/>
                <w:highlight w:val="none"/>
              </w:rPr>
            </w:pPr>
            <m:oMathPara>
              <m:oMath>
                <m:sSubSup>
                  <m:sSubSupPr>
                    <m:ctrlPr>
                      <w:rPr>
                        <w:rFonts w:hint="default" w:ascii="Cambria Math" w:hAnsi="Cambria Math" w:cs="Times New Roman"/>
                        <w:highlight w:val="none"/>
                      </w:rPr>
                    </m:ctrlPr>
                  </m:sSubSupPr>
                  <m:e>
                    <m:r>
                      <m:rPr>
                        <m:sty m:val="p"/>
                      </m:rPr>
                      <w:rPr>
                        <w:rFonts w:hint="default" w:ascii="Cambria Math" w:hAnsi="Cambria Math" w:cs="Times New Roman"/>
                        <w:highlight w:val="none"/>
                        <w:lang w:val="en-US" w:eastAsia="zh-CN"/>
                      </w:rPr>
                      <m:t>r</m:t>
                    </m:r>
                    <m:ctrlPr>
                      <w:rPr>
                        <w:rFonts w:hint="default" w:ascii="Cambria Math" w:hAnsi="Cambria Math" w:cs="Times New Roman"/>
                        <w:highlight w:val="none"/>
                      </w:rPr>
                    </m:ctrlPr>
                  </m:e>
                  <m:sub>
                    <m:r>
                      <m:rPr>
                        <m:sty m:val="p"/>
                      </m:rPr>
                      <w:rPr>
                        <w:rFonts w:hint="default" w:ascii="Cambria Math" w:hAnsi="Cambria Math" w:cs="Times New Roman"/>
                        <w:highlight w:val="none"/>
                        <w:lang w:val="en-US" w:eastAsia="zh-CN"/>
                      </w:rPr>
                      <m:t>ij</m:t>
                    </m:r>
                    <m:ctrlPr>
                      <w:rPr>
                        <w:rFonts w:hint="default" w:ascii="Cambria Math" w:hAnsi="Cambria Math" w:cs="Times New Roman"/>
                        <w:highlight w:val="none"/>
                      </w:rPr>
                    </m:ctrlPr>
                  </m:sub>
                  <m:sup>
                    <m:r>
                      <m:rPr>
                        <m:sty m:val="p"/>
                      </m:rPr>
                      <w:rPr>
                        <w:rFonts w:hint="default" w:ascii="Cambria Math" w:hAnsi="Cambria Math" w:cs="Times New Roman"/>
                        <w:highlight w:val="none"/>
                        <w:lang w:val="en-US" w:eastAsia="zh-CN"/>
                      </w:rPr>
                      <m:t>2</m:t>
                    </m:r>
                    <m:ctrlPr>
                      <w:rPr>
                        <w:rFonts w:hint="default" w:ascii="Cambria Math" w:hAnsi="Cambria Math" w:cs="Times New Roman"/>
                        <w:highlight w:val="none"/>
                        <w:lang w:val="en-US" w:eastAsia="zh-CN"/>
                      </w:rPr>
                    </m:ctrlPr>
                  </m:sup>
                </m:sSubSup>
              </m:oMath>
            </m:oMathPara>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1</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0.7056</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0.6724</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0.6889</w:t>
            </w:r>
          </w:p>
        </w:tc>
        <w:tc>
          <w:tcPr>
            <w:tcW w:w="714" w:type="pct"/>
            <w:tcBorders>
              <w:tl2br w:val="nil"/>
              <w:tr2bl w:val="nil"/>
            </w:tcBorders>
            <w:shd w:val="clear" w:color="auto" w:fill="auto"/>
            <w:tcMar>
              <w:top w:w="15" w:type="dxa"/>
              <w:left w:w="15" w:type="dxa"/>
              <w:right w:w="15" w:type="dxa"/>
            </w:tcMar>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0.6889</w:t>
            </w:r>
          </w:p>
        </w:tc>
      </w:tr>
    </w:tbl>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营养状态指数计算公式为：</w:t>
      </w:r>
    </w:p>
    <w:p>
      <w:pPr>
        <w:bidi w:val="0"/>
        <w:rPr>
          <w:rFonts w:hint="default" w:ascii="Times New Roman" w:hAnsi="Times New Roman" w:cs="Times New Roman"/>
          <w:highlight w:val="none"/>
        </w:rPr>
      </w:pPr>
      <w:r>
        <w:rPr>
          <w:rFonts w:hint="default" w:ascii="Times New Roman" w:hAnsi="Times New Roman" w:cs="Times New Roman"/>
          <w:highlight w:val="none"/>
        </w:rPr>
        <w:t>TLI（chl）=10（2.5+1.086lnchl）</w:t>
      </w:r>
    </w:p>
    <w:p>
      <w:pPr>
        <w:bidi w:val="0"/>
        <w:rPr>
          <w:rFonts w:hint="default" w:ascii="Times New Roman" w:hAnsi="Times New Roman" w:cs="Times New Roman"/>
          <w:highlight w:val="none"/>
        </w:rPr>
      </w:pPr>
      <w:r>
        <w:rPr>
          <w:rFonts w:hint="default" w:ascii="Times New Roman" w:hAnsi="Times New Roman" w:cs="Times New Roman"/>
          <w:highlight w:val="none"/>
        </w:rPr>
        <w:t>TLI（TP）=10（9.436+1.624lnTP）</w:t>
      </w:r>
    </w:p>
    <w:p>
      <w:pPr>
        <w:bidi w:val="0"/>
        <w:rPr>
          <w:rFonts w:hint="default" w:ascii="Times New Roman" w:hAnsi="Times New Roman" w:cs="Times New Roman"/>
          <w:highlight w:val="none"/>
        </w:rPr>
      </w:pPr>
      <w:r>
        <w:rPr>
          <w:rFonts w:hint="default" w:ascii="Times New Roman" w:hAnsi="Times New Roman" w:cs="Times New Roman"/>
          <w:highlight w:val="none"/>
        </w:rPr>
        <w:t>TLI（TN）=10（5.453+1.694lnTN）</w:t>
      </w:r>
    </w:p>
    <w:p>
      <w:pPr>
        <w:bidi w:val="0"/>
        <w:rPr>
          <w:rFonts w:hint="default" w:ascii="Times New Roman" w:hAnsi="Times New Roman" w:cs="Times New Roman"/>
          <w:highlight w:val="none"/>
        </w:rPr>
      </w:pPr>
      <w:r>
        <w:rPr>
          <w:rFonts w:hint="default" w:ascii="Times New Roman" w:hAnsi="Times New Roman" w:cs="Times New Roman"/>
          <w:highlight w:val="none"/>
        </w:rPr>
        <w:t>TLI（SD）=10（5.118-1.94lnSD</w:t>
      </w:r>
      <w:r>
        <w:rPr>
          <w:rFonts w:hint="default" w:ascii="Times New Roman" w:hAnsi="Times New Roman" w:cs="Times New Roman"/>
          <w:highlight w:val="none"/>
        </w:rPr>
        <w:t>）</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TLI（COD</w:t>
      </w:r>
      <w:r>
        <w:rPr>
          <w:rFonts w:hint="default" w:ascii="Times New Roman" w:hAnsi="Times New Roman" w:cs="Times New Roman"/>
          <w:highlight w:val="none"/>
          <w:vertAlign w:val="subscript"/>
        </w:rPr>
        <w:t>Mn</w:t>
      </w:r>
      <w:r>
        <w:rPr>
          <w:rFonts w:hint="default" w:ascii="Times New Roman" w:hAnsi="Times New Roman" w:cs="Times New Roman"/>
          <w:highlight w:val="none"/>
        </w:rPr>
        <w:t>）=10（0.109+2.661lnCOD）</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式中：叶绿素a chl单位为mg/</w:t>
      </w:r>
      <w:r>
        <w:rPr>
          <w:rFonts w:hint="default" w:ascii="Times New Roman" w:hAnsi="Times New Roman" w:cs="Times New Roman"/>
          <w:highlight w:val="none"/>
          <w:lang w:eastAsia="zh-CN"/>
        </w:rPr>
        <w:t>m³</w:t>
      </w:r>
      <w:r>
        <w:rPr>
          <w:rFonts w:hint="default" w:ascii="Times New Roman" w:hAnsi="Times New Roman" w:cs="Times New Roman"/>
          <w:highlight w:val="none"/>
        </w:rPr>
        <w:t>，透明度SD单位为m；其它指标单位均为mg/L。</w:t>
      </w:r>
    </w:p>
    <w:p>
      <w:pPr>
        <w:tabs>
          <w:tab w:val="left" w:pos="0"/>
        </w:tabs>
        <w:bidi w:val="0"/>
        <w:rPr>
          <w:rFonts w:hint="default" w:ascii="Times New Roman" w:hAnsi="Times New Roman" w:cs="Times New Roman"/>
          <w:sz w:val="24"/>
          <w:szCs w:val="24"/>
          <w:highlight w:val="none"/>
        </w:rPr>
      </w:pPr>
      <w:r>
        <w:rPr>
          <w:rFonts w:hint="default" w:ascii="Times New Roman" w:hAnsi="Times New Roman" w:cs="Times New Roman"/>
          <w:highlight w:val="none"/>
        </w:rPr>
        <w:t>湖泊（水库）</w:t>
      </w:r>
      <w:r>
        <w:rPr>
          <w:rFonts w:hint="default" w:ascii="Times New Roman" w:hAnsi="Times New Roman" w:cs="Times New Roman"/>
          <w:sz w:val="24"/>
          <w:szCs w:val="24"/>
          <w:highlight w:val="none"/>
        </w:rPr>
        <w:t>营养状态分级：</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采用0～100的一系列连续数字对湖泊（水库）营养状态进行分级：</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TLI（∑）＜30</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贫营养（Oligotropher）</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30≤TLI（∑）≤50</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中营养（Mesotropher）</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TLI（∑）&gt;50</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富营养 (Eutropher)</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50＜TLI（∑）≤60</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轻度富营养(light eutropher)</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60＜TLI（∑）≤70</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中度富营养(Middle eutropher)</w:t>
      </w:r>
    </w:p>
    <w:p>
      <w:pPr>
        <w:tabs>
          <w:tab w:val="left" w:pos="0"/>
        </w:tabs>
        <w:bidi w:val="0"/>
        <w:rPr>
          <w:rFonts w:hint="default" w:ascii="Times New Roman" w:hAnsi="Times New Roman" w:cs="Times New Roman"/>
          <w:kern w:val="0"/>
          <w:sz w:val="24"/>
          <w:szCs w:val="24"/>
          <w:highlight w:val="none"/>
        </w:rPr>
      </w:pPr>
      <w:r>
        <w:rPr>
          <w:rFonts w:hint="default" w:ascii="Times New Roman" w:hAnsi="Times New Roman" w:cs="Times New Roman"/>
          <w:kern w:val="0"/>
          <w:sz w:val="24"/>
          <w:szCs w:val="24"/>
          <w:highlight w:val="none"/>
        </w:rPr>
        <w:t xml:space="preserve">TLI（∑）&gt;70 </w:t>
      </w:r>
      <w:r>
        <w:rPr>
          <w:rFonts w:hint="default" w:ascii="Times New Roman" w:hAnsi="Times New Roman" w:cs="Times New Roman"/>
          <w:kern w:val="0"/>
          <w:sz w:val="24"/>
          <w:szCs w:val="24"/>
          <w:highlight w:val="none"/>
          <w:lang w:val="en-US" w:eastAsia="zh-CN"/>
        </w:rPr>
        <w:t xml:space="preserve">       </w:t>
      </w:r>
      <w:r>
        <w:rPr>
          <w:rFonts w:hint="default" w:ascii="Times New Roman" w:hAnsi="Times New Roman" w:cs="Times New Roman"/>
          <w:kern w:val="0"/>
          <w:sz w:val="24"/>
          <w:szCs w:val="24"/>
          <w:highlight w:val="none"/>
        </w:rPr>
        <w:t>重度富营养(Hyper eutropher)</w:t>
      </w:r>
    </w:p>
    <w:p>
      <w:pPr>
        <w:widowControl w:val="0"/>
        <w:adjustRightInd/>
        <w:snapToGrid/>
        <w:spacing w:before="0" w:beforeAutospacing="0" w:after="0" w:afterAutospacing="0" w:line="360" w:lineRule="auto"/>
        <w:ind w:firstLine="480" w:firstLineChars="200"/>
        <w:jc w:val="both"/>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（5）水质监测结果及评价</w:t>
      </w:r>
    </w:p>
    <w:p>
      <w:pPr>
        <w:widowControl w:val="0"/>
        <w:adjustRightInd/>
        <w:snapToGrid/>
        <w:spacing w:before="0" w:beforeAutospacing="0" w:after="0" w:afterAutospacing="0" w:line="360" w:lineRule="auto"/>
        <w:ind w:firstLine="480" w:firstLineChars="200"/>
        <w:jc w:val="both"/>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监测结果详见</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_Ref5104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表3.4-7</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和</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_Ref18967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b/>
          <w:highlight w:val="none"/>
        </w:rPr>
        <w:t>错误！未定义书签。</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w:t>
      </w:r>
    </w:p>
    <w:p>
      <w:pP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br w:type="page"/>
      </w:r>
    </w:p>
    <w:p>
      <w:pPr>
        <w:pStyle w:val="21"/>
        <w:bidi w:val="0"/>
        <w:rPr>
          <w:rFonts w:hint="default" w:ascii="Times New Roman" w:hAnsi="Times New Roman" w:cs="Times New Roman"/>
          <w:highlight w:val="none"/>
          <w:lang w:val="en-US" w:eastAsia="zh-CN"/>
        </w:rPr>
      </w:pPr>
      <w:r>
        <w:rPr>
          <w:rStyle w:val="32"/>
          <w:rFonts w:hint="default" w:ascii="Times New Roman" w:hAnsi="Times New Roman" w:cs="Times New Roman"/>
          <w:b/>
          <w:highlight w:val="none"/>
          <w:lang w:val="en-US" w:eastAsia="zh-CN"/>
        </w:rPr>
        <w:t>水源</w:t>
      </w:r>
      <w:r>
        <w:rPr>
          <w:rFonts w:hint="default" w:ascii="Times New Roman" w:hAnsi="Times New Roman" w:cs="Times New Roman"/>
          <w:highlight w:val="none"/>
        </w:rPr>
        <w:t>监测结果一览表（II类水质）</w:t>
      </w:r>
    </w:p>
    <w:tbl>
      <w:tblPr>
        <w:tblStyle w:val="1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50"/>
        <w:gridCol w:w="1092"/>
        <w:gridCol w:w="1468"/>
        <w:gridCol w:w="606"/>
        <w:gridCol w:w="1632"/>
        <w:gridCol w:w="3257"/>
        <w:gridCol w:w="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27"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监测时间</w:t>
            </w:r>
          </w:p>
        </w:tc>
        <w:tc>
          <w:tcPr>
            <w:tcW w:w="606" w:type="pct"/>
            <w:vMerge w:val="restart"/>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评价因子</w:t>
            </w:r>
          </w:p>
        </w:tc>
        <w:tc>
          <w:tcPr>
            <w:tcW w:w="814" w:type="pct"/>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监测值</w:t>
            </w:r>
          </w:p>
        </w:tc>
        <w:tc>
          <w:tcPr>
            <w:tcW w:w="336" w:type="pct"/>
            <w:vMerge w:val="restart"/>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单位</w:t>
            </w:r>
          </w:p>
        </w:tc>
        <w:tc>
          <w:tcPr>
            <w:tcW w:w="905"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w:t>
            </w:r>
          </w:p>
        </w:tc>
        <w:tc>
          <w:tcPr>
            <w:tcW w:w="1806" w:type="pct"/>
            <w:vMerge w:val="restar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标准值</w:t>
            </w:r>
          </w:p>
        </w:tc>
        <w:tc>
          <w:tcPr>
            <w:tcW w:w="3" w:type="pct"/>
            <w:vMerge w:val="restar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527" w:type="pct"/>
            <w:vMerge w:val="continue"/>
            <w:vAlign w:val="center"/>
          </w:tcPr>
          <w:p>
            <w:pPr>
              <w:pStyle w:val="19"/>
              <w:bidi w:val="0"/>
              <w:rPr>
                <w:rFonts w:hint="default" w:ascii="Times New Roman" w:hAnsi="Times New Roman" w:cs="Times New Roman"/>
                <w:b w:val="0"/>
                <w:bCs/>
                <w:highlight w:val="none"/>
              </w:rPr>
            </w:pPr>
          </w:p>
        </w:tc>
        <w:tc>
          <w:tcPr>
            <w:tcW w:w="606" w:type="pct"/>
            <w:vMerge w:val="continue"/>
            <w:vAlign w:val="center"/>
          </w:tcPr>
          <w:p>
            <w:pPr>
              <w:pStyle w:val="19"/>
              <w:bidi w:val="0"/>
              <w:rPr>
                <w:rFonts w:hint="default" w:ascii="Times New Roman" w:hAnsi="Times New Roman" w:cs="Times New Roman"/>
                <w:b w:val="0"/>
                <w:bCs/>
                <w:highlight w:val="none"/>
              </w:rPr>
            </w:pPr>
          </w:p>
        </w:tc>
        <w:tc>
          <w:tcPr>
            <w:tcW w:w="814"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W1上安水库</w:t>
            </w:r>
          </w:p>
        </w:tc>
        <w:tc>
          <w:tcPr>
            <w:tcW w:w="336"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05"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3" w:type="pct"/>
            <w:vMerge w:val="continue"/>
            <w:tcBorders>
              <w:left w:val="nil"/>
            </w:tcBorders>
            <w:vAlign w:val="center"/>
          </w:tcPr>
          <w:p>
            <w:pPr>
              <w:pStyle w:val="19"/>
              <w:bidi w:val="0"/>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2019.09.04</w:t>
            </w: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水温</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22.5</w:t>
            </w:r>
          </w:p>
        </w:tc>
        <w:tc>
          <w:tcPr>
            <w:tcW w:w="336" w:type="pct"/>
            <w:vAlign w:val="center"/>
          </w:tcPr>
          <w:p>
            <w:pPr>
              <w:pStyle w:val="19"/>
              <w:bidi w:val="0"/>
              <w:rPr>
                <w:rFonts w:hint="default" w:ascii="Times New Roman" w:hAnsi="Times New Roman" w:eastAsia="宋体" w:cs="Times New Roman"/>
                <w:b w:val="0"/>
                <w:bCs/>
                <w:color w:val="000000" w:themeColor="text1"/>
                <w:highlight w:val="none"/>
                <w:lang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905" w:type="pct"/>
            <w:vMerge w:val="restar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地表水环境质量标准》（GB3838-2002）</w:t>
            </w:r>
          </w:p>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II类水质标准</w:t>
            </w:r>
          </w:p>
        </w:tc>
        <w:tc>
          <w:tcPr>
            <w:tcW w:w="1806" w:type="pct"/>
            <w:tcBorders>
              <w:right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周平均最大温升≤1</w:t>
            </w:r>
          </w:p>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周平均最大温降≤2</w:t>
            </w:r>
          </w:p>
        </w:tc>
        <w:tc>
          <w:tcPr>
            <w:tcW w:w="3" w:type="pct"/>
            <w:tcBorders>
              <w:left w:val="nil"/>
            </w:tcBorders>
            <w:vAlign w:val="center"/>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pH值</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7.10</w:t>
            </w:r>
          </w:p>
        </w:tc>
        <w:tc>
          <w:tcPr>
            <w:tcW w:w="336"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6~9</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溶解氧</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7.70</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≥6</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高锰酸盐指数</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0.72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4</w:t>
            </w:r>
          </w:p>
        </w:tc>
        <w:tc>
          <w:tcPr>
            <w:tcW w:w="3" w:type="pct"/>
            <w:tcBorders>
              <w:left w:val="nil"/>
            </w:tcBorders>
            <w:vAlign w:val="center"/>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eastAsia="zh-CN"/>
              </w:rPr>
            </w:pPr>
            <w:r>
              <w:rPr>
                <w:rFonts w:hint="default" w:ascii="Times New Roman" w:hAnsi="Times New Roman" w:cs="Times New Roman"/>
                <w:b w:val="0"/>
                <w:bCs/>
                <w:highlight w:val="none"/>
              </w:rPr>
              <w:t>化学需氧量</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&lt;12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五日生化需氧量</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top"/>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top"/>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3</w:t>
            </w:r>
          </w:p>
        </w:tc>
        <w:tc>
          <w:tcPr>
            <w:tcW w:w="3" w:type="pct"/>
            <w:tcBorders>
              <w:left w:val="nil"/>
            </w:tcBorders>
            <w:vAlign w:val="top"/>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氨氮</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0.17</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0.5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总磷</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0.026</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总氮</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0.99</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0.5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铜</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&lt;0.007</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1.0</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锌</w:t>
            </w:r>
          </w:p>
        </w:tc>
        <w:tc>
          <w:tcPr>
            <w:tcW w:w="814"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&lt;0.001</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氟化物</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0.096</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highlight w:val="none"/>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硒</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&lt;0.00011</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0.01</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highlight w:val="none"/>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砷</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&lt;0.00010</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汞</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&lt;0.000035</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kern w:val="0"/>
                <w:sz w:val="21"/>
                <w:szCs w:val="22"/>
                <w:highlight w:val="none"/>
                <w:lang w:val="en-US" w:eastAsia="zh-CN" w:bidi="ar-SA"/>
              </w:rPr>
              <w:t>镉</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&lt;0.003</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铬</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&lt;0.004</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0.01</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铅</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&lt;0.008</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氰化物</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挥发酚</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0.002</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石油类</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&lt;0.04</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0.05</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阴离子表面活性剂</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0.03</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0.2</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硫化物</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&lt;0.02</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0.1</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粪大肠菌群</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2600</w:t>
            </w:r>
          </w:p>
        </w:tc>
        <w:tc>
          <w:tcPr>
            <w:tcW w:w="336"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个</w:t>
            </w:r>
            <w:r>
              <w:rPr>
                <w:rFonts w:hint="default" w:ascii="Times New Roman" w:hAnsi="Times New Roman" w:cs="Times New Roman"/>
                <w:b w:val="0"/>
                <w:bCs/>
                <w:color w:val="000000" w:themeColor="text1"/>
                <w:highlight w:val="none"/>
                <w14:textFill>
                  <w14:solidFill>
                    <w14:schemeClr w14:val="tx1"/>
                  </w14:solidFill>
                </w14:textFill>
              </w:rPr>
              <w:t>/L</w:t>
            </w:r>
          </w:p>
        </w:tc>
        <w:tc>
          <w:tcPr>
            <w:tcW w:w="905"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2000</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硫酸盐</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1.82</w:t>
            </w:r>
          </w:p>
        </w:tc>
        <w:tc>
          <w:tcPr>
            <w:tcW w:w="336" w:type="pct"/>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905" w:type="pct"/>
            <w:vMerge w:val="restar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《地表水环境质量标准》（GB3838-2002）</w:t>
            </w:r>
          </w:p>
          <w:p>
            <w:pPr>
              <w:pStyle w:val="19"/>
              <w:bidi w:val="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饮用水源地补充标准</w:t>
            </w: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250</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氯化物</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2.99</w:t>
            </w:r>
          </w:p>
        </w:tc>
        <w:tc>
          <w:tcPr>
            <w:tcW w:w="336" w:type="pct"/>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905" w:type="pct"/>
            <w:vMerge w:val="continue"/>
            <w:vAlign w:val="center"/>
          </w:tcPr>
          <w:p>
            <w:pPr>
              <w:pStyle w:val="19"/>
              <w:bidi w:val="0"/>
              <w:rPr>
                <w:rFonts w:hint="default" w:ascii="Times New Roman" w:hAnsi="Times New Roman" w:cs="Times New Roman"/>
                <w:b w:val="0"/>
                <w:bCs/>
                <w:highlight w:val="none"/>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250</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硝酸盐</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0.899</w:t>
            </w:r>
          </w:p>
        </w:tc>
        <w:tc>
          <w:tcPr>
            <w:tcW w:w="336" w:type="pct"/>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905" w:type="pct"/>
            <w:vMerge w:val="continue"/>
            <w:vAlign w:val="center"/>
          </w:tcPr>
          <w:p>
            <w:pPr>
              <w:pStyle w:val="19"/>
              <w:bidi w:val="0"/>
              <w:rPr>
                <w:rFonts w:hint="default" w:ascii="Times New Roman" w:hAnsi="Times New Roman" w:cs="Times New Roman"/>
                <w:b w:val="0"/>
                <w:bCs/>
                <w:highlight w:val="none"/>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铁</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0.0298</w:t>
            </w:r>
          </w:p>
        </w:tc>
        <w:tc>
          <w:tcPr>
            <w:tcW w:w="336" w:type="pct"/>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905" w:type="pct"/>
            <w:vMerge w:val="continue"/>
            <w:vAlign w:val="center"/>
          </w:tcPr>
          <w:p>
            <w:pPr>
              <w:pStyle w:val="19"/>
              <w:bidi w:val="0"/>
              <w:rPr>
                <w:rFonts w:hint="default" w:ascii="Times New Roman" w:hAnsi="Times New Roman" w:cs="Times New Roman"/>
                <w:b w:val="0"/>
                <w:bCs/>
                <w:highlight w:val="none"/>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0.3</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锰</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&lt;0.0004</w:t>
            </w:r>
          </w:p>
        </w:tc>
        <w:tc>
          <w:tcPr>
            <w:tcW w:w="336" w:type="pct"/>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905" w:type="pct"/>
            <w:vMerge w:val="continue"/>
            <w:vAlign w:val="center"/>
          </w:tcPr>
          <w:p>
            <w:pPr>
              <w:pStyle w:val="19"/>
              <w:bidi w:val="0"/>
              <w:rPr>
                <w:rFonts w:hint="default" w:ascii="Times New Roman" w:hAnsi="Times New Roman" w:cs="Times New Roman"/>
                <w:b w:val="0"/>
                <w:bCs/>
                <w:highlight w:val="none"/>
              </w:rPr>
            </w:pPr>
          </w:p>
        </w:tc>
        <w:tc>
          <w:tcPr>
            <w:tcW w:w="1806" w:type="pct"/>
            <w:tcBorders>
              <w:right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0.1</w:t>
            </w:r>
          </w:p>
        </w:tc>
        <w:tc>
          <w:tcPr>
            <w:tcW w:w="3" w:type="pct"/>
            <w:tcBorders>
              <w:left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restar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2021.04.16</w:t>
            </w:r>
          </w:p>
        </w:tc>
        <w:tc>
          <w:tcPr>
            <w:tcW w:w="606"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814"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21</w:t>
            </w:r>
          </w:p>
        </w:tc>
        <w:tc>
          <w:tcPr>
            <w:tcW w:w="336"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905" w:type="pct"/>
            <w:vMerge w:val="restar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1806" w:type="pct"/>
            <w:vMerge w:val="restart"/>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814"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w:t>
            </w:r>
          </w:p>
        </w:tc>
        <w:tc>
          <w:tcPr>
            <w:tcW w:w="336"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restar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2021.04.17</w:t>
            </w:r>
          </w:p>
        </w:tc>
        <w:tc>
          <w:tcPr>
            <w:tcW w:w="606"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23</w:t>
            </w:r>
          </w:p>
        </w:tc>
        <w:tc>
          <w:tcPr>
            <w:tcW w:w="336"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1.66</w:t>
            </w:r>
          </w:p>
        </w:tc>
        <w:tc>
          <w:tcPr>
            <w:tcW w:w="336"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restar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2021.04.18</w:t>
            </w:r>
          </w:p>
        </w:tc>
        <w:tc>
          <w:tcPr>
            <w:tcW w:w="606"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25</w:t>
            </w:r>
          </w:p>
        </w:tc>
        <w:tc>
          <w:tcPr>
            <w:tcW w:w="336"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2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606"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814" w:type="pct"/>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1.65</w:t>
            </w:r>
          </w:p>
        </w:tc>
        <w:tc>
          <w:tcPr>
            <w:tcW w:w="336"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w:t>
            </w:r>
          </w:p>
        </w:tc>
        <w:tc>
          <w:tcPr>
            <w:tcW w:w="905"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806"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bl>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pPr>
        <w:pStyle w:val="21"/>
        <w:bidi w:val="0"/>
        <w:rPr>
          <w:rFonts w:hint="default" w:ascii="Times New Roman" w:hAnsi="Times New Roman" w:cs="Times New Roman"/>
          <w:highlight w:val="none"/>
          <w:lang w:val="en-US" w:eastAsia="zh-CN"/>
        </w:rPr>
      </w:pPr>
      <w:bookmarkStart w:id="104" w:name="_Ref5104"/>
      <w:r>
        <w:rPr>
          <w:rStyle w:val="32"/>
          <w:rFonts w:hint="default" w:ascii="Times New Roman" w:hAnsi="Times New Roman" w:cs="Times New Roman"/>
          <w:b/>
          <w:highlight w:val="none"/>
          <w:lang w:val="en-US" w:eastAsia="zh-CN"/>
        </w:rPr>
        <w:t>水源</w:t>
      </w:r>
      <w:r>
        <w:rPr>
          <w:rStyle w:val="32"/>
          <w:rFonts w:hint="default" w:ascii="Times New Roman" w:hAnsi="Times New Roman" w:cs="Times New Roman"/>
          <w:b/>
          <w:highlight w:val="none"/>
          <w:lang w:val="en-US" w:eastAsia="zh-CN"/>
        </w:rPr>
        <w:t>监测结果一览表（III类水质）</w:t>
      </w:r>
      <w:bookmarkEnd w:id="104"/>
    </w:p>
    <w:tbl>
      <w:tblPr>
        <w:tblStyle w:val="1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59"/>
        <w:gridCol w:w="1751"/>
        <w:gridCol w:w="1284"/>
        <w:gridCol w:w="1221"/>
        <w:gridCol w:w="606"/>
        <w:gridCol w:w="2110"/>
        <w:gridCol w:w="108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532" w:type="pct"/>
            <w:vMerge w:val="restar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监测时间</w:t>
            </w:r>
          </w:p>
        </w:tc>
        <w:tc>
          <w:tcPr>
            <w:tcW w:w="971" w:type="pct"/>
            <w:vMerge w:val="restart"/>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评价因子</w:t>
            </w:r>
          </w:p>
        </w:tc>
        <w:tc>
          <w:tcPr>
            <w:tcW w:w="1389" w:type="pct"/>
            <w:gridSpan w:val="2"/>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监测值</w:t>
            </w:r>
          </w:p>
        </w:tc>
        <w:tc>
          <w:tcPr>
            <w:tcW w:w="336" w:type="pct"/>
            <w:vMerge w:val="restart"/>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单位</w:t>
            </w:r>
          </w:p>
        </w:tc>
        <w:tc>
          <w:tcPr>
            <w:tcW w:w="1170" w:type="pct"/>
            <w:vMerge w:val="restar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w:t>
            </w:r>
          </w:p>
        </w:tc>
        <w:tc>
          <w:tcPr>
            <w:tcW w:w="599"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highlight w:val="none"/>
              </w:rPr>
            </w:pPr>
          </w:p>
        </w:tc>
        <w:tc>
          <w:tcPr>
            <w:tcW w:w="971" w:type="pct"/>
            <w:vMerge w:val="continue"/>
            <w:tcBorders>
              <w:tl2br w:val="nil"/>
              <w:tr2bl w:val="nil"/>
            </w:tcBorders>
            <w:vAlign w:val="center"/>
          </w:tcPr>
          <w:p>
            <w:pPr>
              <w:pStyle w:val="19"/>
              <w:bidi w:val="0"/>
              <w:rPr>
                <w:rFonts w:hint="default" w:ascii="Times New Roman" w:hAnsi="Times New Roman" w:cs="Times New Roman"/>
                <w:b w:val="0"/>
                <w:bCs/>
                <w:highlight w:val="none"/>
              </w:rPr>
            </w:pP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W2</w:t>
            </w:r>
            <w:r>
              <w:rPr>
                <w:rFonts w:hint="default" w:ascii="Times New Roman" w:hAnsi="Times New Roman" w:cs="Times New Roman"/>
                <w:b w:val="0"/>
                <w:bCs/>
                <w:color w:val="000000" w:themeColor="text1"/>
                <w:highlight w:val="none"/>
                <w:lang w:eastAsia="zh-CN"/>
                <w14:textFill>
                  <w14:solidFill>
                    <w14:schemeClr w14:val="tx1"/>
                  </w14:solidFill>
                </w14:textFill>
              </w:rPr>
              <w:t>天竹水库</w:t>
            </w:r>
          </w:p>
        </w:tc>
        <w:tc>
          <w:tcPr>
            <w:tcW w:w="677"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W3</w:t>
            </w:r>
            <w:r>
              <w:rPr>
                <w:rFonts w:hint="default" w:ascii="Times New Roman" w:hAnsi="Times New Roman" w:cs="Times New Roman"/>
                <w:b w:val="0"/>
                <w:bCs/>
                <w:color w:val="000000" w:themeColor="text1"/>
                <w:highlight w:val="none"/>
                <w:lang w:eastAsia="zh-CN"/>
                <w14:textFill>
                  <w14:solidFill>
                    <w14:schemeClr w14:val="tx1"/>
                  </w14:solidFill>
                </w14:textFill>
              </w:rPr>
              <w:t>龙井溪</w:t>
            </w:r>
          </w:p>
        </w:tc>
        <w:tc>
          <w:tcPr>
            <w:tcW w:w="336"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1170"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99" w:type="pct"/>
            <w:vMerge w:val="continue"/>
            <w:tcBorders>
              <w:tl2br w:val="nil"/>
              <w:tr2bl w:val="nil"/>
            </w:tcBorders>
            <w:vAlign w:val="center"/>
          </w:tcPr>
          <w:p>
            <w:pPr>
              <w:pStyle w:val="19"/>
              <w:bidi w:val="0"/>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restar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2019.09.04</w:t>
            </w: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水温</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23.4</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23.0</w:t>
            </w:r>
          </w:p>
        </w:tc>
        <w:tc>
          <w:tcPr>
            <w:tcW w:w="336"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1170" w:type="pct"/>
            <w:vMerge w:val="restar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地表水环境质量标准》（GB3838-2002）</w:t>
            </w:r>
          </w:p>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II类水质标准</w:t>
            </w:r>
          </w:p>
        </w:tc>
        <w:tc>
          <w:tcPr>
            <w:tcW w:w="599"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周平均最大温升≤1</w:t>
            </w:r>
          </w:p>
          <w:p>
            <w:pPr>
              <w:pStyle w:val="19"/>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b w:val="0"/>
                <w:bCs/>
                <w:highlight w:val="none"/>
                <w:lang w:val="en-US" w:eastAsia="zh-CN"/>
              </w:rPr>
              <w:t>周平均最大温降≤2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pH值</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7.58</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7.52</w:t>
            </w:r>
          </w:p>
        </w:tc>
        <w:tc>
          <w:tcPr>
            <w:tcW w:w="336"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6~9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溶解氧</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8.20</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7.78</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高锰酸盐指数</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0.72</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0.80</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b w:val="0"/>
                <w:bCs/>
                <w:highlight w:val="none"/>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eastAsia="zh-CN"/>
              </w:rPr>
            </w:pPr>
            <w:r>
              <w:rPr>
                <w:rFonts w:hint="default" w:ascii="Times New Roman" w:hAnsi="Times New Roman" w:cs="Times New Roman"/>
                <w:b w:val="0"/>
                <w:bCs/>
                <w:highlight w:val="none"/>
              </w:rPr>
              <w:t>化学需氧量</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&lt;12</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&lt;12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五日生化需氧量</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&lt;2</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top"/>
          </w:tcPr>
          <w:p>
            <w:pPr>
              <w:pStyle w:val="19"/>
              <w:bidi w:val="0"/>
              <w:rPr>
                <w:rFonts w:hint="default" w:ascii="Times New Roman" w:hAnsi="Times New Roman" w:cs="Times New Roman"/>
                <w:b w:val="0"/>
                <w:bCs/>
                <w:highlight w:val="none"/>
                <w:lang w:val="en-US" w:eastAsia="zh-CN"/>
              </w:rPr>
            </w:pPr>
          </w:p>
        </w:tc>
        <w:tc>
          <w:tcPr>
            <w:tcW w:w="599" w:type="pct"/>
            <w:tcBorders>
              <w:tl2br w:val="nil"/>
              <w:tr2bl w:val="nil"/>
            </w:tcBorders>
            <w:vAlign w:val="top"/>
          </w:tcPr>
          <w:p>
            <w:pPr>
              <w:pStyle w:val="19"/>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b w:val="0"/>
                <w:bCs/>
                <w:highlight w:val="none"/>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氨氮</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&lt;0.03</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&lt;0.03</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总磷</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0.022</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总氮</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0.53</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0.48</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铜</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&lt;0.007</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&lt;0.007</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锌</w:t>
            </w:r>
          </w:p>
        </w:tc>
        <w:tc>
          <w:tcPr>
            <w:tcW w:w="712" w:type="pct"/>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&lt;0.001</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&lt;0.001</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氟化物</w:t>
            </w:r>
          </w:p>
        </w:tc>
        <w:tc>
          <w:tcPr>
            <w:tcW w:w="712"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0.105</w:t>
            </w:r>
          </w:p>
        </w:tc>
        <w:tc>
          <w:tcPr>
            <w:tcW w:w="677" w:type="pc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0.086</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硒</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&lt;0.00011</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&lt;0.00011</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砷</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&lt;0.00010</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&lt;0.00010</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汞</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&lt;0.000035</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&lt;0.000035</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kern w:val="0"/>
                <w:sz w:val="21"/>
                <w:szCs w:val="22"/>
                <w:highlight w:val="none"/>
                <w:lang w:val="en-US" w:eastAsia="zh-CN" w:bidi="ar-SA"/>
              </w:rPr>
              <w:t>镉</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&lt;0.003</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&lt;0.003</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铬</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&lt;0.004</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&lt;0.004</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ind w:left="0" w:leftChars="0" w:firstLine="0" w:firstLineChars="0"/>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rPr>
              <w:t>铅</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&lt;0.008</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&lt;0.008</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氰化物</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挥发酚</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石油类</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&lt;0.04</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&lt;0.04</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lang w:val="en-US" w:eastAsia="zh-CN"/>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highlight w:val="none"/>
                <w:lang w:val="en-US" w:eastAsia="zh-CN"/>
              </w:rPr>
            </w:pPr>
            <w:r>
              <w:rPr>
                <w:rFonts w:hint="default" w:ascii="Times New Roman" w:hAnsi="Times New Roman" w:cs="Times New Roman"/>
                <w:b w:val="0"/>
                <w:bCs/>
                <w:highlight w:val="none"/>
                <w:lang w:val="en-US" w:eastAsia="zh-CN"/>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阴离子表面活性剂</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&lt;0.03</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&lt;0.03</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硫化物</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&lt;0.02</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&lt;0.02</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粪大肠菌群</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410</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400</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en-US"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个</w:t>
            </w:r>
            <w:r>
              <w:rPr>
                <w:rFonts w:hint="default" w:ascii="Times New Roman" w:hAnsi="Times New Roman" w:cs="Times New Roman"/>
                <w:b w:val="0"/>
                <w:bCs/>
                <w:color w:val="000000" w:themeColor="text1"/>
                <w:highlight w:val="none"/>
                <w14:textFill>
                  <w14:solidFill>
                    <w14:schemeClr w14:val="tx1"/>
                  </w14:solidFill>
                </w14:textFill>
              </w:rPr>
              <w:t>/L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硫酸盐</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0.901</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1.37</w:t>
            </w:r>
          </w:p>
        </w:tc>
        <w:tc>
          <w:tcPr>
            <w:tcW w:w="336"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1170" w:type="pct"/>
            <w:vMerge w:val="restart"/>
            <w:tcBorders>
              <w:tl2br w:val="nil"/>
              <w:tr2bl w:val="nil"/>
            </w:tcBorders>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《地表水环境质量标准》（GB3838-2002）</w:t>
            </w:r>
          </w:p>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饮用水源地补充标准</w:t>
            </w: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氯化物</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1.84</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1.89</w:t>
            </w:r>
          </w:p>
        </w:tc>
        <w:tc>
          <w:tcPr>
            <w:tcW w:w="336"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硝酸盐</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0.480</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0.351</w:t>
            </w:r>
          </w:p>
        </w:tc>
        <w:tc>
          <w:tcPr>
            <w:tcW w:w="336"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铁</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0.0298</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0.0180</w:t>
            </w:r>
          </w:p>
        </w:tc>
        <w:tc>
          <w:tcPr>
            <w:tcW w:w="336"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锰</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&lt;0.0004</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&lt;0.0004</w:t>
            </w:r>
          </w:p>
        </w:tc>
        <w:tc>
          <w:tcPr>
            <w:tcW w:w="336" w:type="pct"/>
            <w:tcBorders>
              <w:tl2br w:val="nil"/>
              <w:tr2bl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rPr>
              <w:t>mg/L</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2"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2021.04.16</w:t>
            </w: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10</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highlight w:val="none"/>
                <w:lang w:val="en-US" w:eastAsia="zh-CN"/>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1170"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599"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1.50</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1.50</w:t>
            </w:r>
          </w:p>
        </w:tc>
        <w:tc>
          <w:tcPr>
            <w:tcW w:w="336"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14:textFill>
                  <w14:solidFill>
                    <w14:schemeClr w14:val="tx1"/>
                  </w14:solidFill>
                </w14:textFill>
              </w:rPr>
              <w:t>m</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2021.04.17</w:t>
            </w: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19</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7</w:t>
            </w:r>
          </w:p>
        </w:tc>
        <w:tc>
          <w:tcPr>
            <w:tcW w:w="336"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1.71</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1.73</w:t>
            </w:r>
          </w:p>
        </w:tc>
        <w:tc>
          <w:tcPr>
            <w:tcW w:w="336"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14:textFill>
                  <w14:solidFill>
                    <w14:schemeClr w14:val="tx1"/>
                  </w14:solidFill>
                </w14:textFill>
              </w:rPr>
              <w:t>m</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restar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2021.04.18</w:t>
            </w: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叶绿素a</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13</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9</w:t>
            </w:r>
          </w:p>
        </w:tc>
        <w:tc>
          <w:tcPr>
            <w:tcW w:w="336" w:type="pct"/>
            <w:tcBorders>
              <w:tl2br w:val="nil"/>
              <w:tr2bl w:val="nil"/>
            </w:tcBorders>
            <w:vAlign w:val="center"/>
          </w:tcPr>
          <w:p>
            <w:pPr>
              <w:pStyle w:val="19"/>
              <w:bidi w:val="0"/>
              <w:ind w:left="0" w:leftChars="0" w:firstLine="0" w:firstLineChars="0"/>
              <w:rPr>
                <w:rFonts w:hint="default" w:ascii="Times New Roman" w:hAnsi="Times New Roman" w:cs="Times New Roman"/>
                <w:b w:val="0"/>
                <w:bCs/>
                <w:highlight w:val="none"/>
              </w:rPr>
            </w:pPr>
            <w:r>
              <w:rPr>
                <w:rFonts w:hint="default" w:ascii="Times New Roman" w:hAnsi="Times New Roman" w:cs="Times New Roman"/>
                <w:b w:val="0"/>
                <w:bCs/>
                <w:color w:val="000000" w:themeColor="text1"/>
                <w:highlight w:val="none"/>
                <w14:textFill>
                  <w14:solidFill>
                    <w14:schemeClr w14:val="tx1"/>
                  </w14:solidFill>
                </w14:textFill>
              </w:rPr>
              <w:t>mg/</w:t>
            </w:r>
            <w:r>
              <w:rPr>
                <w:rFonts w:hint="default" w:ascii="Times New Roman" w:hAnsi="Times New Roman" w:cs="Times New Roman"/>
                <w:b w:val="0"/>
                <w:bCs/>
                <w:color w:val="000000" w:themeColor="text1"/>
                <w:highlight w:val="none"/>
                <w:lang w:val="en-US" w:eastAsia="zh-CN"/>
                <w14:textFill>
                  <w14:solidFill>
                    <w14:schemeClr w14:val="tx1"/>
                  </w14:solidFill>
                </w14:textFill>
              </w:rPr>
              <w:t>m³</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532"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971"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透明度</w:t>
            </w:r>
          </w:p>
        </w:tc>
        <w:tc>
          <w:tcPr>
            <w:tcW w:w="712"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1.70</w:t>
            </w:r>
          </w:p>
        </w:tc>
        <w:tc>
          <w:tcPr>
            <w:tcW w:w="677" w:type="pct"/>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1.68</w:t>
            </w:r>
          </w:p>
        </w:tc>
        <w:tc>
          <w:tcPr>
            <w:tcW w:w="336" w:type="pct"/>
            <w:tcBorders>
              <w:tl2br w:val="nil"/>
              <w:tr2bl w:val="nil"/>
            </w:tcBorders>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p>
        </w:tc>
        <w:tc>
          <w:tcPr>
            <w:tcW w:w="1170"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599" w:type="pct"/>
            <w:vMerge w:val="continue"/>
            <w:tcBorders>
              <w:tl2br w:val="nil"/>
              <w:tr2bl w:val="nil"/>
            </w:tcBorders>
            <w:vAlign w:val="center"/>
          </w:tcPr>
          <w:p>
            <w:pPr>
              <w:pStyle w:val="19"/>
              <w:bidi w:val="0"/>
              <w:ind w:left="0" w:leftChars="0" w:firstLine="0" w:firstLineChars="0"/>
              <w:rPr>
                <w:rFonts w:hint="default" w:ascii="Times New Roman" w:hAnsi="Times New Roman" w:cs="Times New Roman"/>
                <w:color w:val="000000" w:themeColor="text1"/>
                <w:highlight w:val="none"/>
                <w:lang w:val="en-US" w:eastAsia="zh-CN"/>
                <w14:textFill>
                  <w14:solidFill>
                    <w14:schemeClr w14:val="tx1"/>
                  </w14:solidFill>
                </w14:textFill>
              </w:rPr>
            </w:pPr>
          </w:p>
        </w:tc>
      </w:tr>
    </w:tbl>
    <w:p>
      <w:pPr>
        <w:tabs>
          <w:tab w:val="left" w:pos="0"/>
        </w:tabs>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对于</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_Ref5104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表3.4-7</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和</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_Ref18967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b/>
          <w:highlight w:val="none"/>
        </w:rPr>
        <w:t>错误！未定义书签。</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的检测结果，对比各水域的水质标准，运用标准指数法进行评价，评价结果见</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_Ref14795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表3.4-8</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highlight w:val="none"/>
          <w:lang w:eastAsia="zh-CN"/>
        </w:rPr>
        <w:t>。</w:t>
      </w:r>
    </w:p>
    <w:p>
      <w:pPr>
        <w:tabs>
          <w:tab w:val="left" w:pos="0"/>
        </w:tabs>
        <w:bidi w:val="0"/>
        <w:rPr>
          <w:rFonts w:hint="default" w:ascii="Times New Roman" w:hAnsi="Times New Roman" w:cs="Times New Roman"/>
          <w:highlight w:val="none"/>
          <w:lang w:eastAsia="zh-CN"/>
        </w:rPr>
      </w:pPr>
    </w:p>
    <w:p>
      <w:pPr>
        <w:tabs>
          <w:tab w:val="left" w:pos="0"/>
        </w:tabs>
        <w:bidi w:val="0"/>
        <w:rPr>
          <w:rFonts w:hint="default" w:ascii="Times New Roman" w:hAnsi="Times New Roman" w:cs="Times New Roman"/>
          <w:highlight w:val="none"/>
          <w:lang w:eastAsia="zh-CN"/>
        </w:rPr>
      </w:pPr>
    </w:p>
    <w:p>
      <w:pP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p>
    <w:p>
      <w:pPr>
        <w:pStyle w:val="21"/>
        <w:bidi w:val="0"/>
        <w:rPr>
          <w:rFonts w:hint="default" w:ascii="Times New Roman" w:hAnsi="Times New Roman" w:cs="Times New Roman"/>
          <w:highlight w:val="none"/>
          <w:lang w:val="en-US" w:eastAsia="zh-CN"/>
        </w:rPr>
      </w:pPr>
      <w:bookmarkStart w:id="105" w:name="_Ref14795"/>
      <w:r>
        <w:rPr>
          <w:rFonts w:hint="default" w:ascii="Times New Roman" w:hAnsi="Times New Roman" w:cs="Times New Roman"/>
          <w:highlight w:val="none"/>
          <w:lang w:val="en-US" w:eastAsia="zh-CN"/>
        </w:rPr>
        <w:t>引用地表水监测结果评价指数一览表</w:t>
      </w:r>
      <w:bookmarkEnd w:id="105"/>
    </w:p>
    <w:tbl>
      <w:tblPr>
        <w:tblStyle w:val="16"/>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58"/>
        <w:gridCol w:w="1924"/>
        <w:gridCol w:w="1715"/>
        <w:gridCol w:w="1962"/>
        <w:gridCol w:w="155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1030" w:type="pct"/>
            <w:vMerge w:val="restar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监测时间</w:t>
            </w:r>
          </w:p>
        </w:tc>
        <w:tc>
          <w:tcPr>
            <w:tcW w:w="1067" w:type="pct"/>
            <w:vMerge w:val="restar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评价因子</w:t>
            </w:r>
          </w:p>
        </w:tc>
        <w:tc>
          <w:tcPr>
            <w:tcW w:w="2901" w:type="pct"/>
            <w:gridSpan w:val="3"/>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评价结果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W1上安水库</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W2</w:t>
            </w:r>
            <w:r>
              <w:rPr>
                <w:rFonts w:hint="default" w:ascii="Times New Roman" w:hAnsi="Times New Roman" w:cs="Times New Roman"/>
                <w:highlight w:val="none"/>
                <w:lang w:eastAsia="zh-CN"/>
              </w:rPr>
              <w:t>天竹水库</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W3</w:t>
            </w:r>
            <w:r>
              <w:rPr>
                <w:rFonts w:hint="default" w:ascii="Times New Roman" w:hAnsi="Times New Roman" w:cs="Times New Roman"/>
                <w:highlight w:val="none"/>
                <w:lang w:eastAsia="zh-CN"/>
              </w:rPr>
              <w:t>龙井溪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1030" w:type="pct"/>
            <w:vMerge w:val="restar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2019.09.04</w:t>
            </w: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0.290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0.359</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0.123</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0.180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0.120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eastAsia="zh-CN"/>
              </w:rPr>
            </w:pPr>
            <w:r>
              <w:rPr>
                <w:rFonts w:hint="default" w:ascii="Times New Roman" w:hAnsi="Times New Roman" w:cs="Times New Roman"/>
                <w:highlight w:val="none"/>
              </w:rPr>
              <w:t>化学需氧量</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0.667</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0.340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1.040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0.440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1.980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0.530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铜</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rPr>
              <w:t>锌</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氟化物</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0.096</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0.105</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硒</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0.011</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0.011</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砷</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汞</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9"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镉</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铬</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铅</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氰化物</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挥发酚</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&lt;1.000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石油类</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阴离子表面活性剂</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0.150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0.150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硫化物</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0.100</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粪大肠菌群</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1.300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0.041</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硫酸盐</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0.004</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氯化物</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0.012</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0.007</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硝酸盐</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0.090</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0.048</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铁</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0.099</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0.099</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 w:hRule="atLeast"/>
        </w:trPr>
        <w:tc>
          <w:tcPr>
            <w:tcW w:w="1030" w:type="pct"/>
            <w:vMerge w:val="continue"/>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p>
        </w:tc>
        <w:tc>
          <w:tcPr>
            <w:tcW w:w="1067"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锰</w:t>
            </w:r>
          </w:p>
        </w:tc>
        <w:tc>
          <w:tcPr>
            <w:tcW w:w="95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0.004</w:t>
            </w:r>
          </w:p>
        </w:tc>
        <w:tc>
          <w:tcPr>
            <w:tcW w:w="1088"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0.004</w:t>
            </w:r>
          </w:p>
        </w:tc>
        <w:tc>
          <w:tcPr>
            <w:tcW w:w="861" w:type="pct"/>
            <w:vAlign w:val="center"/>
          </w:tcPr>
          <w:p>
            <w:pPr>
              <w:pStyle w:val="19"/>
              <w:bidi w:val="0"/>
              <w:ind w:left="0" w:leftChars="0" w:right="0" w:righ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0.004</w:t>
            </w:r>
          </w:p>
        </w:tc>
      </w:tr>
    </w:tbl>
    <w:p>
      <w:pPr>
        <w:tabs>
          <w:tab w:val="left" w:pos="0"/>
        </w:tabs>
        <w:bidi w:val="0"/>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从</w:t>
      </w:r>
      <w:r>
        <w:rPr>
          <w:rFonts w:hint="default" w:ascii="Times New Roman" w:hAnsi="Times New Roman" w:cs="Times New Roman"/>
          <w:color w:val="000000" w:themeColor="text1"/>
          <w:szCs w:val="24"/>
          <w:highlight w:val="none"/>
          <w:lang w:val="en-US" w:eastAsia="zh-CN"/>
          <w14:textFill>
            <w14:solidFill>
              <w14:schemeClr w14:val="tx1"/>
            </w14:solidFill>
          </w14:textFill>
        </w:rPr>
        <w:t>监测</w:t>
      </w:r>
      <w:r>
        <w:rPr>
          <w:rFonts w:hint="default" w:ascii="Times New Roman" w:hAnsi="Times New Roman" w:cs="Times New Roman"/>
          <w:color w:val="000000" w:themeColor="text1"/>
          <w:szCs w:val="24"/>
          <w:highlight w:val="none"/>
          <w14:textFill>
            <w14:solidFill>
              <w14:schemeClr w14:val="tx1"/>
            </w14:solidFill>
          </w14:textFill>
        </w:rPr>
        <w:t>结果可知，</w:t>
      </w:r>
      <w:r>
        <w:rPr>
          <w:rFonts w:hint="default" w:ascii="Times New Roman" w:hAnsi="Times New Roman" w:cs="Times New Roman"/>
          <w:highlight w:val="none"/>
          <w:lang w:val="en-US" w:eastAsia="zh-CN"/>
        </w:rPr>
        <w:t>上安水库除总磷、总氮（湖、库以N计）、粪大肠菌群略超标外，其余监测因子均能满足《地表水环境质量标准》（GB3838-2002）中Ⅱ类标准限值，超标原因主要是因为库边落叶、雨水冲刷地表土壤所致</w:t>
      </w:r>
    </w:p>
    <w:p>
      <w:pPr>
        <w:tabs>
          <w:tab w:val="left" w:pos="0"/>
        </w:tabs>
        <w:bidi w:val="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此外天竹水库与龙井溪的</w:t>
      </w:r>
      <w:r>
        <w:rPr>
          <w:rFonts w:hint="default" w:ascii="Times New Roman" w:hAnsi="Times New Roman" w:cs="Times New Roman"/>
          <w:color w:val="000000" w:themeColor="text1"/>
          <w:szCs w:val="24"/>
          <w:highlight w:val="none"/>
          <w14:textFill>
            <w14:solidFill>
              <w14:schemeClr w14:val="tx1"/>
            </w14:solidFill>
          </w14:textFill>
        </w:rPr>
        <w:t>水质现状各类指标监测值均达到《地表水环境质量标准》（GB3838-2002）中的III类水质要求，总体水质现状符合水体功能区需求。</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_Ref18967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b/>
          <w:highlight w:val="none"/>
        </w:rPr>
        <w:t>错误！未定义书签。</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及</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_Ref21288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表3.4-5</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与</w:t>
      </w:r>
      <w:r>
        <w:rPr>
          <w:rFonts w:hint="default" w:ascii="Times New Roman" w:hAnsi="Times New Roman" w:cs="Times New Roman"/>
          <w:highlight w:val="none"/>
        </w:rPr>
        <w:t>综合营养状态指数计算公式</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得到</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_Ref21419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表3.4-9</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br w:type="page"/>
      </w:r>
    </w:p>
    <w:p>
      <w:pPr>
        <w:pStyle w:val="21"/>
        <w:bidi w:val="0"/>
        <w:rPr>
          <w:rFonts w:hint="default" w:ascii="Times New Roman" w:hAnsi="Times New Roman" w:cs="Times New Roman"/>
          <w:highlight w:val="none"/>
          <w:lang w:val="en-US" w:eastAsia="zh-CN"/>
        </w:rPr>
      </w:pPr>
      <w:bookmarkStart w:id="106" w:name="_Ref21419"/>
      <w:r>
        <w:rPr>
          <w:rFonts w:hint="default" w:ascii="Times New Roman" w:hAnsi="Times New Roman" w:cs="Times New Roman"/>
          <w:highlight w:val="none"/>
          <w:lang w:val="en-US" w:eastAsia="zh-CN"/>
        </w:rPr>
        <w:t>水体富营养指数计算</w:t>
      </w:r>
      <w:bookmarkEnd w:id="106"/>
    </w:p>
    <w:tbl>
      <w:tblPr>
        <w:tblStyle w:val="1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1246"/>
        <w:gridCol w:w="1501"/>
        <w:gridCol w:w="1250"/>
        <w:gridCol w:w="1250"/>
        <w:gridCol w:w="1246"/>
        <w:gridCol w:w="1248"/>
        <w:gridCol w:w="130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参数</w:t>
            </w:r>
          </w:p>
        </w:tc>
        <w:tc>
          <w:tcPr>
            <w:tcW w:w="83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kern w:val="0"/>
                <w:sz w:val="21"/>
                <w:szCs w:val="21"/>
                <w:highlight w:val="none"/>
                <w:u w:val="none"/>
                <w:lang w:val="en-US" w:eastAsia="zh-CN" w:bidi="ar"/>
              </w:rPr>
            </w:pPr>
            <w:r>
              <w:rPr>
                <w:rFonts w:hint="default" w:ascii="Times New Roman" w:hAnsi="Times New Roman" w:eastAsia="宋体" w:cs="Times New Roman"/>
                <w:b w:val="0"/>
                <w:bCs/>
                <w:i w:val="0"/>
                <w:color w:val="000000"/>
                <w:kern w:val="0"/>
                <w:sz w:val="21"/>
                <w:szCs w:val="21"/>
                <w:highlight w:val="none"/>
                <w:u w:val="none"/>
                <w:lang w:val="en-US" w:eastAsia="zh-CN" w:bidi="ar"/>
              </w:rPr>
              <w:t>参数</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chla</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TP</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TN</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SD</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COD</w:t>
            </w:r>
            <w:r>
              <w:rPr>
                <w:rFonts w:hint="default" w:ascii="Times New Roman" w:hAnsi="Times New Roman" w:eastAsia="宋体" w:cs="Times New Roman"/>
                <w:b w:val="0"/>
                <w:bCs/>
                <w:sz w:val="21"/>
                <w:szCs w:val="21"/>
                <w:highlight w:val="none"/>
                <w:vertAlign w:val="subscript"/>
                <w:lang w:val="en-US" w:eastAsia="zh-CN" w:bidi="ar"/>
              </w:rPr>
              <w:t>Mn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1519" w:type="pct"/>
            <w:gridSpan w:val="2"/>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Cambria Math" w:hAnsi="Cambria Math" w:cs="Times New Roman"/>
                <w:bCs/>
                <w:i/>
                <w:color w:val="000000"/>
                <w:sz w:val="21"/>
                <w:szCs w:val="21"/>
                <w:highlight w:val="none"/>
                <w:u w:val="none"/>
                <w:lang w:val="en-US"/>
                <w:oMath/>
              </w:rPr>
            </w:pPr>
            <m:oMathPara>
              <m:oMath>
                <m:sSub>
                  <m:sSubPr>
                    <m:ctrlPr>
                      <w:rPr>
                        <w:rFonts w:hint="default" w:ascii="Cambria Math" w:hAnsi="Cambria Math" w:cs="Times New Roman"/>
                        <w:bCs/>
                        <w:i/>
                        <w:color w:val="000000"/>
                        <w:sz w:val="21"/>
                        <w:szCs w:val="21"/>
                        <w:highlight w:val="none"/>
                        <w:u w:val="none"/>
                        <w:lang w:val="en-US"/>
                      </w:rPr>
                    </m:ctrlPr>
                  </m:sSubPr>
                  <m:e>
                    <m:r>
                      <m:rPr/>
                      <w:rPr>
                        <w:rFonts w:hint="default" w:ascii="Cambria Math" w:hAnsi="Cambria Math" w:cs="Times New Roman"/>
                        <w:color w:val="000000"/>
                        <w:sz w:val="21"/>
                        <w:szCs w:val="21"/>
                        <w:highlight w:val="none"/>
                        <w:u w:val="none"/>
                        <w:lang w:val="en-US" w:eastAsia="zh-CN"/>
                      </w:rPr>
                      <m:t>r</m:t>
                    </m:r>
                    <m:ctrlPr>
                      <w:rPr>
                        <w:rFonts w:hint="default" w:ascii="Cambria Math" w:hAnsi="Cambria Math" w:cs="Times New Roman"/>
                        <w:bCs/>
                        <w:i/>
                        <w:color w:val="000000"/>
                        <w:sz w:val="21"/>
                        <w:szCs w:val="21"/>
                        <w:highlight w:val="none"/>
                        <w:u w:val="none"/>
                        <w:lang w:val="en-US"/>
                      </w:rPr>
                    </m:ctrlPr>
                  </m:e>
                  <m:sub>
                    <m:r>
                      <m:rPr/>
                      <w:rPr>
                        <w:rFonts w:hint="default" w:ascii="Cambria Math" w:hAnsi="Cambria Math" w:cs="Times New Roman"/>
                        <w:color w:val="000000"/>
                        <w:sz w:val="21"/>
                        <w:szCs w:val="21"/>
                        <w:highlight w:val="none"/>
                        <w:u w:val="none"/>
                        <w:lang w:val="en-US" w:eastAsia="zh-CN"/>
                      </w:rPr>
                      <m:t>ij</m:t>
                    </m:r>
                    <m:ctrlPr>
                      <w:rPr>
                        <w:rFonts w:hint="default" w:ascii="Cambria Math" w:hAnsi="Cambria Math" w:cs="Times New Roman"/>
                        <w:bCs/>
                        <w:i/>
                        <w:color w:val="000000"/>
                        <w:sz w:val="21"/>
                        <w:szCs w:val="21"/>
                        <w:highlight w:val="none"/>
                        <w:u w:val="none"/>
                        <w:lang w:val="en-US" w:eastAsia="zh-CN"/>
                      </w:rPr>
                    </m:ctrlPr>
                  </m:sub>
                </m:sSub>
              </m:oMath>
            </m:oMathPara>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1</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0.84</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0.82</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-0.83</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1519" w:type="pct"/>
            <w:gridSpan w:val="2"/>
            <w:tcBorders>
              <w:tl2br w:val="nil"/>
              <w:tr2bl w:val="nil"/>
            </w:tcBorders>
            <w:shd w:val="clear" w:color="auto" w:fill="auto"/>
            <w:noWrap/>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Cambria Math" w:hAnsi="Cambria Math" w:cs="Times New Roman"/>
                <w:bCs/>
                <w:i/>
                <w:color w:val="000000"/>
                <w:sz w:val="21"/>
                <w:szCs w:val="21"/>
                <w:highlight w:val="none"/>
                <w:u w:val="none"/>
                <w:oMath/>
              </w:rPr>
            </w:pPr>
            <m:oMathPara>
              <m:oMath>
                <m:sSubSup>
                  <m:sSubSupPr>
                    <m:ctrlPr>
                      <w:rPr>
                        <w:rFonts w:hint="default" w:ascii="Cambria Math" w:hAnsi="Cambria Math" w:cs="Times New Roman"/>
                        <w:bCs/>
                        <w:i/>
                        <w:color w:val="000000"/>
                        <w:sz w:val="21"/>
                        <w:szCs w:val="21"/>
                        <w:highlight w:val="none"/>
                        <w:u w:val="none"/>
                      </w:rPr>
                    </m:ctrlPr>
                  </m:sSubSupPr>
                  <m:e>
                    <m:r>
                      <m:rPr/>
                      <w:rPr>
                        <w:rFonts w:hint="default" w:ascii="Cambria Math" w:hAnsi="Cambria Math" w:cs="Times New Roman"/>
                        <w:color w:val="000000"/>
                        <w:sz w:val="21"/>
                        <w:szCs w:val="21"/>
                        <w:highlight w:val="none"/>
                        <w:u w:val="none"/>
                        <w:lang w:val="en-US" w:eastAsia="zh-CN"/>
                      </w:rPr>
                      <m:t>r</m:t>
                    </m:r>
                    <m:ctrlPr>
                      <w:rPr>
                        <w:rFonts w:hint="default" w:ascii="Cambria Math" w:hAnsi="Cambria Math" w:cs="Times New Roman"/>
                        <w:bCs/>
                        <w:i/>
                        <w:color w:val="000000"/>
                        <w:sz w:val="21"/>
                        <w:szCs w:val="21"/>
                        <w:highlight w:val="none"/>
                        <w:u w:val="none"/>
                      </w:rPr>
                    </m:ctrlPr>
                  </m:e>
                  <m:sub>
                    <m:r>
                      <m:rPr/>
                      <w:rPr>
                        <w:rFonts w:hint="default" w:ascii="Cambria Math" w:hAnsi="Cambria Math" w:cs="Times New Roman"/>
                        <w:color w:val="000000"/>
                        <w:sz w:val="21"/>
                        <w:szCs w:val="21"/>
                        <w:highlight w:val="none"/>
                        <w:u w:val="none"/>
                        <w:lang w:val="en-US" w:eastAsia="zh-CN"/>
                      </w:rPr>
                      <m:t>ij</m:t>
                    </m:r>
                    <m:ctrlPr>
                      <w:rPr>
                        <w:rFonts w:hint="default" w:ascii="Cambria Math" w:hAnsi="Cambria Math" w:cs="Times New Roman"/>
                        <w:bCs/>
                        <w:i/>
                        <w:color w:val="000000"/>
                        <w:sz w:val="21"/>
                        <w:szCs w:val="21"/>
                        <w:highlight w:val="none"/>
                        <w:u w:val="none"/>
                      </w:rPr>
                    </m:ctrlPr>
                  </m:sub>
                  <m:sup>
                    <m:r>
                      <m:rPr/>
                      <w:rPr>
                        <w:rFonts w:hint="default" w:ascii="Cambria Math" w:hAnsi="Cambria Math" w:cs="Times New Roman"/>
                        <w:color w:val="000000"/>
                        <w:sz w:val="21"/>
                        <w:szCs w:val="21"/>
                        <w:highlight w:val="none"/>
                        <w:u w:val="none"/>
                        <w:lang w:val="en-US" w:eastAsia="zh-CN"/>
                      </w:rPr>
                      <m:t>2</m:t>
                    </m:r>
                    <m:ctrlPr>
                      <w:rPr>
                        <w:rFonts w:hint="default" w:ascii="Cambria Math" w:hAnsi="Cambria Math" w:cs="Times New Roman"/>
                        <w:bCs/>
                        <w:i/>
                        <w:color w:val="000000"/>
                        <w:sz w:val="21"/>
                        <w:szCs w:val="21"/>
                        <w:highlight w:val="none"/>
                        <w:u w:val="none"/>
                        <w:lang w:val="en-US" w:eastAsia="zh-CN"/>
                      </w:rPr>
                    </m:ctrlPr>
                  </m:sup>
                </m:sSubSup>
              </m:oMath>
            </m:oMathPara>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1</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0.7056</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0.6724</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0.6889</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b w:val="0"/>
                <w:bCs/>
                <w:i w:val="0"/>
                <w:color w:val="000000"/>
                <w:sz w:val="21"/>
                <w:szCs w:val="21"/>
                <w:highlight w:val="none"/>
                <w:u w:val="none"/>
              </w:rPr>
            </w:pPr>
            <w:r>
              <w:rPr>
                <w:rFonts w:hint="default" w:ascii="Times New Roman" w:hAnsi="Times New Roman" w:eastAsia="宋体" w:cs="Times New Roman"/>
                <w:b w:val="0"/>
                <w:bCs/>
                <w:i w:val="0"/>
                <w:color w:val="000000"/>
                <w:kern w:val="0"/>
                <w:sz w:val="21"/>
                <w:szCs w:val="21"/>
                <w:highlight w:val="none"/>
                <w:u w:val="none"/>
                <w:lang w:val="en-US" w:eastAsia="zh-CN" w:bidi="ar"/>
              </w:rPr>
              <w:t>0.6889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1519" w:type="pct"/>
            <w:gridSpan w:val="2"/>
            <w:tcBorders>
              <w:tl2br w:val="nil"/>
              <w:tr2bl w:val="nil"/>
            </w:tcBorders>
            <w:shd w:val="clear" w:color="auto" w:fill="auto"/>
            <w:noWrap/>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Cambria Math" w:hAnsi="Cambria Math" w:cs="Times New Roman"/>
                <w:b w:val="0"/>
                <w:bCs/>
                <w:i w:val="0"/>
                <w:color w:val="000000"/>
                <w:kern w:val="0"/>
                <w:sz w:val="21"/>
                <w:szCs w:val="21"/>
                <w:highlight w:val="none"/>
                <w:u w:val="none"/>
                <w:lang w:val="en-US" w:eastAsia="zh-CN" w:bidi="ar"/>
                <w:oMath/>
              </w:rPr>
            </w:pPr>
            <m:oMathPara>
              <m:oMath>
                <m:sSub>
                  <m:sSubPr>
                    <m:ctrlPr>
                      <w:rPr>
                        <w:rFonts w:hint="default" w:ascii="Cambria Math" w:hAnsi="Cambria Math" w:cs="Times New Roman"/>
                        <w:b w:val="0"/>
                        <w:bCs/>
                        <w:i w:val="0"/>
                        <w:color w:val="000000"/>
                        <w:kern w:val="0"/>
                        <w:sz w:val="21"/>
                        <w:szCs w:val="21"/>
                        <w:highlight w:val="none"/>
                        <w:u w:val="none"/>
                        <w:lang w:val="en-US" w:eastAsia="zh-CN" w:bidi="ar"/>
                      </w:rPr>
                    </m:ctrlPr>
                  </m:sSubPr>
                  <m:e>
                    <m:r>
                      <m:rPr>
                        <m:sty m:val="p"/>
                      </m:rPr>
                      <w:rPr>
                        <w:rFonts w:hint="default" w:ascii="Cambria Math" w:hAnsi="Cambria Math" w:cs="Times New Roman"/>
                        <w:color w:val="000000"/>
                        <w:kern w:val="0"/>
                        <w:sz w:val="21"/>
                        <w:szCs w:val="21"/>
                        <w:highlight w:val="none"/>
                        <w:u w:val="none"/>
                        <w:lang w:val="en-US" w:eastAsia="zh-CN" w:bidi="ar"/>
                      </w:rPr>
                      <m:t>W</m:t>
                    </m:r>
                    <m:ctrlPr>
                      <w:rPr>
                        <w:rFonts w:hint="default" w:ascii="Cambria Math" w:hAnsi="Cambria Math" w:cs="Times New Roman"/>
                        <w:b w:val="0"/>
                        <w:bCs/>
                        <w:i w:val="0"/>
                        <w:color w:val="000000"/>
                        <w:kern w:val="0"/>
                        <w:sz w:val="21"/>
                        <w:szCs w:val="21"/>
                        <w:highlight w:val="none"/>
                        <w:u w:val="none"/>
                        <w:lang w:val="en-US" w:eastAsia="zh-CN" w:bidi="ar"/>
                      </w:rPr>
                    </m:ctrlPr>
                  </m:e>
                  <m:sub>
                    <m:r>
                      <m:rPr>
                        <m:sty m:val="p"/>
                      </m:rPr>
                      <w:rPr>
                        <w:rFonts w:hint="default" w:ascii="Cambria Math" w:hAnsi="Cambria Math" w:cs="Times New Roman"/>
                        <w:color w:val="000000"/>
                        <w:kern w:val="0"/>
                        <w:sz w:val="21"/>
                        <w:szCs w:val="21"/>
                        <w:highlight w:val="none"/>
                        <w:u w:val="none"/>
                        <w:lang w:val="en-US" w:eastAsia="zh-CN" w:bidi="ar"/>
                      </w:rPr>
                      <m:t>j</m:t>
                    </m:r>
                    <m:ctrlPr>
                      <w:rPr>
                        <w:rFonts w:hint="default" w:ascii="Cambria Math" w:hAnsi="Cambria Math" w:cs="Times New Roman"/>
                        <w:b w:val="0"/>
                        <w:bCs/>
                        <w:i w:val="0"/>
                        <w:color w:val="000000"/>
                        <w:kern w:val="0"/>
                        <w:sz w:val="21"/>
                        <w:szCs w:val="21"/>
                        <w:highlight w:val="none"/>
                        <w:u w:val="none"/>
                        <w:lang w:val="en-US" w:eastAsia="zh-CN" w:bidi="ar"/>
                      </w:rPr>
                    </m:ctrlPr>
                  </m:sub>
                </m:sSub>
              </m:oMath>
            </m:oMathPara>
          </w:p>
        </w:tc>
        <w:tc>
          <w:tcPr>
            <w:tcW w:w="691" w:type="pct"/>
            <w:tcBorders>
              <w:tl2br w:val="nil"/>
              <w:tr2bl w:val="nil"/>
            </w:tcBorders>
            <w:shd w:val="clear" w:color="auto" w:fill="auto"/>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0.266</w:t>
            </w:r>
          </w:p>
        </w:tc>
        <w:tc>
          <w:tcPr>
            <w:tcW w:w="691" w:type="pct"/>
            <w:tcBorders>
              <w:tl2br w:val="nil"/>
              <w:tr2bl w:val="nil"/>
            </w:tcBorders>
            <w:shd w:val="clear" w:color="auto" w:fill="auto"/>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0.188</w:t>
            </w:r>
          </w:p>
        </w:tc>
        <w:tc>
          <w:tcPr>
            <w:tcW w:w="689" w:type="pct"/>
            <w:tcBorders>
              <w:tl2br w:val="nil"/>
              <w:tr2bl w:val="nil"/>
            </w:tcBorders>
            <w:shd w:val="clear" w:color="auto" w:fill="auto"/>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0.179</w:t>
            </w:r>
          </w:p>
        </w:tc>
        <w:tc>
          <w:tcPr>
            <w:tcW w:w="690" w:type="pct"/>
            <w:tcBorders>
              <w:tl2br w:val="nil"/>
              <w:tr2bl w:val="nil"/>
            </w:tcBorders>
            <w:shd w:val="clear" w:color="auto" w:fill="auto"/>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0.183</w:t>
            </w:r>
          </w:p>
        </w:tc>
        <w:tc>
          <w:tcPr>
            <w:tcW w:w="718" w:type="pct"/>
            <w:tcBorders>
              <w:tl2br w:val="nil"/>
              <w:tr2bl w:val="nil"/>
            </w:tcBorders>
            <w:shd w:val="clear" w:color="auto" w:fill="auto"/>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0.183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restar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上安水库</w:t>
            </w: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测量值</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23.000mg/L</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0.022mg/L</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0.53mg/L</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1.603m</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0.72mg/L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59.051</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32.377</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43.775</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42.026</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Wj·TLI(j)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15.708</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6.087</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7.836</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7.691</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水体富营养指数</w:t>
            </w:r>
          </w:p>
        </w:tc>
        <w:tc>
          <w:tcPr>
            <w:tcW w:w="3480" w:type="pct"/>
            <w:gridSpan w:val="5"/>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35.922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89" w:type="pct"/>
            <w:vMerge w:val="restar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天竹水库</w:t>
            </w: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测量值</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15.667mg/L</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0.22mg/L</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0.53mg/L</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1.637m</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0.72mg/L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54.882</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69.771</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43.775</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41.618</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Wj·TLI(j)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14.599</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13.117</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7.836</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7.616</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水体富营养指数</w:t>
            </w:r>
          </w:p>
        </w:tc>
        <w:tc>
          <w:tcPr>
            <w:tcW w:w="3480" w:type="pct"/>
            <w:gridSpan w:val="5"/>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41.768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restar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龙井溪</w:t>
            </w: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测量值</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8.667mg/L</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0.22mg/L</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0.48mg/L</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1.637m</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0.8mg/L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48.452</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69.771</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42.097</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41.618</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-4.848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Wj·TLI(j)</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12.888</w:t>
            </w:r>
          </w:p>
        </w:tc>
        <w:tc>
          <w:tcPr>
            <w:tcW w:w="691"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13.117</w:t>
            </w:r>
          </w:p>
        </w:tc>
        <w:tc>
          <w:tcPr>
            <w:tcW w:w="689"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7.535</w:t>
            </w:r>
          </w:p>
        </w:tc>
        <w:tc>
          <w:tcPr>
            <w:tcW w:w="690"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7.616</w:t>
            </w:r>
          </w:p>
        </w:tc>
        <w:tc>
          <w:tcPr>
            <w:tcW w:w="718"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-0.887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12" w:hRule="atLeast"/>
        </w:trPr>
        <w:tc>
          <w:tcPr>
            <w:tcW w:w="689" w:type="pct"/>
            <w:vMerge w:val="continue"/>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cs="Times New Roman"/>
                <w:b w:val="0"/>
                <w:bCs/>
                <w:highlight w:val="none"/>
                <w:lang w:val="en-US" w:eastAsia="zh-CN"/>
              </w:rPr>
            </w:pPr>
          </w:p>
        </w:tc>
        <w:tc>
          <w:tcPr>
            <w:tcW w:w="830" w:type="pct"/>
            <w:tcBorders>
              <w:tl2br w:val="nil"/>
              <w:tr2bl w:val="nil"/>
            </w:tcBorders>
            <w:shd w:val="clear" w:color="auto" w:fill="auto"/>
            <w:noWrap/>
            <w:tcMar>
              <w:top w:w="15" w:type="dxa"/>
              <w:left w:w="15" w:type="dxa"/>
              <w:right w:w="15" w:type="dxa"/>
            </w:tcMar>
            <w:vAlign w:val="center"/>
          </w:tcPr>
          <w:p>
            <w:pPr>
              <w:pStyle w:val="19"/>
              <w:bidi w:val="0"/>
              <w:ind w:left="0" w:leftChars="0" w:right="0" w:rightChars="0" w:firstLine="0" w:firstLineChars="0"/>
              <w:jc w:val="center"/>
              <w:rPr>
                <w:rFonts w:hint="default" w:ascii="Times New Roman" w:hAnsi="Times New Roman" w:eastAsia="宋体" w:cs="Times New Roman"/>
                <w:b w:val="0"/>
                <w:bCs/>
                <w:kern w:val="0"/>
                <w:sz w:val="21"/>
                <w:szCs w:val="22"/>
                <w:highlight w:val="none"/>
                <w:lang w:val="en-US" w:eastAsia="zh-CN" w:bidi="ar-SA"/>
              </w:rPr>
            </w:pPr>
            <w:r>
              <w:rPr>
                <w:rFonts w:hint="default" w:ascii="Times New Roman" w:hAnsi="Times New Roman" w:cs="Times New Roman"/>
                <w:b w:val="0"/>
                <w:bCs/>
                <w:highlight w:val="none"/>
                <w:lang w:val="en-US" w:eastAsia="zh-CN"/>
              </w:rPr>
              <w:t>水体富营养指数</w:t>
            </w:r>
          </w:p>
        </w:tc>
        <w:tc>
          <w:tcPr>
            <w:tcW w:w="3480" w:type="pct"/>
            <w:gridSpan w:val="5"/>
            <w:tcBorders>
              <w:tl2br w:val="nil"/>
              <w:tr2bl w:val="nil"/>
            </w:tcBorders>
            <w:shd w:val="clear" w:color="auto" w:fill="auto"/>
            <w:tcMar>
              <w:top w:w="15" w:type="dxa"/>
              <w:left w:w="15" w:type="dxa"/>
              <w:right w:w="15"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 w:val="0"/>
                <w:bCs/>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40.269</w:t>
            </w:r>
          </w:p>
        </w:tc>
      </w:tr>
    </w:tbl>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由</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_Ref21419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表3.4-9</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可知，上安水库、天竹水库、龙井溪拦水坝水体富营养指数分别为34.042、40.832、42.216，根据营养状态分级可知，三个取水地点的营养状态为中营养。</w:t>
      </w:r>
    </w:p>
    <w:p>
      <w:pPr>
        <w:pStyle w:val="21"/>
        <w:bidi w:val="0"/>
        <w:rPr>
          <w:rFonts w:hint="default" w:ascii="Times New Roman" w:hAnsi="Times New Roman" w:cs="Times New Roman"/>
          <w:highlight w:val="none"/>
          <w:lang w:val="en-US" w:eastAsia="zh-CN"/>
        </w:rPr>
      </w:pPr>
      <w:r>
        <w:rPr>
          <w:rStyle w:val="32"/>
          <w:rFonts w:hint="default" w:ascii="Times New Roman" w:hAnsi="Times New Roman" w:cs="Times New Roman"/>
          <w:b/>
          <w:highlight w:val="none"/>
          <w:lang w:val="en-US" w:eastAsia="zh-CN"/>
        </w:rPr>
        <w:t>下游</w:t>
      </w:r>
      <w:r>
        <w:rPr>
          <w:rFonts w:hint="default" w:ascii="Times New Roman" w:hAnsi="Times New Roman" w:cs="Times New Roman"/>
          <w:highlight w:val="none"/>
        </w:rPr>
        <w:t>监测结果一览表（II</w:t>
      </w:r>
      <w:r>
        <w:rPr>
          <w:rFonts w:hint="default" w:ascii="Times New Roman" w:hAnsi="Times New Roman" w:cs="Times New Roman"/>
          <w:highlight w:val="none"/>
          <w:lang w:val="en-US" w:eastAsia="zh-CN"/>
        </w:rPr>
        <w:t>I</w:t>
      </w:r>
      <w:r>
        <w:rPr>
          <w:rFonts w:hint="default" w:ascii="Times New Roman" w:hAnsi="Times New Roman" w:cs="Times New Roman"/>
          <w:highlight w:val="none"/>
        </w:rPr>
        <w:t>类水质）</w:t>
      </w:r>
    </w:p>
    <w:tbl>
      <w:tblPr>
        <w:tblStyle w:val="1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0"/>
        <w:gridCol w:w="1027"/>
        <w:gridCol w:w="611"/>
        <w:gridCol w:w="704"/>
        <w:gridCol w:w="750"/>
        <w:gridCol w:w="646"/>
        <w:gridCol w:w="831"/>
        <w:gridCol w:w="716"/>
        <w:gridCol w:w="1384"/>
        <w:gridCol w:w="1826"/>
        <w:gridCol w:w="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82"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监测时间</w:t>
            </w:r>
          </w:p>
        </w:tc>
        <w:tc>
          <w:tcPr>
            <w:tcW w:w="569" w:type="pct"/>
            <w:vMerge w:val="restart"/>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评价因子</w:t>
            </w:r>
          </w:p>
        </w:tc>
        <w:tc>
          <w:tcPr>
            <w:tcW w:w="1965" w:type="pct"/>
            <w:gridSpan w:val="5"/>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监测值</w:t>
            </w:r>
          </w:p>
        </w:tc>
        <w:tc>
          <w:tcPr>
            <w:tcW w:w="397" w:type="pct"/>
            <w:vMerge w:val="restart"/>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单位</w:t>
            </w:r>
          </w:p>
        </w:tc>
        <w:tc>
          <w:tcPr>
            <w:tcW w:w="767"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w:t>
            </w:r>
          </w:p>
        </w:tc>
        <w:tc>
          <w:tcPr>
            <w:tcW w:w="1013" w:type="pct"/>
            <w:vMerge w:val="restar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标准值</w:t>
            </w:r>
          </w:p>
        </w:tc>
        <w:tc>
          <w:tcPr>
            <w:tcW w:w="3" w:type="pct"/>
            <w:vMerge w:val="restar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282" w:type="pct"/>
            <w:vMerge w:val="continue"/>
            <w:vAlign w:val="center"/>
          </w:tcPr>
          <w:p>
            <w:pPr>
              <w:pStyle w:val="19"/>
              <w:bidi w:val="0"/>
              <w:rPr>
                <w:rFonts w:hint="default" w:ascii="Times New Roman" w:hAnsi="Times New Roman" w:cs="Times New Roman"/>
                <w:b w:val="0"/>
                <w:bCs/>
                <w:highlight w:val="none"/>
              </w:rPr>
            </w:pPr>
          </w:p>
        </w:tc>
        <w:tc>
          <w:tcPr>
            <w:tcW w:w="569" w:type="pct"/>
            <w:vMerge w:val="continue"/>
            <w:vAlign w:val="center"/>
          </w:tcPr>
          <w:p>
            <w:pPr>
              <w:pStyle w:val="19"/>
              <w:bidi w:val="0"/>
              <w:rPr>
                <w:rFonts w:hint="default" w:ascii="Times New Roman" w:hAnsi="Times New Roman" w:cs="Times New Roman"/>
                <w:b w:val="0"/>
                <w:bCs/>
                <w:highlight w:val="none"/>
              </w:rPr>
            </w:pPr>
          </w:p>
        </w:tc>
        <w:tc>
          <w:tcPr>
            <w:tcW w:w="339"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w:t>
            </w:r>
            <w:r>
              <w:rPr>
                <w:rFonts w:hint="default" w:ascii="Times New Roman" w:hAnsi="Times New Roman" w:cs="Times New Roman"/>
                <w:b w:val="0"/>
                <w:bCs/>
                <w:color w:val="000000" w:themeColor="text1"/>
                <w:highlight w:val="none"/>
                <w:lang w:val="en-US" w:eastAsia="zh-CN"/>
                <w14:textFill>
                  <w14:solidFill>
                    <w14:schemeClr w14:val="tx1"/>
                  </w14:solidFill>
                </w14:textFill>
              </w:rPr>
              <w:t>4</w:t>
            </w:r>
            <w:r>
              <w:rPr>
                <w:rFonts w:hint="default" w:ascii="Times New Roman" w:hAnsi="Times New Roman" w:cs="Times New Roman"/>
                <w:szCs w:val="21"/>
                <w:highlight w:val="none"/>
                <w:lang w:val="en-US" w:eastAsia="zh-CN"/>
              </w:rPr>
              <w:t>上安水库下游池后处</w:t>
            </w:r>
          </w:p>
        </w:tc>
        <w:tc>
          <w:tcPr>
            <w:tcW w:w="390"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W5上安水库下游与管溪交汇处</w:t>
            </w:r>
          </w:p>
        </w:tc>
        <w:tc>
          <w:tcPr>
            <w:tcW w:w="416"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W6天竹水库下游厚峰桥处</w:t>
            </w:r>
          </w:p>
        </w:tc>
        <w:tc>
          <w:tcPr>
            <w:tcW w:w="358"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W7龙井溪下游莲花宫处</w:t>
            </w:r>
          </w:p>
        </w:tc>
        <w:tc>
          <w:tcPr>
            <w:tcW w:w="461" w:type="pc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W8龙井溪下游与管溪交汇处</w:t>
            </w:r>
          </w:p>
        </w:tc>
        <w:tc>
          <w:tcPr>
            <w:tcW w:w="39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767"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1013" w:type="pct"/>
            <w:vMerge w:val="continue"/>
            <w:tcBorders>
              <w:right w:val="nil"/>
            </w:tcBorders>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3" w:type="pct"/>
            <w:vMerge w:val="continue"/>
            <w:tcBorders>
              <w:left w:val="nil"/>
            </w:tcBorders>
            <w:vAlign w:val="center"/>
          </w:tcPr>
          <w:p>
            <w:pPr>
              <w:pStyle w:val="19"/>
              <w:bidi w:val="0"/>
              <w:rPr>
                <w:rFonts w:hint="default" w:ascii="Times New Roman" w:hAnsi="Times New Roman" w:cs="Times New Roman"/>
                <w:color w:val="000000" w:themeColor="text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restar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2021.12.25</w:t>
            </w:r>
          </w:p>
        </w:tc>
        <w:tc>
          <w:tcPr>
            <w:tcW w:w="569"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水温</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rPr>
                <w:rFonts w:hint="default" w:ascii="Times New Roman" w:hAnsi="Times New Roman" w:eastAsia="宋体" w:cs="Times New Roman"/>
                <w:b w:val="0"/>
                <w:bCs/>
                <w:color w:val="000000" w:themeColor="text1"/>
                <w:highlight w:val="none"/>
                <w:lang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767" w:type="pct"/>
            <w:vMerge w:val="restart"/>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地表水环境质量标准》（GB3838-2002）</w:t>
            </w:r>
          </w:p>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II类水质标准</w:t>
            </w:r>
          </w:p>
        </w:tc>
        <w:tc>
          <w:tcPr>
            <w:tcW w:w="1013" w:type="pct"/>
            <w:tcBorders>
              <w:right w:val="nil"/>
            </w:tcBorders>
            <w:vAlign w:val="center"/>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周平均最大温升≤1</w:t>
            </w:r>
          </w:p>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周平均最大温降≤2</w:t>
            </w:r>
          </w:p>
        </w:tc>
        <w:tc>
          <w:tcPr>
            <w:tcW w:w="3" w:type="pct"/>
            <w:tcBorders>
              <w:left w:val="nil"/>
            </w:tcBorders>
            <w:vAlign w:val="center"/>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pH值</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w:t>
            </w:r>
          </w:p>
        </w:tc>
        <w:tc>
          <w:tcPr>
            <w:tcW w:w="767" w:type="pct"/>
            <w:vMerge w:val="continue"/>
            <w:vAlign w:val="center"/>
          </w:tcPr>
          <w:p>
            <w:pPr>
              <w:pStyle w:val="19"/>
              <w:bidi w:val="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013"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6~9</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eastAsia="宋体" w:cs="Times New Roman"/>
                <w:b w:val="0"/>
                <w:bCs/>
                <w:highlight w:val="none"/>
                <w:lang w:val="en-US" w:eastAsia="zh-CN"/>
              </w:rPr>
            </w:pPr>
            <w:r>
              <w:rPr>
                <w:rFonts w:hint="default" w:ascii="Times New Roman" w:hAnsi="Times New Roman" w:cs="Times New Roman"/>
                <w:b w:val="0"/>
                <w:bCs/>
                <w:highlight w:val="none"/>
                <w:lang w:val="en-US" w:eastAsia="zh-CN"/>
              </w:rPr>
              <w:t>SS</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76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013"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 w:type="pct"/>
            <w:tcBorders>
              <w:left w:val="nil"/>
            </w:tcBorders>
            <w:vAlign w:val="center"/>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cs="Times New Roman"/>
                <w:b w:val="0"/>
                <w:bCs/>
                <w:highlight w:val="none"/>
                <w:lang w:eastAsia="zh-CN"/>
              </w:rPr>
            </w:pPr>
            <w:r>
              <w:rPr>
                <w:rFonts w:hint="default" w:ascii="Times New Roman" w:hAnsi="Times New Roman" w:cs="Times New Roman"/>
                <w:b w:val="0"/>
                <w:bCs/>
                <w:highlight w:val="none"/>
              </w:rPr>
              <w:t>化学需氧量</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76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013"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15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五日生化需氧量</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767" w:type="pct"/>
            <w:vMerge w:val="continue"/>
            <w:vAlign w:val="top"/>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013" w:type="pct"/>
            <w:tcBorders>
              <w:right w:val="nil"/>
            </w:tcBorders>
            <w:vAlign w:val="top"/>
          </w:tcPr>
          <w:p>
            <w:pPr>
              <w:pStyle w:val="19"/>
              <w:bidi w:val="0"/>
              <w:rPr>
                <w:rFonts w:hint="default" w:ascii="Times New Roman" w:hAnsi="Times New Roman" w:cs="Times New Roman"/>
                <w:b w:val="0"/>
                <w:bCs/>
                <w:highlight w:val="none"/>
                <w:lang w:val="en-US" w:eastAsia="zh-CN"/>
              </w:rPr>
            </w:pPr>
            <w:r>
              <w:rPr>
                <w:rFonts w:hint="default" w:ascii="Times New Roman" w:hAnsi="Times New Roman" w:cs="Times New Roman"/>
                <w:b w:val="0"/>
                <w:bCs/>
                <w:highlight w:val="none"/>
                <w:lang w:val="en-US" w:eastAsia="zh-CN"/>
              </w:rPr>
              <w:t>3</w:t>
            </w:r>
          </w:p>
        </w:tc>
        <w:tc>
          <w:tcPr>
            <w:tcW w:w="3" w:type="pct"/>
            <w:tcBorders>
              <w:left w:val="nil"/>
            </w:tcBorders>
            <w:vAlign w:val="top"/>
          </w:tcPr>
          <w:p>
            <w:pPr>
              <w:pStyle w:val="19"/>
              <w:bidi w:val="0"/>
              <w:rPr>
                <w:rFonts w:hint="default" w:ascii="Times New Roman" w:hAnsi="Times New Roman" w:cs="Times New Roman"/>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氨氮</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14:textFill>
                  <w14:solidFill>
                    <w14:schemeClr w14:val="tx1"/>
                  </w14:solidFill>
                </w14:textFill>
              </w:rPr>
              <w:t>mg/L</w:t>
            </w:r>
          </w:p>
        </w:tc>
        <w:tc>
          <w:tcPr>
            <w:tcW w:w="76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14:textFill>
                  <w14:solidFill>
                    <w14:schemeClr w14:val="tx1"/>
                  </w14:solidFill>
                </w14:textFill>
              </w:rPr>
            </w:pPr>
          </w:p>
        </w:tc>
        <w:tc>
          <w:tcPr>
            <w:tcW w:w="1013"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t>0.5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82" w:type="pct"/>
            <w:vMerge w:val="continue"/>
            <w:vAlign w:val="center"/>
          </w:tcPr>
          <w:p>
            <w:pPr>
              <w:pStyle w:val="19"/>
              <w:bidi w:val="0"/>
              <w:rPr>
                <w:rFonts w:hint="default" w:ascii="Times New Roman" w:hAnsi="Times New Roman" w:cs="Times New Roman"/>
                <w:b w:val="0"/>
                <w:bCs/>
                <w:color w:val="000000" w:themeColor="text1"/>
                <w:highlight w:val="none"/>
                <w14:textFill>
                  <w14:solidFill>
                    <w14:schemeClr w14:val="tx1"/>
                  </w14:solidFill>
                </w14:textFill>
              </w:rPr>
            </w:pPr>
          </w:p>
        </w:tc>
        <w:tc>
          <w:tcPr>
            <w:tcW w:w="569" w:type="pct"/>
            <w:vAlign w:val="center"/>
          </w:tcPr>
          <w:p>
            <w:pPr>
              <w:pStyle w:val="19"/>
              <w:rPr>
                <w:rFonts w:hint="default" w:ascii="Times New Roman" w:hAnsi="Times New Roman" w:cs="Times New Roman"/>
                <w:b w:val="0"/>
                <w:bCs/>
                <w:highlight w:val="none"/>
              </w:rPr>
            </w:pPr>
            <w:r>
              <w:rPr>
                <w:rFonts w:hint="default" w:ascii="Times New Roman" w:hAnsi="Times New Roman" w:cs="Times New Roman"/>
                <w:b w:val="0"/>
                <w:bCs/>
                <w:highlight w:val="none"/>
              </w:rPr>
              <w:t>总磷</w:t>
            </w:r>
          </w:p>
        </w:tc>
        <w:tc>
          <w:tcPr>
            <w:tcW w:w="339"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0"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16"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58"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461" w:type="pct"/>
            <w:vAlign w:val="center"/>
          </w:tcPr>
          <w:p>
            <w:pPr>
              <w:pStyle w:val="19"/>
              <w:bidi w:val="0"/>
              <w:ind w:left="0" w:leftChars="0" w:firstLine="0" w:firstLineChars="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p>
        </w:tc>
        <w:tc>
          <w:tcPr>
            <w:tcW w:w="397" w:type="pct"/>
            <w:vAlign w:val="center"/>
          </w:tcPr>
          <w:p>
            <w:pPr>
              <w:pStyle w:val="19"/>
              <w:bidi w:val="0"/>
              <w:ind w:left="0" w:leftChars="0" w:firstLine="0" w:firstLineChars="0"/>
              <w:rPr>
                <w:rFonts w:hint="default" w:ascii="Times New Roman" w:hAnsi="Times New Roman" w:eastAsia="宋体" w:cs="Times New Roman"/>
                <w:b w:val="0"/>
                <w:bCs/>
                <w:color w:val="000000" w:themeColor="text1"/>
                <w:kern w:val="0"/>
                <w:sz w:val="21"/>
                <w:szCs w:val="22"/>
                <w:highlight w:val="none"/>
                <w:lang w:val="zh-CN" w:eastAsia="zh-CN" w:bidi="ar-SA"/>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m</w:t>
            </w:r>
            <w:r>
              <w:rPr>
                <w:rFonts w:hint="default" w:ascii="Times New Roman" w:hAnsi="Times New Roman" w:cs="Times New Roman"/>
                <w:b w:val="0"/>
                <w:bCs/>
                <w:color w:val="000000" w:themeColor="text1"/>
                <w:highlight w:val="none"/>
                <w14:textFill>
                  <w14:solidFill>
                    <w14:schemeClr w14:val="tx1"/>
                  </w14:solidFill>
                </w14:textFill>
              </w:rPr>
              <w:t>g/L</w:t>
            </w:r>
          </w:p>
        </w:tc>
        <w:tc>
          <w:tcPr>
            <w:tcW w:w="767" w:type="pct"/>
            <w:vMerge w:val="continue"/>
            <w:vAlign w:val="center"/>
          </w:tcPr>
          <w:p>
            <w:pPr>
              <w:pStyle w:val="19"/>
              <w:bidi w:val="0"/>
              <w:ind w:left="0" w:leftChars="0" w:firstLine="0" w:firstLineChars="0"/>
              <w:rPr>
                <w:rFonts w:hint="default" w:ascii="Times New Roman" w:hAnsi="Times New Roman" w:cs="Times New Roman"/>
                <w:b w:val="0"/>
                <w:bCs/>
                <w:color w:val="000000" w:themeColor="text1"/>
                <w:highlight w:val="none"/>
                <w:lang w:val="en-US" w:eastAsia="zh-CN"/>
                <w14:textFill>
                  <w14:solidFill>
                    <w14:schemeClr w14:val="tx1"/>
                  </w14:solidFill>
                </w14:textFill>
              </w:rPr>
            </w:pPr>
          </w:p>
        </w:tc>
        <w:tc>
          <w:tcPr>
            <w:tcW w:w="1013" w:type="pct"/>
            <w:tcBorders>
              <w:right w:val="nil"/>
            </w:tcBorders>
            <w:vAlign w:val="center"/>
          </w:tcPr>
          <w:p>
            <w:pPr>
              <w:pStyle w:val="19"/>
              <w:bidi w:val="0"/>
              <w:rPr>
                <w:rFonts w:hint="default" w:ascii="Times New Roman" w:hAnsi="Times New Roman" w:eastAsia="宋体" w:cs="Times New Roman"/>
                <w:b w:val="0"/>
                <w:bCs/>
                <w:color w:val="000000" w:themeColor="text1"/>
                <w:highlight w:val="none"/>
                <w:lang w:val="en-US" w:eastAsia="zh-CN"/>
                <w14:textFill>
                  <w14:solidFill>
                    <w14:schemeClr w14:val="tx1"/>
                  </w14:solidFill>
                </w14:textFill>
              </w:rPr>
            </w:pPr>
            <w:r>
              <w:rPr>
                <w:rFonts w:hint="default" w:ascii="Times New Roman" w:hAnsi="Times New Roman" w:cs="Times New Roman"/>
                <w:b w:val="0"/>
                <w:bCs/>
                <w:color w:val="000000" w:themeColor="text1"/>
                <w:highlight w:val="none"/>
                <w:lang w:val="en-US" w:eastAsia="zh-CN"/>
                <w14:textFill>
                  <w14:solidFill>
                    <w14:schemeClr w14:val="tx1"/>
                  </w14:solidFill>
                </w14:textFill>
              </w:rPr>
              <w:t>0.025</w:t>
            </w:r>
          </w:p>
        </w:tc>
        <w:tc>
          <w:tcPr>
            <w:tcW w:w="3" w:type="pct"/>
            <w:tcBorders>
              <w:left w:val="nil"/>
            </w:tcBorders>
            <w:vAlign w:val="center"/>
          </w:tcPr>
          <w:p>
            <w:pPr>
              <w:pStyle w:val="19"/>
              <w:bidi w:val="0"/>
              <w:rPr>
                <w:rFonts w:hint="default" w:ascii="Times New Roman" w:hAnsi="Times New Roman" w:cs="Times New Roman"/>
                <w:color w:val="000000" w:themeColor="text1"/>
                <w:highlight w:val="none"/>
                <w:lang w:val="en-US" w:eastAsia="zh-CN"/>
                <w14:textFill>
                  <w14:solidFill>
                    <w14:schemeClr w14:val="tx1"/>
                  </w14:solidFill>
                </w14:textFill>
              </w:rPr>
            </w:pPr>
          </w:p>
        </w:tc>
      </w:tr>
    </w:tbl>
    <w:p>
      <w:pPr>
        <w:tabs>
          <w:tab w:val="left" w:pos="0"/>
        </w:tabs>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由表3.4-10可知，——————</w:t>
      </w:r>
    </w:p>
    <w:p>
      <w:pPr>
        <w:ind w:left="0" w:leftChars="0" w:right="0" w:rightChars="0" w:firstLine="0" w:firstLineChars="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drawing>
          <wp:inline distT="0" distB="0" distL="114300" distR="114300">
            <wp:extent cx="5320665" cy="3460115"/>
            <wp:effectExtent l="0" t="0" r="13335" b="6985"/>
            <wp:docPr id="42" name="图片 42" descr="管阳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管阳管网"/>
                    <pic:cNvPicPr>
                      <a:picLocks noChangeAspect="1"/>
                    </pic:cNvPicPr>
                  </pic:nvPicPr>
                  <pic:blipFill>
                    <a:blip r:embed="rId109"/>
                    <a:stretch>
                      <a:fillRect/>
                    </a:stretch>
                  </pic:blipFill>
                  <pic:spPr>
                    <a:xfrm>
                      <a:off x="0" y="0"/>
                      <a:ext cx="5320665" cy="3460115"/>
                    </a:xfrm>
                    <a:prstGeom prst="rect">
                      <a:avLst/>
                    </a:prstGeom>
                  </pic:spPr>
                </pic:pic>
              </a:graphicData>
            </a:graphic>
          </wp:inline>
        </w:drawing>
      </w:r>
    </w:p>
    <w:p>
      <w:pPr>
        <w:pStyle w:val="22"/>
        <w:bidi w:val="0"/>
        <w:rPr>
          <w:rFonts w:hint="default" w:ascii="Times New Roman" w:hAnsi="Times New Roman" w:cs="Times New Roman"/>
          <w:highlight w:val="none"/>
          <w:lang w:val="en-US" w:eastAsia="zh-CN"/>
        </w:rPr>
      </w:pPr>
      <w:bookmarkStart w:id="107" w:name="_Ref15435"/>
      <w:bookmarkStart w:id="108" w:name="_Ref12594"/>
      <w:r>
        <w:rPr>
          <w:rFonts w:hint="default" w:ascii="Times New Roman" w:hAnsi="Times New Roman" w:cs="Times New Roman"/>
          <w:highlight w:val="none"/>
          <w:lang w:val="en-US" w:eastAsia="zh-CN"/>
        </w:rPr>
        <w:t>监测点位示意图</w:t>
      </w:r>
      <w:bookmarkEnd w:id="107"/>
      <w:r>
        <w:rPr>
          <w:rFonts w:hint="default" w:ascii="Times New Roman" w:hAnsi="Times New Roman" w:cs="Times New Roman"/>
          <w:highlight w:val="none"/>
          <w:lang w:val="en-US" w:eastAsia="zh-CN"/>
        </w:rPr>
        <w:t>（管阳）</w:t>
      </w:r>
      <w:bookmarkEnd w:id="108"/>
    </w:p>
    <w:p>
      <w:pPr>
        <w:ind w:left="0" w:leftChars="0" w:right="0" w:rightChars="0" w:firstLine="0" w:firstLineChars="0"/>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drawing>
          <wp:inline distT="0" distB="0" distL="114300" distR="114300">
            <wp:extent cx="5711825" cy="3655695"/>
            <wp:effectExtent l="0" t="0" r="3175" b="1905"/>
            <wp:docPr id="40" name="图片 40" descr="西阳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西阳管网"/>
                    <pic:cNvPicPr>
                      <a:picLocks noChangeAspect="1"/>
                    </pic:cNvPicPr>
                  </pic:nvPicPr>
                  <pic:blipFill>
                    <a:blip r:embed="rId110"/>
                    <a:stretch>
                      <a:fillRect/>
                    </a:stretch>
                  </pic:blipFill>
                  <pic:spPr>
                    <a:xfrm>
                      <a:off x="0" y="0"/>
                      <a:ext cx="5711825" cy="3655695"/>
                    </a:xfrm>
                    <a:prstGeom prst="rect">
                      <a:avLst/>
                    </a:prstGeom>
                  </pic:spPr>
                </pic:pic>
              </a:graphicData>
            </a:graphic>
          </wp:inline>
        </w:drawing>
      </w:r>
    </w:p>
    <w:p>
      <w:pPr>
        <w:pStyle w:val="22"/>
        <w:bidi w:val="0"/>
        <w:rPr>
          <w:rFonts w:hint="default" w:ascii="Times New Roman" w:hAnsi="Times New Roman" w:cs="Times New Roman"/>
          <w:highlight w:val="none"/>
          <w:lang w:val="en-US" w:eastAsia="zh-CN"/>
        </w:rPr>
      </w:pPr>
      <w:bookmarkStart w:id="109" w:name="_Ref18625"/>
      <w:r>
        <w:rPr>
          <w:rFonts w:hint="default" w:ascii="Times New Roman" w:hAnsi="Times New Roman" w:cs="Times New Roman"/>
          <w:highlight w:val="none"/>
          <w:lang w:val="en-US" w:eastAsia="zh-CN"/>
        </w:rPr>
        <w:t>监测点位示意图（西阳）</w:t>
      </w:r>
      <w:bookmarkEnd w:id="109"/>
    </w:p>
    <w:p>
      <w:pPr>
        <w:pStyle w:val="4"/>
        <w:rPr>
          <w:rFonts w:hint="default" w:ascii="Times New Roman" w:hAnsi="Times New Roman" w:cs="Times New Roman"/>
          <w:highlight w:val="none"/>
        </w:rPr>
      </w:pPr>
      <w:r>
        <w:rPr>
          <w:rFonts w:hint="default" w:ascii="Times New Roman" w:hAnsi="Times New Roman" w:cs="Times New Roman"/>
          <w:highlight w:val="none"/>
        </w:rPr>
        <w:t>地</w:t>
      </w:r>
      <w:r>
        <w:rPr>
          <w:rFonts w:hint="default" w:ascii="Times New Roman" w:hAnsi="Times New Roman" w:cs="Times New Roman"/>
          <w:highlight w:val="none"/>
          <w:lang w:val="en-US" w:eastAsia="zh-CN"/>
        </w:rPr>
        <w:t>下</w:t>
      </w:r>
      <w:r>
        <w:rPr>
          <w:rFonts w:hint="default" w:ascii="Times New Roman" w:hAnsi="Times New Roman" w:cs="Times New Roman"/>
          <w:highlight w:val="none"/>
        </w:rPr>
        <w:t>水环境质量现状</w:t>
      </w:r>
    </w:p>
    <w:p>
      <w:pPr>
        <w:ind w:firstLine="480"/>
        <w:rPr>
          <w:rFonts w:hint="default" w:ascii="Times New Roman" w:hAnsi="Times New Roman" w:cs="Times New Roman"/>
          <w:color w:val="auto"/>
          <w:highlight w:val="none"/>
          <w:lang w:val="en-US" w:eastAsia="zh-CN"/>
        </w:rPr>
      </w:pPr>
      <w:r>
        <w:rPr>
          <w:rFonts w:hint="default" w:ascii="Times New Roman" w:hAnsi="Times New Roman" w:eastAsia="宋体" w:cs="Times New Roman"/>
          <w:highlight w:val="none"/>
        </w:rPr>
        <w:t>为了解本项目周边地下水环境质量现状</w:t>
      </w:r>
      <w:r>
        <w:rPr>
          <w:rFonts w:hint="default" w:ascii="Times New Roman" w:hAnsi="Times New Roman" w:eastAsia="宋体" w:cs="Times New Roman"/>
          <w:highlight w:val="none"/>
          <w:lang w:eastAsia="zh-CN"/>
        </w:rPr>
        <w:t>，</w:t>
      </w:r>
      <w:r>
        <w:rPr>
          <w:rFonts w:hint="default" w:ascii="Times New Roman" w:hAnsi="Times New Roman" w:cs="Times New Roman"/>
          <w:color w:val="auto"/>
          <w:highlight w:val="none"/>
          <w:lang w:eastAsia="zh-CN"/>
        </w:rPr>
        <w:t>本项目委托</w:t>
      </w: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w:t>
      </w:r>
      <w:r>
        <w:rPr>
          <w:rFonts w:hint="default" w:ascii="Times New Roman" w:hAnsi="Times New Roman" w:cs="Times New Roman"/>
          <w:color w:val="auto"/>
          <w:highlight w:val="none"/>
          <w:lang w:val="en-US" w:eastAsia="zh-CN"/>
        </w:rPr>
        <w:t>于2021年4月16日对项目地区进行了地下水环境监测。</w:t>
      </w:r>
    </w:p>
    <w:p>
      <w:pPr>
        <w:pStyle w:val="5"/>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监测点位及时间</w:t>
      </w:r>
    </w:p>
    <w:p>
      <w:pPr>
        <w:tabs>
          <w:tab w:val="left" w:pos="0"/>
        </w:tabs>
        <w:bidi w:val="0"/>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pPr>
      <w:r>
        <w:rPr>
          <w:rFonts w:hint="default" w:ascii="Times New Roman" w:hAnsi="Times New Roman" w:cs="Times New Roman"/>
          <w:highlight w:val="none"/>
        </w:rPr>
        <w:t>根据</w:t>
      </w:r>
      <w:r>
        <w:rPr>
          <w:rFonts w:hint="default" w:ascii="Times New Roman" w:hAnsi="Times New Roman" w:cs="Times New Roman"/>
          <w:highlight w:val="none"/>
          <w:lang w:val="en-US" w:eastAsia="zh-CN"/>
        </w:rPr>
        <w:t>项目区</w:t>
      </w:r>
      <w:r>
        <w:rPr>
          <w:rFonts w:hint="default" w:ascii="Times New Roman" w:hAnsi="Times New Roman" w:cs="Times New Roman"/>
          <w:highlight w:val="none"/>
        </w:rPr>
        <w:t>地下水系自</w:t>
      </w:r>
      <w:r>
        <w:rPr>
          <w:rFonts w:hint="default" w:ascii="Times New Roman" w:hAnsi="Times New Roman" w:cs="Times New Roman"/>
          <w:highlight w:val="none"/>
          <w:lang w:val="en-US" w:eastAsia="zh-CN"/>
        </w:rPr>
        <w:t>南向北</w:t>
      </w:r>
      <w:r>
        <w:rPr>
          <w:rFonts w:hint="default" w:ascii="Times New Roman" w:hAnsi="Times New Roman" w:cs="Times New Roman"/>
          <w:highlight w:val="none"/>
        </w:rPr>
        <w:t>的流向和分布特征</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布设监测点位三个，具体布置位置见</w:t>
      </w:r>
      <w:r>
        <w:rPr>
          <w:rFonts w:hint="default" w:ascii="Times New Roman" w:hAnsi="Times New Roman" w:cs="Times New Roman"/>
          <w:highlight w:val="none"/>
          <w:lang w:val="en-US" w:eastAsia="zh-CN"/>
        </w:rPr>
        <w:fldChar w:fldCharType="begin"/>
      </w:r>
      <w:r>
        <w:rPr>
          <w:rFonts w:hint="default" w:ascii="Times New Roman" w:hAnsi="Times New Roman" w:cs="Times New Roman"/>
          <w:highlight w:val="none"/>
          <w:lang w:val="en-US" w:eastAsia="zh-CN"/>
        </w:rPr>
        <w:instrText xml:space="preserve"> REF _Ref18705 \n \h </w:instrText>
      </w:r>
      <w:r>
        <w:rPr>
          <w:rFonts w:hint="default" w:ascii="Times New Roman" w:hAnsi="Times New Roman" w:cs="Times New Roman"/>
          <w:highlight w:val="none"/>
          <w:lang w:val="en-US" w:eastAsia="zh-CN"/>
        </w:rPr>
        <w:fldChar w:fldCharType="separate"/>
      </w:r>
      <w:r>
        <w:rPr>
          <w:rFonts w:hint="default" w:ascii="Times New Roman" w:hAnsi="Times New Roman" w:cs="Times New Roman"/>
          <w:highlight w:val="none"/>
          <w:lang w:val="en-US" w:eastAsia="zh-CN"/>
        </w:rPr>
        <w:t>表3.4-11</w:t>
      </w:r>
      <w:r>
        <w:rPr>
          <w:rFonts w:hint="default" w:ascii="Times New Roman" w:hAnsi="Times New Roman" w:cs="Times New Roman"/>
          <w:highlight w:val="none"/>
          <w:lang w:val="en-US" w:eastAsia="zh-CN"/>
        </w:rPr>
        <w:fldChar w:fldCharType="end"/>
      </w:r>
      <w:r>
        <w:rPr>
          <w:rFonts w:hint="default" w:ascii="Times New Roman" w:hAnsi="Times New Roman" w:cs="Times New Roman"/>
          <w:highlight w:val="none"/>
          <w:lang w:val="en-US" w:eastAsia="zh-CN"/>
        </w:rPr>
        <w:t>与</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_Ref15435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图3.4-1</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begin"/>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instrText xml:space="preserve"> REF _Ref18625 \n \h </w:instrTex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separate"/>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图3.4-2</w:t>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fldChar w:fldCharType="end"/>
      </w:r>
      <w:r>
        <w:rPr>
          <w:rFonts w:hint="default" w:ascii="Times New Roman" w:hAnsi="Times New Roman" w:cs="Times New Roman"/>
          <w:color w:val="000000" w:themeColor="text1"/>
          <w:kern w:val="2"/>
          <w:szCs w:val="24"/>
          <w:highlight w:val="none"/>
          <w:lang w:val="en-US" w:eastAsia="zh-CN" w:bidi="ar"/>
          <w14:textFill>
            <w14:solidFill>
              <w14:schemeClr w14:val="tx1"/>
            </w14:solidFill>
          </w14:textFill>
        </w:rPr>
        <w:t>。</w:t>
      </w:r>
    </w:p>
    <w:p>
      <w:pPr>
        <w:pStyle w:val="21"/>
        <w:bidi w:val="0"/>
        <w:rPr>
          <w:rFonts w:hint="default" w:ascii="Times New Roman" w:hAnsi="Times New Roman" w:cs="Times New Roman"/>
          <w:highlight w:val="none"/>
          <w:lang w:val="en-US" w:eastAsia="zh-CN"/>
        </w:rPr>
      </w:pPr>
      <w:bookmarkStart w:id="110" w:name="_Ref18705"/>
      <w:bookmarkEnd w:id="110"/>
      <w:r>
        <w:rPr>
          <w:rFonts w:hint="default" w:ascii="Times New Roman" w:hAnsi="Times New Roman" w:cs="Times New Roman"/>
          <w:highlight w:val="none"/>
          <w:lang w:val="en-US" w:eastAsia="zh-CN"/>
        </w:rPr>
        <w:t>地下水监测点位</w:t>
      </w:r>
    </w:p>
    <w:tbl>
      <w:tblPr>
        <w:tblStyle w:val="1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5"/>
        <w:gridCol w:w="2150"/>
        <w:gridCol w:w="3411"/>
        <w:gridCol w:w="1476"/>
        <w:gridCol w:w="134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8"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点位编号</w:t>
            </w:r>
          </w:p>
        </w:tc>
        <w:tc>
          <w:tcPr>
            <w:tcW w:w="1164"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监测点位置</w:t>
            </w:r>
          </w:p>
        </w:tc>
        <w:tc>
          <w:tcPr>
            <w:tcW w:w="1847" w:type="pct"/>
            <w:vAlign w:val="center"/>
          </w:tcPr>
          <w:p>
            <w:pPr>
              <w:pStyle w:val="19"/>
              <w:bidi w:val="0"/>
              <w:rPr>
                <w:rFonts w:hint="default" w:ascii="Times New Roman" w:hAnsi="Times New Roman" w:eastAsia="宋体" w:cs="Times New Roman"/>
                <w:highlight w:val="none"/>
                <w:lang w:eastAsia="zh-CN"/>
              </w:rPr>
            </w:pPr>
            <w:r>
              <w:rPr>
                <w:rFonts w:hint="default" w:ascii="Times New Roman" w:hAnsi="Times New Roman" w:cs="Times New Roman"/>
                <w:highlight w:val="none"/>
                <w:lang w:val="en-US" w:eastAsia="zh-CN"/>
              </w:rPr>
              <w:t>经纬度</w:t>
            </w:r>
          </w:p>
        </w:tc>
        <w:tc>
          <w:tcPr>
            <w:tcW w:w="799"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监测日期</w:t>
            </w:r>
          </w:p>
        </w:tc>
        <w:tc>
          <w:tcPr>
            <w:tcW w:w="729"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监测单位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8"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D</w:t>
            </w:r>
            <w:r>
              <w:rPr>
                <w:rFonts w:hint="default" w:ascii="Times New Roman" w:hAnsi="Times New Roman" w:cs="Times New Roman"/>
                <w:highlight w:val="none"/>
              </w:rPr>
              <w:t>1</w:t>
            </w:r>
          </w:p>
        </w:tc>
        <w:tc>
          <w:tcPr>
            <w:tcW w:w="1164" w:type="pct"/>
            <w:vAlign w:val="center"/>
          </w:tcPr>
          <w:p>
            <w:pPr>
              <w:pStyle w:val="19"/>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上安水库附近</w:t>
            </w:r>
          </w:p>
        </w:tc>
        <w:tc>
          <w:tcPr>
            <w:tcW w:w="1847" w:type="pct"/>
            <w:vAlign w:val="center"/>
          </w:tcPr>
          <w:p>
            <w:pPr>
              <w:pStyle w:val="19"/>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120.0146568</w:t>
            </w:r>
            <w:r>
              <w:rPr>
                <w:rFonts w:hint="default" w:ascii="Times New Roman" w:hAnsi="Times New Roman" w:cs="Times New Roman"/>
                <w:highlight w:val="none"/>
                <w:lang w:val="en-US" w:eastAsia="zh-CN"/>
              </w:rPr>
              <w:t>°E  27.254373°N</w:t>
            </w:r>
          </w:p>
        </w:tc>
        <w:tc>
          <w:tcPr>
            <w:tcW w:w="799" w:type="pct"/>
            <w:vMerge w:val="restart"/>
            <w:vAlign w:val="center"/>
          </w:tcPr>
          <w:p>
            <w:pPr>
              <w:pStyle w:val="19"/>
              <w:bidi w:val="0"/>
              <w:jc w:val="both"/>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2021.4.16</w:t>
            </w:r>
          </w:p>
        </w:tc>
        <w:tc>
          <w:tcPr>
            <w:tcW w:w="729" w:type="pct"/>
            <w:vMerge w:val="restart"/>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bCs/>
                <w:color w:val="000000" w:themeColor="text1"/>
                <w:kern w:val="2"/>
                <w:szCs w:val="32"/>
                <w:highlight w:val="none"/>
                <w:lang w:val="en-US" w:eastAsia="zh-CN"/>
                <w14:textFill>
                  <w14:solidFill>
                    <w14:schemeClr w14:val="tx1"/>
                  </w14:solidFill>
                </w14:textFill>
              </w:rPr>
              <w:t>福建中科环境检测技术有限公司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8"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D</w:t>
            </w:r>
            <w:r>
              <w:rPr>
                <w:rFonts w:hint="default" w:ascii="Times New Roman" w:hAnsi="Times New Roman" w:cs="Times New Roman"/>
                <w:highlight w:val="none"/>
              </w:rPr>
              <w:t>2</w:t>
            </w:r>
          </w:p>
        </w:tc>
        <w:tc>
          <w:tcPr>
            <w:tcW w:w="1164"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天竹水库附近</w:t>
            </w:r>
          </w:p>
        </w:tc>
        <w:tc>
          <w:tcPr>
            <w:tcW w:w="1847"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119.9790834</w:t>
            </w:r>
            <w:r>
              <w:rPr>
                <w:rFonts w:hint="default" w:ascii="Times New Roman" w:hAnsi="Times New Roman" w:cs="Times New Roman"/>
                <w:highlight w:val="none"/>
                <w:lang w:val="en-US" w:eastAsia="zh-CN"/>
              </w:rPr>
              <w:t>°E  27.345931°N</w:t>
            </w:r>
          </w:p>
        </w:tc>
        <w:tc>
          <w:tcPr>
            <w:tcW w:w="799" w:type="pct"/>
            <w:vMerge w:val="continue"/>
            <w:vAlign w:val="center"/>
          </w:tcPr>
          <w:p>
            <w:pPr>
              <w:pStyle w:val="19"/>
              <w:bidi w:val="0"/>
              <w:rPr>
                <w:rFonts w:hint="default" w:ascii="Times New Roman" w:hAnsi="Times New Roman" w:cs="Times New Roman"/>
                <w:highlight w:val="none"/>
              </w:rPr>
            </w:pPr>
          </w:p>
        </w:tc>
        <w:tc>
          <w:tcPr>
            <w:tcW w:w="729" w:type="pct"/>
            <w:vMerge w:val="continue"/>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8"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D</w:t>
            </w:r>
            <w:r>
              <w:rPr>
                <w:rFonts w:hint="default" w:ascii="Times New Roman" w:hAnsi="Times New Roman" w:cs="Times New Roman"/>
                <w:highlight w:val="none"/>
              </w:rPr>
              <w:t>3</w:t>
            </w:r>
          </w:p>
        </w:tc>
        <w:tc>
          <w:tcPr>
            <w:tcW w:w="1164" w:type="pct"/>
            <w:vAlign w:val="center"/>
          </w:tcPr>
          <w:p>
            <w:pPr>
              <w:pStyle w:val="19"/>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龙井溪拦水坝附近</w:t>
            </w:r>
          </w:p>
        </w:tc>
        <w:tc>
          <w:tcPr>
            <w:tcW w:w="1847" w:type="pct"/>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120.0103741</w:t>
            </w:r>
            <w:r>
              <w:rPr>
                <w:rFonts w:hint="default" w:ascii="Times New Roman" w:hAnsi="Times New Roman" w:cs="Times New Roman"/>
                <w:highlight w:val="none"/>
                <w:lang w:val="en-US" w:eastAsia="zh-CN"/>
              </w:rPr>
              <w:t>°E  27.343716°N</w:t>
            </w:r>
          </w:p>
        </w:tc>
        <w:tc>
          <w:tcPr>
            <w:tcW w:w="799" w:type="pct"/>
            <w:vMerge w:val="continue"/>
            <w:vAlign w:val="center"/>
          </w:tcPr>
          <w:p>
            <w:pPr>
              <w:pStyle w:val="19"/>
              <w:bidi w:val="0"/>
              <w:rPr>
                <w:rFonts w:hint="default" w:ascii="Times New Roman" w:hAnsi="Times New Roman" w:cs="Times New Roman"/>
                <w:highlight w:val="none"/>
              </w:rPr>
            </w:pPr>
          </w:p>
        </w:tc>
        <w:tc>
          <w:tcPr>
            <w:tcW w:w="729" w:type="pct"/>
            <w:vMerge w:val="continue"/>
            <w:vAlign w:val="center"/>
          </w:tcPr>
          <w:p>
            <w:pPr>
              <w:pStyle w:val="19"/>
              <w:bidi w:val="0"/>
              <w:rPr>
                <w:rFonts w:hint="default" w:ascii="Times New Roman" w:hAnsi="Times New Roman" w:cs="Times New Roman"/>
                <w:highlight w:val="none"/>
              </w:rPr>
            </w:pPr>
          </w:p>
        </w:tc>
      </w:tr>
    </w:tbl>
    <w:p>
      <w:pPr>
        <w:pStyle w:val="5"/>
        <w:bidi w:val="0"/>
        <w:rPr>
          <w:rFonts w:hint="default" w:ascii="Times New Roman" w:hAnsi="Times New Roman" w:cs="Times New Roman"/>
          <w:highlight w:val="none"/>
        </w:rPr>
      </w:pPr>
      <w:r>
        <w:rPr>
          <w:rFonts w:hint="default" w:ascii="Times New Roman" w:hAnsi="Times New Roman" w:cs="Times New Roman"/>
          <w:highlight w:val="none"/>
        </w:rPr>
        <w:t>监测项目</w:t>
      </w:r>
    </w:p>
    <w:p>
      <w:pPr>
        <w:widowControl/>
        <w:ind w:firstLine="480"/>
        <w:rPr>
          <w:rFonts w:hint="default" w:ascii="Times New Roman" w:hAnsi="Times New Roman" w:eastAsia="宋体" w:cs="Times New Roman"/>
          <w:highlight w:val="none"/>
        </w:rPr>
      </w:pPr>
      <w:r>
        <w:rPr>
          <w:rFonts w:hint="default" w:ascii="Times New Roman" w:hAnsi="Times New Roman" w:eastAsia="宋体" w:cs="Times New Roman"/>
          <w:szCs w:val="24"/>
          <w:highlight w:val="none"/>
        </w:rPr>
        <w:t>基本离子： K</w:t>
      </w:r>
      <w:r>
        <w:rPr>
          <w:rFonts w:hint="default" w:ascii="Times New Roman" w:hAnsi="Times New Roman" w:eastAsia="宋体" w:cs="Times New Roman"/>
          <w:szCs w:val="24"/>
          <w:highlight w:val="none"/>
          <w:vertAlign w:val="superscript"/>
        </w:rPr>
        <w:t>+</w:t>
      </w:r>
      <w:r>
        <w:rPr>
          <w:rFonts w:hint="default" w:ascii="Times New Roman" w:hAnsi="Times New Roman" w:eastAsia="宋体" w:cs="Times New Roman"/>
          <w:szCs w:val="24"/>
          <w:highlight w:val="none"/>
        </w:rPr>
        <w:t>、 Na</w:t>
      </w:r>
      <w:r>
        <w:rPr>
          <w:rFonts w:hint="default" w:ascii="Times New Roman" w:hAnsi="Times New Roman" w:eastAsia="宋体" w:cs="Times New Roman"/>
          <w:szCs w:val="24"/>
          <w:highlight w:val="none"/>
          <w:vertAlign w:val="superscript"/>
        </w:rPr>
        <w:t>+</w:t>
      </w:r>
      <w:r>
        <w:rPr>
          <w:rFonts w:hint="default" w:ascii="Times New Roman" w:hAnsi="Times New Roman" w:eastAsia="宋体" w:cs="Times New Roman"/>
          <w:szCs w:val="24"/>
          <w:highlight w:val="none"/>
        </w:rPr>
        <w:t>、 Ca</w:t>
      </w:r>
      <w:r>
        <w:rPr>
          <w:rFonts w:hint="default" w:ascii="Times New Roman" w:hAnsi="Times New Roman" w:eastAsia="宋体" w:cs="Times New Roman"/>
          <w:szCs w:val="24"/>
          <w:highlight w:val="none"/>
          <w:vertAlign w:val="superscript"/>
        </w:rPr>
        <w:t>2+</w:t>
      </w:r>
      <w:r>
        <w:rPr>
          <w:rFonts w:hint="default" w:ascii="Times New Roman" w:hAnsi="Times New Roman" w:eastAsia="宋体" w:cs="Times New Roman"/>
          <w:szCs w:val="24"/>
          <w:highlight w:val="none"/>
        </w:rPr>
        <w:t>、 Mg</w:t>
      </w:r>
      <w:r>
        <w:rPr>
          <w:rFonts w:hint="default" w:ascii="Times New Roman" w:hAnsi="Times New Roman" w:eastAsia="宋体" w:cs="Times New Roman"/>
          <w:szCs w:val="24"/>
          <w:highlight w:val="none"/>
          <w:vertAlign w:val="superscript"/>
        </w:rPr>
        <w:t>2+</w:t>
      </w:r>
      <w:r>
        <w:rPr>
          <w:rFonts w:hint="default" w:ascii="Times New Roman" w:hAnsi="Times New Roman" w:eastAsia="宋体" w:cs="Times New Roman"/>
          <w:szCs w:val="24"/>
          <w:highlight w:val="none"/>
        </w:rPr>
        <w:t>、 CO</w:t>
      </w:r>
      <w:r>
        <w:rPr>
          <w:rFonts w:hint="default" w:ascii="Times New Roman" w:hAnsi="Times New Roman" w:eastAsia="宋体" w:cs="Times New Roman"/>
          <w:sz w:val="16"/>
          <w:szCs w:val="16"/>
          <w:highlight w:val="none"/>
        </w:rPr>
        <w:t>3</w:t>
      </w:r>
      <w:r>
        <w:rPr>
          <w:rFonts w:hint="default" w:ascii="Times New Roman" w:hAnsi="Times New Roman" w:eastAsia="宋体" w:cs="Times New Roman"/>
          <w:szCs w:val="24"/>
          <w:highlight w:val="none"/>
          <w:vertAlign w:val="superscript"/>
        </w:rPr>
        <w:t>2-</w:t>
      </w:r>
      <w:r>
        <w:rPr>
          <w:rFonts w:hint="default" w:ascii="Times New Roman" w:hAnsi="Times New Roman" w:eastAsia="宋体" w:cs="Times New Roman"/>
          <w:szCs w:val="24"/>
          <w:highlight w:val="none"/>
        </w:rPr>
        <w:t>、 HCO</w:t>
      </w:r>
      <w:r>
        <w:rPr>
          <w:rFonts w:hint="default" w:ascii="Times New Roman" w:hAnsi="Times New Roman" w:eastAsia="宋体" w:cs="Times New Roman"/>
          <w:szCs w:val="24"/>
          <w:highlight w:val="none"/>
          <w:vertAlign w:val="subscript"/>
        </w:rPr>
        <w:t>3</w:t>
      </w:r>
      <w:r>
        <w:rPr>
          <w:rFonts w:hint="default" w:ascii="Times New Roman" w:hAnsi="Times New Roman" w:eastAsia="宋体" w:cs="Times New Roman"/>
          <w:szCs w:val="24"/>
          <w:highlight w:val="none"/>
          <w:vertAlign w:val="superscript"/>
        </w:rPr>
        <w:t>-</w:t>
      </w:r>
      <w:r>
        <w:rPr>
          <w:rFonts w:hint="default" w:ascii="Times New Roman" w:hAnsi="Times New Roman" w:eastAsia="宋体" w:cs="Times New Roman"/>
          <w:szCs w:val="24"/>
          <w:highlight w:val="none"/>
        </w:rPr>
        <w:t>、 Cl</w:t>
      </w:r>
      <w:r>
        <w:rPr>
          <w:rFonts w:hint="default" w:ascii="Times New Roman" w:hAnsi="Times New Roman" w:eastAsia="宋体" w:cs="Times New Roman"/>
          <w:szCs w:val="24"/>
          <w:highlight w:val="none"/>
          <w:vertAlign w:val="superscript"/>
        </w:rPr>
        <w:t>-</w:t>
      </w:r>
      <w:r>
        <w:rPr>
          <w:rFonts w:hint="default" w:ascii="Times New Roman" w:hAnsi="Times New Roman" w:eastAsia="宋体" w:cs="Times New Roman"/>
          <w:szCs w:val="24"/>
          <w:highlight w:val="none"/>
        </w:rPr>
        <w:t>、 SO</w:t>
      </w:r>
      <w:r>
        <w:rPr>
          <w:rFonts w:hint="default" w:ascii="Times New Roman" w:hAnsi="Times New Roman" w:eastAsia="宋体" w:cs="Times New Roman"/>
          <w:sz w:val="16"/>
          <w:szCs w:val="16"/>
          <w:highlight w:val="none"/>
        </w:rPr>
        <w:t>4</w:t>
      </w:r>
      <w:r>
        <w:rPr>
          <w:rFonts w:hint="default" w:ascii="Times New Roman" w:hAnsi="Times New Roman" w:eastAsia="宋体" w:cs="Times New Roman"/>
          <w:szCs w:val="24"/>
          <w:highlight w:val="none"/>
          <w:vertAlign w:val="superscript"/>
        </w:rPr>
        <w:t>2-</w:t>
      </w:r>
      <w:r>
        <w:rPr>
          <w:rFonts w:hint="default" w:ascii="Times New Roman" w:hAnsi="Times New Roman" w:eastAsia="宋体" w:cs="Times New Roman"/>
          <w:szCs w:val="24"/>
          <w:highlight w:val="none"/>
        </w:rPr>
        <w:t xml:space="preserve">； </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基本指标及特征指标： 氨氮</w:t>
      </w:r>
      <w:r>
        <w:rPr>
          <w:rFonts w:hint="default" w:ascii="Times New Roman" w:hAnsi="Times New Roman" w:cs="Times New Roman"/>
          <w:highlight w:val="none"/>
          <w:lang w:eastAsia="zh-CN"/>
        </w:rPr>
        <w:t>、</w:t>
      </w:r>
      <w:r>
        <w:rPr>
          <w:rFonts w:hint="default" w:ascii="Times New Roman" w:hAnsi="Times New Roman" w:cs="Times New Roman"/>
          <w:highlight w:val="none"/>
        </w:rPr>
        <w:t>硝酸盐（氮）</w:t>
      </w:r>
      <w:r>
        <w:rPr>
          <w:rFonts w:hint="default" w:ascii="Times New Roman" w:hAnsi="Times New Roman" w:cs="Times New Roman"/>
          <w:highlight w:val="none"/>
          <w:lang w:eastAsia="zh-CN"/>
        </w:rPr>
        <w:t>、</w:t>
      </w:r>
      <w:r>
        <w:rPr>
          <w:rFonts w:hint="default" w:ascii="Times New Roman" w:hAnsi="Times New Roman" w:cs="Times New Roman"/>
          <w:highlight w:val="none"/>
        </w:rPr>
        <w:t>亚硝酸盐氮</w:t>
      </w:r>
      <w:r>
        <w:rPr>
          <w:rFonts w:hint="default" w:ascii="Times New Roman" w:hAnsi="Times New Roman" w:cs="Times New Roman"/>
          <w:highlight w:val="none"/>
          <w:lang w:eastAsia="zh-CN"/>
        </w:rPr>
        <w:t>、</w:t>
      </w:r>
      <w:r>
        <w:rPr>
          <w:rFonts w:hint="default" w:ascii="Times New Roman" w:hAnsi="Times New Roman" w:cs="Times New Roman"/>
          <w:highlight w:val="none"/>
        </w:rPr>
        <w:t>挥发酚</w:t>
      </w:r>
      <w:r>
        <w:rPr>
          <w:rFonts w:hint="default" w:ascii="Times New Roman" w:hAnsi="Times New Roman" w:cs="Times New Roman"/>
          <w:highlight w:val="none"/>
          <w:lang w:eastAsia="zh-CN"/>
        </w:rPr>
        <w:t>、</w:t>
      </w:r>
      <w:r>
        <w:rPr>
          <w:rFonts w:hint="default" w:ascii="Times New Roman" w:hAnsi="Times New Roman" w:cs="Times New Roman"/>
          <w:highlight w:val="none"/>
        </w:rPr>
        <w:t>氰化物</w:t>
      </w:r>
      <w:r>
        <w:rPr>
          <w:rFonts w:hint="default" w:ascii="Times New Roman" w:hAnsi="Times New Roman" w:cs="Times New Roman"/>
          <w:highlight w:val="none"/>
          <w:lang w:eastAsia="zh-CN"/>
        </w:rPr>
        <w:t>、</w:t>
      </w:r>
      <w:r>
        <w:rPr>
          <w:rFonts w:hint="default" w:ascii="Times New Roman" w:hAnsi="Times New Roman" w:cs="Times New Roman"/>
          <w:highlight w:val="none"/>
        </w:rPr>
        <w:t>砷</w:t>
      </w:r>
      <w:r>
        <w:rPr>
          <w:rFonts w:hint="default" w:ascii="Times New Roman" w:hAnsi="Times New Roman" w:cs="Times New Roman"/>
          <w:highlight w:val="none"/>
          <w:lang w:eastAsia="zh-CN"/>
        </w:rPr>
        <w:t>、</w:t>
      </w:r>
      <w:r>
        <w:rPr>
          <w:rFonts w:hint="default" w:ascii="Times New Roman" w:hAnsi="Times New Roman" w:cs="Times New Roman"/>
          <w:highlight w:val="none"/>
        </w:rPr>
        <w:t>汞</w:t>
      </w:r>
      <w:r>
        <w:rPr>
          <w:rFonts w:hint="default" w:ascii="Times New Roman" w:hAnsi="Times New Roman" w:cs="Times New Roman"/>
          <w:highlight w:val="none"/>
          <w:lang w:eastAsia="zh-CN"/>
        </w:rPr>
        <w:t>、</w:t>
      </w:r>
      <w:r>
        <w:rPr>
          <w:rFonts w:hint="default" w:ascii="Times New Roman" w:hAnsi="Times New Roman" w:cs="Times New Roman"/>
          <w:highlight w:val="none"/>
        </w:rPr>
        <w:t>六价铬</w:t>
      </w:r>
      <w:r>
        <w:rPr>
          <w:rFonts w:hint="default" w:ascii="Times New Roman" w:hAnsi="Times New Roman" w:cs="Times New Roman"/>
          <w:highlight w:val="none"/>
          <w:lang w:eastAsia="zh-CN"/>
        </w:rPr>
        <w:t>、</w:t>
      </w:r>
      <w:r>
        <w:rPr>
          <w:rFonts w:hint="default" w:ascii="Times New Roman" w:hAnsi="Times New Roman" w:cs="Times New Roman"/>
          <w:highlight w:val="none"/>
        </w:rPr>
        <w:t>总硬度</w:t>
      </w:r>
      <w:r>
        <w:rPr>
          <w:rFonts w:hint="default" w:ascii="Times New Roman" w:hAnsi="Times New Roman" w:cs="Times New Roman"/>
          <w:highlight w:val="none"/>
          <w:lang w:eastAsia="zh-CN"/>
        </w:rPr>
        <w:t>、</w:t>
      </w:r>
      <w:r>
        <w:rPr>
          <w:rFonts w:hint="default" w:ascii="Times New Roman" w:hAnsi="Times New Roman" w:cs="Times New Roman"/>
          <w:highlight w:val="none"/>
        </w:rPr>
        <w:t>铅</w:t>
      </w:r>
      <w:r>
        <w:rPr>
          <w:rFonts w:hint="default" w:ascii="Times New Roman" w:hAnsi="Times New Roman" w:cs="Times New Roman"/>
          <w:highlight w:val="none"/>
          <w:lang w:eastAsia="zh-CN"/>
        </w:rPr>
        <w:t>、</w:t>
      </w:r>
      <w:r>
        <w:rPr>
          <w:rFonts w:hint="default" w:ascii="Times New Roman" w:hAnsi="Times New Roman" w:cs="Times New Roman"/>
          <w:highlight w:val="none"/>
        </w:rPr>
        <w:t>氟化物</w:t>
      </w:r>
      <w:r>
        <w:rPr>
          <w:rFonts w:hint="default" w:ascii="Times New Roman" w:hAnsi="Times New Roman" w:cs="Times New Roman"/>
          <w:highlight w:val="none"/>
          <w:lang w:eastAsia="zh-CN"/>
        </w:rPr>
        <w:t>、</w:t>
      </w:r>
      <w:r>
        <w:rPr>
          <w:rFonts w:hint="default" w:ascii="Times New Roman" w:hAnsi="Times New Roman" w:cs="Times New Roman"/>
          <w:highlight w:val="none"/>
        </w:rPr>
        <w:t>镉</w:t>
      </w:r>
      <w:r>
        <w:rPr>
          <w:rFonts w:hint="default" w:ascii="Times New Roman" w:hAnsi="Times New Roman" w:cs="Times New Roman"/>
          <w:highlight w:val="none"/>
          <w:lang w:eastAsia="zh-CN"/>
        </w:rPr>
        <w:t>、</w:t>
      </w:r>
      <w:r>
        <w:rPr>
          <w:rFonts w:hint="default" w:ascii="Times New Roman" w:hAnsi="Times New Roman" w:cs="Times New Roman"/>
          <w:highlight w:val="none"/>
        </w:rPr>
        <w:t>铁</w:t>
      </w:r>
      <w:r>
        <w:rPr>
          <w:rFonts w:hint="default" w:ascii="Times New Roman" w:hAnsi="Times New Roman" w:cs="Times New Roman"/>
          <w:highlight w:val="none"/>
          <w:lang w:eastAsia="zh-CN"/>
        </w:rPr>
        <w:t>、</w:t>
      </w:r>
      <w:r>
        <w:rPr>
          <w:rFonts w:hint="default" w:ascii="Times New Roman" w:hAnsi="Times New Roman" w:cs="Times New Roman"/>
          <w:highlight w:val="none"/>
        </w:rPr>
        <w:t>耗氧量</w:t>
      </w:r>
      <w:r>
        <w:rPr>
          <w:rFonts w:hint="default" w:ascii="Times New Roman" w:hAnsi="Times New Roman" w:cs="Times New Roman"/>
          <w:highlight w:val="none"/>
          <w:lang w:eastAsia="zh-CN"/>
        </w:rPr>
        <w:t>、</w:t>
      </w:r>
      <w:r>
        <w:rPr>
          <w:rFonts w:hint="default" w:ascii="Times New Roman" w:hAnsi="Times New Roman" w:cs="Times New Roman"/>
          <w:highlight w:val="none"/>
        </w:rPr>
        <w:t>硫酸盐</w:t>
      </w:r>
      <w:r>
        <w:rPr>
          <w:rFonts w:hint="default" w:ascii="Times New Roman" w:hAnsi="Times New Roman" w:cs="Times New Roman"/>
          <w:highlight w:val="none"/>
          <w:lang w:eastAsia="zh-CN"/>
        </w:rPr>
        <w:t>、</w:t>
      </w:r>
      <w:r>
        <w:rPr>
          <w:rFonts w:hint="default" w:ascii="Times New Roman" w:hAnsi="Times New Roman" w:cs="Times New Roman"/>
          <w:highlight w:val="none"/>
        </w:rPr>
        <w:t>氯化物</w:t>
      </w:r>
      <w:r>
        <w:rPr>
          <w:rFonts w:hint="default" w:ascii="Times New Roman" w:hAnsi="Times New Roman" w:cs="Times New Roman"/>
          <w:highlight w:val="none"/>
          <w:lang w:eastAsia="zh-CN"/>
        </w:rPr>
        <w:t>、</w:t>
      </w:r>
      <w:r>
        <w:rPr>
          <w:rFonts w:hint="default" w:ascii="Times New Roman" w:hAnsi="Times New Roman" w:cs="Times New Roman"/>
          <w:highlight w:val="none"/>
        </w:rPr>
        <w:t>细菌总数</w:t>
      </w:r>
      <w:r>
        <w:rPr>
          <w:rFonts w:hint="default" w:ascii="Times New Roman" w:hAnsi="Times New Roman" w:cs="Times New Roman"/>
          <w:highlight w:val="none"/>
          <w:lang w:eastAsia="zh-CN"/>
        </w:rPr>
        <w:t>、</w:t>
      </w:r>
      <w:r>
        <w:rPr>
          <w:rFonts w:hint="default" w:ascii="Times New Roman" w:hAnsi="Times New Roman" w:cs="Times New Roman"/>
          <w:highlight w:val="none"/>
        </w:rPr>
        <w:t xml:space="preserve">总大肠菌群。 </w:t>
      </w:r>
    </w:p>
    <w:p>
      <w:pPr>
        <w:pStyle w:val="5"/>
        <w:bidi w:val="0"/>
        <w:rPr>
          <w:rFonts w:hint="default" w:ascii="Times New Roman" w:hAnsi="Times New Roman" w:cs="Times New Roman"/>
          <w:highlight w:val="none"/>
        </w:rPr>
      </w:pPr>
      <w:r>
        <w:rPr>
          <w:rFonts w:hint="default" w:ascii="Times New Roman" w:hAnsi="Times New Roman" w:cs="Times New Roman"/>
          <w:highlight w:val="none"/>
        </w:rPr>
        <w:t>执行标准及分析方法</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地下水评价采用《地下水质量标准》(GB/T14848-2017)中Ⅲ类标准。监测项目与具体分析方法详见</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_Ref22020 \n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lang w:eastAsia="zh-CN"/>
        </w:rPr>
        <w:t>表3.4-12</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lang w:eastAsia="zh-CN"/>
        </w:rPr>
        <w:t>。</w:t>
      </w:r>
    </w:p>
    <w:p>
      <w:pPr>
        <w:pStyle w:val="21"/>
        <w:bidi w:val="0"/>
        <w:rPr>
          <w:rFonts w:hint="default" w:ascii="Times New Roman" w:hAnsi="Times New Roman" w:cs="Times New Roman"/>
          <w:highlight w:val="none"/>
        </w:rPr>
      </w:pPr>
      <w:bookmarkStart w:id="111" w:name="_Ref22020"/>
      <w:bookmarkEnd w:id="111"/>
      <w:r>
        <w:rPr>
          <w:rFonts w:hint="default" w:ascii="Times New Roman" w:hAnsi="Times New Roman" w:cs="Times New Roman"/>
          <w:highlight w:val="none"/>
        </w:rPr>
        <w:t>监测地下水监测项目与分析方法表</w:t>
      </w:r>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022"/>
        <w:gridCol w:w="4377"/>
        <w:gridCol w:w="1678"/>
        <w:gridCol w:w="19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bCs/>
                <w:kern w:val="44"/>
                <w:sz w:val="21"/>
                <w:szCs w:val="21"/>
                <w:highlight w:val="none"/>
              </w:rPr>
            </w:pPr>
            <w:r>
              <w:rPr>
                <w:rFonts w:hint="default" w:ascii="Times New Roman" w:hAnsi="Times New Roman" w:eastAsia="宋体" w:cs="Times New Roman"/>
                <w:bCs/>
                <w:kern w:val="44"/>
                <w:sz w:val="21"/>
                <w:szCs w:val="21"/>
                <w:highlight w:val="none"/>
              </w:rPr>
              <w:t>项目名称</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bCs/>
                <w:kern w:val="44"/>
                <w:sz w:val="21"/>
                <w:szCs w:val="21"/>
                <w:highlight w:val="none"/>
              </w:rPr>
            </w:pPr>
            <w:r>
              <w:rPr>
                <w:rFonts w:hint="default" w:ascii="Times New Roman" w:hAnsi="Times New Roman" w:eastAsia="宋体" w:cs="Times New Roman"/>
                <w:bCs/>
                <w:kern w:val="44"/>
                <w:sz w:val="21"/>
                <w:szCs w:val="21"/>
                <w:highlight w:val="none"/>
              </w:rPr>
              <w:t>分析方法</w:t>
            </w:r>
          </w:p>
        </w:tc>
        <w:tc>
          <w:tcPr>
            <w:tcW w:w="925"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bCs/>
                <w:kern w:val="44"/>
                <w:sz w:val="21"/>
                <w:szCs w:val="21"/>
                <w:highlight w:val="none"/>
              </w:rPr>
            </w:pPr>
            <w:r>
              <w:rPr>
                <w:rFonts w:hint="default" w:ascii="Times New Roman" w:hAnsi="Times New Roman" w:eastAsia="宋体" w:cs="Times New Roman"/>
                <w:bCs/>
                <w:kern w:val="44"/>
                <w:sz w:val="21"/>
                <w:szCs w:val="21"/>
                <w:highlight w:val="none"/>
              </w:rPr>
              <w:t>最低检出浓度</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bCs/>
                <w:kern w:val="44"/>
                <w:sz w:val="21"/>
                <w:szCs w:val="21"/>
                <w:highlight w:val="none"/>
              </w:rPr>
            </w:pPr>
            <w:r>
              <w:rPr>
                <w:rFonts w:hint="default" w:ascii="Times New Roman" w:hAnsi="Times New Roman" w:cs="Times New Roman"/>
                <w:sz w:val="21"/>
                <w:szCs w:val="21"/>
                <w:highlight w:val="none"/>
              </w:rPr>
              <w:t>仪器信息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bidi="ar-SA"/>
              </w:rPr>
              <w:t>K</w:t>
            </w:r>
            <w:r>
              <w:rPr>
                <w:rFonts w:hint="default" w:ascii="Times New Roman" w:hAnsi="Times New Roman" w:cs="Times New Roman"/>
                <w:color w:val="auto"/>
                <w:kern w:val="2"/>
                <w:sz w:val="21"/>
                <w:szCs w:val="21"/>
                <w:highlight w:val="none"/>
                <w:vertAlign w:val="superscript"/>
                <w:lang w:val="en-US" w:eastAsia="zh-CN" w:bidi="ar-SA"/>
              </w:rPr>
              <w:t>+</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水质 钾</w:t>
            </w:r>
            <w:r>
              <w:rPr>
                <w:rFonts w:hint="default" w:ascii="Times New Roman" w:hAnsi="Times New Roman" w:cs="Times New Roman"/>
                <w:color w:val="auto"/>
                <w:kern w:val="2"/>
                <w:sz w:val="21"/>
                <w:szCs w:val="21"/>
                <w:highlight w:val="none"/>
                <w:lang w:eastAsia="zh-CN"/>
              </w:rPr>
              <w:t>和</w:t>
            </w:r>
            <w:r>
              <w:rPr>
                <w:rFonts w:hint="default" w:ascii="Times New Roman" w:hAnsi="Times New Roman" w:cs="Times New Roman"/>
                <w:color w:val="auto"/>
                <w:kern w:val="2"/>
                <w:sz w:val="21"/>
                <w:szCs w:val="21"/>
                <w:highlight w:val="none"/>
              </w:rPr>
              <w:t>钠的测定</w:t>
            </w:r>
            <w:r>
              <w:rPr>
                <w:rFonts w:hint="default" w:ascii="Times New Roman" w:hAnsi="Times New Roman" w:cs="Times New Roman"/>
                <w:color w:val="auto"/>
                <w:kern w:val="2"/>
                <w:sz w:val="21"/>
                <w:szCs w:val="21"/>
                <w:highlight w:val="none"/>
                <w:lang w:val="en-US" w:eastAsia="zh-CN"/>
              </w:rPr>
              <w:t xml:space="preserve"> </w:t>
            </w:r>
            <w:r>
              <w:rPr>
                <w:rFonts w:hint="default" w:ascii="Times New Roman" w:hAnsi="Times New Roman" w:cs="Times New Roman"/>
                <w:color w:val="auto"/>
                <w:kern w:val="2"/>
                <w:sz w:val="21"/>
                <w:szCs w:val="21"/>
                <w:highlight w:val="none"/>
              </w:rPr>
              <w:t>火焰原子吸收分光光度法</w:t>
            </w:r>
          </w:p>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rPr>
              <w:t>GB 11904-1989</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0.05mg/L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 w:val="21"/>
                <w:szCs w:val="21"/>
                <w:highlight w:val="no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水质 钾</w:t>
            </w:r>
            <w:r>
              <w:rPr>
                <w:rFonts w:hint="default" w:ascii="Times New Roman" w:hAnsi="Times New Roman" w:cs="Times New Roman"/>
                <w:color w:val="auto"/>
                <w:kern w:val="2"/>
                <w:sz w:val="21"/>
                <w:szCs w:val="21"/>
                <w:highlight w:val="none"/>
                <w:lang w:eastAsia="zh-CN"/>
              </w:rPr>
              <w:t>和</w:t>
            </w:r>
            <w:r>
              <w:rPr>
                <w:rFonts w:hint="default" w:ascii="Times New Roman" w:hAnsi="Times New Roman" w:cs="Times New Roman"/>
                <w:color w:val="auto"/>
                <w:kern w:val="2"/>
                <w:sz w:val="21"/>
                <w:szCs w:val="21"/>
                <w:highlight w:val="none"/>
              </w:rPr>
              <w:t>钠的测定</w:t>
            </w:r>
            <w:r>
              <w:rPr>
                <w:rFonts w:hint="default" w:ascii="Times New Roman" w:hAnsi="Times New Roman" w:cs="Times New Roman"/>
                <w:color w:val="auto"/>
                <w:kern w:val="2"/>
                <w:sz w:val="21"/>
                <w:szCs w:val="21"/>
                <w:highlight w:val="none"/>
                <w:lang w:val="en-US" w:eastAsia="zh-CN"/>
              </w:rPr>
              <w:t xml:space="preserve"> </w:t>
            </w:r>
            <w:r>
              <w:rPr>
                <w:rFonts w:hint="default" w:ascii="Times New Roman" w:hAnsi="Times New Roman" w:cs="Times New Roman"/>
                <w:color w:val="auto"/>
                <w:kern w:val="2"/>
                <w:sz w:val="21"/>
                <w:szCs w:val="21"/>
                <w:highlight w:val="none"/>
              </w:rPr>
              <w:t>火焰原子</w:t>
            </w:r>
            <w:r>
              <w:rPr>
                <w:rFonts w:hint="default" w:ascii="Times New Roman" w:hAnsi="Times New Roman" w:cs="Times New Roman"/>
                <w:color w:val="auto"/>
                <w:kern w:val="2"/>
                <w:sz w:val="21"/>
                <w:szCs w:val="21"/>
                <w:highlight w:val="none"/>
                <w:lang w:eastAsia="zh-CN"/>
              </w:rPr>
              <w:t>吸收</w:t>
            </w:r>
            <w:r>
              <w:rPr>
                <w:rFonts w:hint="default" w:ascii="Times New Roman" w:hAnsi="Times New Roman" w:cs="Times New Roman"/>
                <w:color w:val="auto"/>
                <w:kern w:val="2"/>
                <w:sz w:val="21"/>
                <w:szCs w:val="21"/>
                <w:highlight w:val="none"/>
              </w:rPr>
              <w:t>分光光度法</w:t>
            </w:r>
          </w:p>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rPr>
              <w:t>GB 11904-1989</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0.01mg/L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bidi="ar-SA"/>
              </w:rPr>
              <w:t>Ca</w:t>
            </w:r>
            <w:r>
              <w:rPr>
                <w:rFonts w:hint="default" w:ascii="Times New Roman" w:hAnsi="Times New Roman" w:cs="Times New Roman"/>
                <w:color w:val="auto"/>
                <w:kern w:val="2"/>
                <w:sz w:val="21"/>
                <w:szCs w:val="21"/>
                <w:highlight w:val="none"/>
                <w:vertAlign w:val="superscript"/>
                <w:lang w:val="en-US" w:eastAsia="zh-CN" w:bidi="ar-SA"/>
              </w:rPr>
              <w:t>2+</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rPr>
              <w:t>水质 钙</w:t>
            </w:r>
            <w:r>
              <w:rPr>
                <w:rFonts w:hint="default" w:ascii="Times New Roman" w:hAnsi="Times New Roman" w:cs="Times New Roman"/>
                <w:color w:val="auto"/>
                <w:kern w:val="2"/>
                <w:sz w:val="21"/>
                <w:szCs w:val="21"/>
                <w:highlight w:val="none"/>
                <w:lang w:eastAsia="zh-CN"/>
              </w:rPr>
              <w:t>和</w:t>
            </w:r>
            <w:r>
              <w:rPr>
                <w:rFonts w:hint="default" w:ascii="Times New Roman" w:hAnsi="Times New Roman" w:cs="Times New Roman"/>
                <w:color w:val="auto"/>
                <w:kern w:val="2"/>
                <w:sz w:val="21"/>
                <w:szCs w:val="21"/>
                <w:highlight w:val="none"/>
              </w:rPr>
              <w:t>镁的测定原子吸收分光光度法 GB 11905-1989</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0.02mg/L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 w:val="21"/>
                <w:szCs w:val="21"/>
                <w:highlight w:val="no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rPr>
              <w:t>水质 钙</w:t>
            </w:r>
            <w:r>
              <w:rPr>
                <w:rFonts w:hint="default" w:ascii="Times New Roman" w:hAnsi="Times New Roman" w:cs="Times New Roman"/>
                <w:color w:val="auto"/>
                <w:kern w:val="2"/>
                <w:sz w:val="21"/>
                <w:szCs w:val="21"/>
                <w:highlight w:val="none"/>
                <w:lang w:eastAsia="zh-CN"/>
              </w:rPr>
              <w:t>和</w:t>
            </w:r>
            <w:r>
              <w:rPr>
                <w:rFonts w:hint="default" w:ascii="Times New Roman" w:hAnsi="Times New Roman" w:cs="Times New Roman"/>
                <w:color w:val="auto"/>
                <w:kern w:val="2"/>
                <w:sz w:val="21"/>
                <w:szCs w:val="21"/>
                <w:highlight w:val="none"/>
              </w:rPr>
              <w:t>镁的测定原子吸收分光光度法 GB 11905-1989</w:t>
            </w:r>
          </w:p>
        </w:tc>
        <w:tc>
          <w:tcPr>
            <w:tcW w:w="925"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lang w:val="zh-CN" w:eastAsia="zh-CN"/>
              </w:rPr>
            </w:pPr>
            <w:r>
              <w:rPr>
                <w:rFonts w:hint="default" w:ascii="Times New Roman" w:hAnsi="Times New Roman" w:cs="Times New Roman"/>
                <w:color w:val="auto"/>
                <w:kern w:val="2"/>
                <w:sz w:val="21"/>
                <w:szCs w:val="21"/>
                <w:highlight w:val="none"/>
                <w:lang w:val="en-US" w:eastAsia="zh-CN"/>
              </w:rPr>
              <w:t>0.002mg/L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lang w:val="zh-CN" w:eastAsia="zh-CN"/>
              </w:rPr>
            </w:pPr>
            <w:r>
              <w:rPr>
                <w:rFonts w:hint="default" w:ascii="Times New Roman" w:hAnsi="Times New Roman" w:cs="Times New Roman"/>
                <w:color w:val="auto"/>
                <w:kern w:val="2"/>
                <w:sz w:val="21"/>
                <w:szCs w:val="21"/>
                <w:highlight w:val="none"/>
                <w:lang w:val="en-US" w:eastAsia="zh-CN"/>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0"/>
                <w:sz w:val="21"/>
                <w:szCs w:val="21"/>
                <w:highlight w:val="none"/>
                <w:lang w:bidi="ar"/>
              </w:rPr>
              <w:t>CO</w:t>
            </w:r>
            <w:r>
              <w:rPr>
                <w:rFonts w:hint="default" w:ascii="Times New Roman" w:hAnsi="Times New Roman" w:cs="Times New Roman"/>
                <w:kern w:val="0"/>
                <w:sz w:val="21"/>
                <w:szCs w:val="21"/>
                <w:highlight w:val="none"/>
                <w:vertAlign w:val="subscript"/>
                <w:lang w:bidi="ar"/>
              </w:rPr>
              <w:t>3</w:t>
            </w:r>
            <w:r>
              <w:rPr>
                <w:rFonts w:hint="default" w:ascii="Times New Roman" w:hAnsi="Times New Roman" w:cs="Times New Roman"/>
                <w:kern w:val="0"/>
                <w:sz w:val="21"/>
                <w:szCs w:val="21"/>
                <w:highlight w:val="none"/>
                <w:vertAlign w:val="superscript"/>
                <w:lang w:bidi="ar"/>
              </w:rPr>
              <w:t>2-</w:t>
            </w:r>
          </w:p>
        </w:tc>
        <w:tc>
          <w:tcPr>
            <w:tcW w:w="2413" w:type="pct"/>
            <w:vMerge w:val="restar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color w:val="auto"/>
                <w:kern w:val="2"/>
                <w:sz w:val="21"/>
                <w:szCs w:val="21"/>
                <w:highlight w:val="none"/>
              </w:rPr>
              <w:t>《水和废水监测分析方法》（第四版增补版）第三篇/第一章/十</w:t>
            </w:r>
            <w:r>
              <w:rPr>
                <w:rFonts w:hint="default" w:ascii="Times New Roman" w:hAnsi="Times New Roman" w:cs="Times New Roman"/>
                <w:color w:val="auto"/>
                <w:kern w:val="2"/>
                <w:sz w:val="21"/>
                <w:szCs w:val="21"/>
                <w:highlight w:val="none"/>
                <w:lang w:eastAsia="zh-CN"/>
              </w:rPr>
              <w:t>二</w:t>
            </w:r>
            <w:r>
              <w:rPr>
                <w:rFonts w:hint="default" w:ascii="Times New Roman" w:hAnsi="Times New Roman" w:cs="Times New Roman"/>
                <w:color w:val="auto"/>
                <w:kern w:val="2"/>
                <w:sz w:val="21"/>
                <w:szCs w:val="21"/>
                <w:highlight w:val="none"/>
              </w:rPr>
              <w:t>/（一）</w:t>
            </w:r>
          </w:p>
        </w:tc>
        <w:tc>
          <w:tcPr>
            <w:tcW w:w="925" w:type="pct"/>
            <w:vMerge w:val="restar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w:t>
            </w:r>
          </w:p>
        </w:tc>
        <w:tc>
          <w:tcPr>
            <w:tcW w:w="1097" w:type="pct"/>
            <w:vMerge w:val="restar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cs="Times New Roman"/>
                <w:color w:val="auto"/>
                <w:kern w:val="2"/>
                <w:sz w:val="21"/>
                <w:szCs w:val="21"/>
                <w:highlight w:val="none"/>
                <w:lang w:val="zh-CN" w:eastAsia="zh-CN"/>
              </w:rPr>
            </w:pPr>
            <w:r>
              <w:rPr>
                <w:rFonts w:hint="default" w:ascii="Times New Roman" w:hAnsi="Times New Roman" w:cs="Times New Roman"/>
                <w:color w:val="auto"/>
                <w:kern w:val="2"/>
                <w:sz w:val="21"/>
                <w:szCs w:val="21"/>
                <w:highlight w:val="none"/>
                <w:lang w:val="en-US" w:eastAsia="zh-CN"/>
              </w:rPr>
              <w:t>50ml酸碱两用滴定管/ZKSD50-02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0"/>
                <w:sz w:val="21"/>
                <w:szCs w:val="21"/>
                <w:highlight w:val="none"/>
                <w:lang w:bidi="ar"/>
              </w:rPr>
              <w:t>HCO</w:t>
            </w:r>
            <w:r>
              <w:rPr>
                <w:rFonts w:hint="default" w:ascii="Times New Roman" w:hAnsi="Times New Roman" w:cs="Times New Roman"/>
                <w:kern w:val="0"/>
                <w:sz w:val="21"/>
                <w:szCs w:val="21"/>
                <w:highlight w:val="none"/>
                <w:vertAlign w:val="subscript"/>
                <w:lang w:bidi="ar"/>
              </w:rPr>
              <w:t>3</w:t>
            </w:r>
            <w:r>
              <w:rPr>
                <w:rFonts w:hint="default" w:ascii="Times New Roman" w:hAnsi="Times New Roman" w:cs="Times New Roman"/>
                <w:kern w:val="0"/>
                <w:sz w:val="21"/>
                <w:szCs w:val="21"/>
                <w:highlight w:val="none"/>
                <w:vertAlign w:val="superscript"/>
                <w:lang w:bidi="ar"/>
              </w:rPr>
              <w:t>-</w:t>
            </w:r>
          </w:p>
        </w:tc>
        <w:tc>
          <w:tcPr>
            <w:tcW w:w="2413" w:type="pct"/>
            <w:vMerge w:val="continue"/>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p>
        </w:tc>
        <w:tc>
          <w:tcPr>
            <w:tcW w:w="925" w:type="pct"/>
            <w:vMerge w:val="continue"/>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p>
        </w:tc>
        <w:tc>
          <w:tcPr>
            <w:tcW w:w="1097" w:type="pct"/>
            <w:vMerge w:val="continue"/>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kern w:val="0"/>
                <w:sz w:val="21"/>
                <w:szCs w:val="21"/>
                <w:highlight w:val="none"/>
                <w:lang w:bidi="ar"/>
              </w:rPr>
              <w:t>Cl</w:t>
            </w:r>
            <w:r>
              <w:rPr>
                <w:rFonts w:hint="default" w:ascii="Times New Roman" w:hAnsi="Times New Roman" w:cs="Times New Roman"/>
                <w:kern w:val="0"/>
                <w:sz w:val="21"/>
                <w:szCs w:val="21"/>
                <w:highlight w:val="none"/>
                <w:vertAlign w:val="superscript"/>
                <w:lang w:bidi="ar"/>
              </w:rPr>
              <w:t>-</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kern w:val="0"/>
                <w:sz w:val="21"/>
                <w:szCs w:val="21"/>
                <w:highlight w:val="none"/>
                <w:lang w:bidi="ar"/>
              </w:rPr>
              <w:t>水质 无机阴离子的测定 离子色谱法HJ 84-2016</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0.007mg/L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离子色谱仪CIC-100型/YQ119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kern w:val="0"/>
                <w:sz w:val="21"/>
                <w:szCs w:val="21"/>
                <w:highlight w:val="none"/>
                <w:lang w:bidi="ar"/>
              </w:rPr>
              <w:t>SO</w:t>
            </w:r>
            <w:r>
              <w:rPr>
                <w:rFonts w:hint="default" w:ascii="Times New Roman" w:hAnsi="Times New Roman" w:cs="Times New Roman"/>
                <w:kern w:val="0"/>
                <w:sz w:val="21"/>
                <w:szCs w:val="21"/>
                <w:highlight w:val="none"/>
                <w:vertAlign w:val="subscript"/>
                <w:lang w:bidi="ar"/>
              </w:rPr>
              <w:t>4</w:t>
            </w:r>
            <w:r>
              <w:rPr>
                <w:rFonts w:hint="default" w:ascii="Times New Roman" w:hAnsi="Times New Roman" w:cs="Times New Roman"/>
                <w:kern w:val="0"/>
                <w:sz w:val="21"/>
                <w:szCs w:val="21"/>
                <w:highlight w:val="none"/>
                <w:vertAlign w:val="superscript"/>
                <w:lang w:bidi="ar"/>
              </w:rPr>
              <w:t>2-</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kern w:val="0"/>
                <w:sz w:val="21"/>
                <w:szCs w:val="21"/>
                <w:highlight w:val="none"/>
                <w:lang w:bidi="ar"/>
              </w:rPr>
              <w:t>水质 无机阴离子的测定 离子色谱法HJ 84-2016</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0.018mg/L</w:t>
            </w:r>
          </w:p>
        </w:tc>
        <w:tc>
          <w:tcPr>
            <w:tcW w:w="1097"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离子色谱仪CIC-100型/YQ119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pH值</w:t>
            </w:r>
          </w:p>
        </w:tc>
        <w:tc>
          <w:tcPr>
            <w:tcW w:w="2413"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生活饮用水标准检验方法 感官性状和物理指标 GB/T 5750.4-2006 /5.1玻璃电极法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0.01（无量纲）</w:t>
            </w:r>
          </w:p>
        </w:tc>
        <w:tc>
          <w:tcPr>
            <w:tcW w:w="1097"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0"/>
                <w:sz w:val="21"/>
                <w:szCs w:val="21"/>
                <w:highlight w:val="none"/>
              </w:rPr>
              <w:t>便携式PH计STARTER300</w:t>
            </w:r>
            <w:r>
              <w:rPr>
                <w:rFonts w:hint="default" w:ascii="Times New Roman" w:hAnsi="Times New Roman" w:cs="Times New Roman"/>
                <w:kern w:val="0"/>
                <w:sz w:val="21"/>
                <w:szCs w:val="21"/>
                <w:highlight w:val="none"/>
                <w:lang w:val="en-US" w:eastAsia="zh-CN"/>
              </w:rPr>
              <w:t>/YQ139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kern w:val="0"/>
                <w:sz w:val="21"/>
                <w:szCs w:val="21"/>
                <w:highlight w:val="none"/>
              </w:rPr>
              <w:t>氨氮</w:t>
            </w:r>
          </w:p>
        </w:tc>
        <w:tc>
          <w:tcPr>
            <w:tcW w:w="2413" w:type="pct"/>
            <w:vAlign w:val="center"/>
          </w:tcPr>
          <w:p>
            <w:pPr>
              <w:keepNext w:val="0"/>
              <w:keepLines w:val="0"/>
              <w:pageBreakBefore w:val="0"/>
              <w:kinsoku/>
              <w:wordWrap/>
              <w:overflowPunct/>
              <w:topLinePunct w:val="0"/>
              <w:autoSpaceDE w:val="0"/>
              <w:autoSpaceDN w:val="0"/>
              <w:bidi w:val="0"/>
              <w:adjustRightInd/>
              <w:snapToGrid w:val="0"/>
              <w:spacing w:before="0" w:beforeAutospacing="0" w:after="0" w:afterAutospacing="0"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生活饮用水标准检验方法无机非金属指标 GB/T 5750.5-2006/9.1纳氏试剂分光光度法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0.02mg/L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kern w:val="0"/>
                <w:sz w:val="21"/>
                <w:szCs w:val="21"/>
                <w:highlight w:val="none"/>
              </w:rPr>
              <w:t>硝酸盐（氮）</w:t>
            </w:r>
          </w:p>
        </w:tc>
        <w:tc>
          <w:tcPr>
            <w:tcW w:w="2413" w:type="pct"/>
            <w:vAlign w:val="center"/>
          </w:tcPr>
          <w:p>
            <w:pPr>
              <w:keepNext w:val="0"/>
              <w:keepLines w:val="0"/>
              <w:pageBreakBefore w:val="0"/>
              <w:kinsoku/>
              <w:wordWrap/>
              <w:overflowPunct/>
              <w:topLinePunct w:val="0"/>
              <w:autoSpaceDE w:val="0"/>
              <w:autoSpaceDN w:val="0"/>
              <w:bidi w:val="0"/>
              <w:adjustRightInd/>
              <w:snapToGrid w:val="0"/>
              <w:spacing w:before="0" w:beforeAutospacing="0" w:after="0" w:afterAutospacing="0"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生活饮用水标准检验方法无机非金属指标 GB/T 5750.5-2006/ 5.2 紫外分光光度法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0.2mg/L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kern w:val="0"/>
                <w:sz w:val="21"/>
                <w:szCs w:val="21"/>
                <w:highlight w:val="none"/>
              </w:rPr>
              <w:t>亚硝酸盐氮</w:t>
            </w:r>
          </w:p>
        </w:tc>
        <w:tc>
          <w:tcPr>
            <w:tcW w:w="2413" w:type="pct"/>
            <w:vAlign w:val="center"/>
          </w:tcPr>
          <w:p>
            <w:pPr>
              <w:keepNext w:val="0"/>
              <w:keepLines w:val="0"/>
              <w:pageBreakBefore w:val="0"/>
              <w:kinsoku/>
              <w:wordWrap/>
              <w:overflowPunct/>
              <w:topLinePunct w:val="0"/>
              <w:autoSpaceDE w:val="0"/>
              <w:autoSpaceDN w:val="0"/>
              <w:bidi w:val="0"/>
              <w:adjustRightInd/>
              <w:snapToGrid w:val="0"/>
              <w:spacing w:before="0" w:beforeAutospacing="0" w:after="0" w:afterAutospacing="0"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生活饮用水标准检验方法无机非金属指标  GB/T 5750.5-2006/10.1重氮偶合分光光度法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0.001mg/L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864"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kern w:val="0"/>
                <w:sz w:val="21"/>
                <w:szCs w:val="21"/>
                <w:highlight w:val="none"/>
                <w:lang w:val="en-US" w:eastAsia="zh-CN" w:bidi="ar"/>
              </w:rPr>
              <w:t>挥发酚</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cs="Times New Roman"/>
                <w:color w:val="000000"/>
                <w:kern w:val="0"/>
                <w:sz w:val="21"/>
                <w:szCs w:val="21"/>
                <w:highlight w:val="none"/>
              </w:rPr>
              <w:t>生活饮用水标准检验方法 感官性状和物理指标GB/T 5750.4-2006/9.2 4-氨基安替吡啉直接分光光度法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0.1mg/L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000000"/>
                <w:kern w:val="0"/>
                <w:sz w:val="21"/>
                <w:szCs w:val="21"/>
                <w:highlight w:val="none"/>
                <w:lang w:val="zh-CN" w:eastAsia="zh-CN" w:bidi="ar-SA"/>
              </w:rPr>
            </w:pPr>
            <w:r>
              <w:rPr>
                <w:rFonts w:hint="default" w:ascii="Times New Roman" w:hAnsi="Times New Roman" w:cs="Times New Roman"/>
                <w:color w:val="000000"/>
                <w:kern w:val="0"/>
                <w:sz w:val="21"/>
                <w:szCs w:val="21"/>
                <w:highlight w:val="none"/>
                <w:lang w:val="en-US" w:eastAsia="zh-CN"/>
              </w:rPr>
              <w:t>氰化物</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color w:val="000000"/>
                <w:kern w:val="0"/>
                <w:sz w:val="21"/>
                <w:szCs w:val="21"/>
                <w:highlight w:val="none"/>
                <w:lang w:bidi="ar"/>
              </w:rPr>
              <w:t>生活饮用水标准检验方法 无机非金属指标GB/T 5750.5-2006/4.1异烟酸-吡唑酮分光光度法</w:t>
            </w:r>
          </w:p>
        </w:tc>
        <w:tc>
          <w:tcPr>
            <w:tcW w:w="925"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
              </w:rPr>
            </w:pPr>
            <w:r>
              <w:rPr>
                <w:rFonts w:hint="default" w:ascii="Times New Roman" w:hAnsi="Times New Roman" w:cs="Times New Roman"/>
                <w:color w:val="000000"/>
                <w:kern w:val="0"/>
                <w:sz w:val="21"/>
                <w:szCs w:val="21"/>
                <w:highlight w:val="none"/>
                <w:lang w:bidi="ar"/>
              </w:rPr>
              <w:t>0.002mg/L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lang w:val="en-US" w:eastAsia="zh-CN"/>
              </w:rPr>
              <w:t>砷</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水质 汞、砷、硒、铋和锑的测定</w:t>
            </w:r>
            <w:r>
              <w:rPr>
                <w:rFonts w:hint="default" w:ascii="Times New Roman" w:hAnsi="Times New Roman" w:cs="Times New Roman"/>
                <w:sz w:val="21"/>
                <w:szCs w:val="21"/>
                <w:highlight w:val="none"/>
                <w:lang w:val="en-US" w:eastAsia="zh-CN"/>
              </w:rPr>
              <w:t xml:space="preserve"> </w:t>
            </w:r>
            <w:r>
              <w:rPr>
                <w:rFonts w:hint="default" w:ascii="Times New Roman" w:hAnsi="Times New Roman" w:cs="Times New Roman"/>
                <w:sz w:val="21"/>
                <w:szCs w:val="21"/>
                <w:highlight w:val="none"/>
              </w:rPr>
              <w:t>原子荧光法HJ 694-2014</w:t>
            </w:r>
          </w:p>
        </w:tc>
        <w:tc>
          <w:tcPr>
            <w:tcW w:w="925"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0.3μg/L</w:t>
            </w:r>
          </w:p>
        </w:tc>
        <w:tc>
          <w:tcPr>
            <w:tcW w:w="1097"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非色散原子荧光光度计PF6-1/YQ010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lang w:val="en-US" w:eastAsia="zh-CN"/>
              </w:rPr>
              <w:t>汞</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水质 汞、砷、硒、铋和锑的测定</w:t>
            </w:r>
            <w:r>
              <w:rPr>
                <w:rFonts w:hint="default" w:ascii="Times New Roman" w:hAnsi="Times New Roman" w:cs="Times New Roman"/>
                <w:sz w:val="21"/>
                <w:szCs w:val="21"/>
                <w:highlight w:val="none"/>
                <w:lang w:val="en-US" w:eastAsia="zh-CN"/>
              </w:rPr>
              <w:t xml:space="preserve"> </w:t>
            </w:r>
            <w:r>
              <w:rPr>
                <w:rFonts w:hint="default" w:ascii="Times New Roman" w:hAnsi="Times New Roman" w:cs="Times New Roman"/>
                <w:sz w:val="21"/>
                <w:szCs w:val="21"/>
                <w:highlight w:val="none"/>
              </w:rPr>
              <w:t>原子荧光法HJ 694-2014</w:t>
            </w:r>
          </w:p>
        </w:tc>
        <w:tc>
          <w:tcPr>
            <w:tcW w:w="925"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0.04μg/L</w:t>
            </w:r>
          </w:p>
        </w:tc>
        <w:tc>
          <w:tcPr>
            <w:tcW w:w="0" w:type="auto"/>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非色散原子荧光光度计PF6-1/YQ010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zh-CN" w:eastAsia="zh-CN" w:bidi="ar"/>
              </w:rPr>
            </w:pPr>
            <w:r>
              <w:rPr>
                <w:rFonts w:hint="default" w:ascii="Times New Roman" w:hAnsi="Times New Roman" w:cs="Times New Roman"/>
                <w:color w:val="auto"/>
                <w:kern w:val="0"/>
                <w:sz w:val="21"/>
                <w:szCs w:val="21"/>
                <w:highlight w:val="none"/>
                <w:lang w:val="en-US" w:eastAsia="zh-CN" w:bidi="ar"/>
              </w:rPr>
              <w:t>六价铬</w:t>
            </w:r>
          </w:p>
        </w:tc>
        <w:tc>
          <w:tcPr>
            <w:tcW w:w="2413"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生活饮用水标准检验方法  金属指标GB/T 5750.6-2006/10.1二苯碳酰二肼分光光度法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0.004mg/L</w:t>
            </w:r>
          </w:p>
        </w:tc>
        <w:tc>
          <w:tcPr>
            <w:tcW w:w="0" w:type="auto"/>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总硬度</w:t>
            </w:r>
          </w:p>
        </w:tc>
        <w:tc>
          <w:tcPr>
            <w:tcW w:w="2413"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生活饮用水标准检验方法 感官性状和物理指标GB/T 5750.4-2006/7.1乙二胺四乙酸二钠滴定法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1.0</w:t>
            </w:r>
            <w:r>
              <w:rPr>
                <w:rFonts w:hint="default" w:ascii="Times New Roman" w:hAnsi="Times New Roman" w:cs="Times New Roman"/>
                <w:color w:val="auto"/>
                <w:kern w:val="2"/>
                <w:sz w:val="21"/>
                <w:szCs w:val="21"/>
                <w:highlight w:val="none"/>
              </w:rPr>
              <w:t>mg/L</w:t>
            </w:r>
          </w:p>
        </w:tc>
        <w:tc>
          <w:tcPr>
            <w:tcW w:w="0" w:type="auto"/>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kern w:val="2"/>
                <w:sz w:val="21"/>
                <w:szCs w:val="21"/>
                <w:highlight w:val="none"/>
                <w:lang w:val="en-US" w:eastAsia="zh-CN"/>
              </w:rPr>
              <w:t>酸式滴定管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zh-CN"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铅</w:t>
            </w:r>
          </w:p>
        </w:tc>
        <w:tc>
          <w:tcPr>
            <w:tcW w:w="2413"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sz w:val="21"/>
                <w:szCs w:val="21"/>
                <w:highlight w:val="none"/>
              </w:rPr>
              <w:t>生活饮用水标准检验方法  金属指标GB/T 5750.6-2006/11.1无火焰原子吸收分光光度法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2.5μg/L</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0"/>
                <w:sz w:val="21"/>
                <w:szCs w:val="21"/>
                <w:highlight w:val="none"/>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kern w:val="0"/>
                <w:sz w:val="21"/>
                <w:szCs w:val="21"/>
                <w:highlight w:val="none"/>
              </w:rPr>
              <w:t>氟化物</w:t>
            </w:r>
          </w:p>
        </w:tc>
        <w:tc>
          <w:tcPr>
            <w:tcW w:w="2413" w:type="pct"/>
            <w:vAlign w:val="center"/>
          </w:tcPr>
          <w:p>
            <w:pPr>
              <w:keepNext w:val="0"/>
              <w:keepLines w:val="0"/>
              <w:pageBreakBefore w:val="0"/>
              <w:kinsoku/>
              <w:wordWrap/>
              <w:overflowPunct/>
              <w:topLinePunct w:val="0"/>
              <w:autoSpaceDE w:val="0"/>
              <w:autoSpaceDN w:val="0"/>
              <w:bidi w:val="0"/>
              <w:adjustRightInd/>
              <w:snapToGrid w:val="0"/>
              <w:spacing w:before="0" w:beforeAutospacing="0" w:after="0" w:afterAutospacing="0"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sz w:val="21"/>
                <w:szCs w:val="21"/>
                <w:highlight w:val="none"/>
              </w:rPr>
              <w:t>生活饮用水标准检验方法无机非金属指标GB/T 5750.5-2006/3.1离子选择电极法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zh-CN" w:eastAsia="zh-CN" w:bidi="ar-SA"/>
              </w:rPr>
            </w:pPr>
            <w:r>
              <w:rPr>
                <w:rFonts w:hint="default" w:ascii="Times New Roman" w:hAnsi="Times New Roman" w:cs="Times New Roman"/>
                <w:kern w:val="2"/>
                <w:sz w:val="21"/>
                <w:szCs w:val="21"/>
                <w:highlight w:val="none"/>
              </w:rPr>
              <w:t>0.2mg/L</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0"/>
                <w:sz w:val="21"/>
                <w:szCs w:val="21"/>
                <w:highlight w:val="none"/>
                <w:lang w:val="zh-CN" w:eastAsia="zh-CN" w:bidi="ar-SA"/>
              </w:rPr>
            </w:pPr>
            <w:r>
              <w:rPr>
                <w:rFonts w:hint="default" w:ascii="Times New Roman" w:hAnsi="Times New Roman" w:cs="Times New Roman"/>
                <w:kern w:val="0"/>
                <w:sz w:val="21"/>
                <w:szCs w:val="21"/>
                <w:highlight w:val="none"/>
              </w:rPr>
              <w:t>pH计PHS-3E/YQ005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镉</w:t>
            </w:r>
          </w:p>
        </w:tc>
        <w:tc>
          <w:tcPr>
            <w:tcW w:w="2413"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生活饮用水标准检验方法  金属指标GB/T 5750.6-2006/9.1无火焰原子吸收分光光度法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0.5μg/L</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 w:val="21"/>
                <w:szCs w:val="21"/>
                <w:highlight w:val="none"/>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suppressLineNumbers w:val="0"/>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铁</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水质 铁、锰的测定 火焰原子吸收分光光度法GB 11911-1989</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0.03mg/L</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 w:val="21"/>
                <w:szCs w:val="21"/>
                <w:highlight w:val="none"/>
              </w:rPr>
              <w:t>原子吸收分光光度计TAS-990AFG/YQ011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耗氧量</w:t>
            </w:r>
          </w:p>
        </w:tc>
        <w:tc>
          <w:tcPr>
            <w:tcW w:w="2413"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生活饮用水标准检验方法有机物综合指标  GB/T 5750.7-2006</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1.1酸性高锰酸钾滴定法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0.05</w:t>
            </w:r>
            <w:r>
              <w:rPr>
                <w:rFonts w:hint="default" w:ascii="Times New Roman" w:hAnsi="Times New Roman" w:cs="Times New Roman"/>
                <w:color w:val="auto"/>
                <w:kern w:val="2"/>
                <w:sz w:val="21"/>
                <w:szCs w:val="21"/>
                <w:highlight w:val="none"/>
              </w:rPr>
              <w:t>mg/L</w:t>
            </w:r>
          </w:p>
        </w:tc>
        <w:tc>
          <w:tcPr>
            <w:tcW w:w="0" w:type="auto"/>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酸式滴定管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硫酸盐</w:t>
            </w:r>
          </w:p>
        </w:tc>
        <w:tc>
          <w:tcPr>
            <w:tcW w:w="2413" w:type="pct"/>
            <w:vAlign w:val="center"/>
          </w:tcPr>
          <w:p>
            <w:pPr>
              <w:keepNext w:val="0"/>
              <w:keepLines w:val="0"/>
              <w:pageBreakBefore w:val="0"/>
              <w:kinsoku/>
              <w:wordWrap/>
              <w:overflowPunct/>
              <w:topLinePunct w:val="0"/>
              <w:autoSpaceDE w:val="0"/>
              <w:autoSpaceDN w:val="0"/>
              <w:bidi w:val="0"/>
              <w:adjustRightInd/>
              <w:snapToGrid w:val="0"/>
              <w:spacing w:before="0" w:beforeAutospacing="0" w:after="0" w:afterAutospacing="0"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sz w:val="21"/>
                <w:szCs w:val="21"/>
                <w:highlight w:val="none"/>
              </w:rPr>
              <w:t>生活饮用水标准检验方法无机非金属指标 GB/T 5750.5-2006/1.3铬酸钡分光光度法（热法)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5mg/L</w:t>
            </w:r>
          </w:p>
        </w:tc>
        <w:tc>
          <w:tcPr>
            <w:tcW w:w="0" w:type="auto"/>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sz w:val="21"/>
                <w:szCs w:val="21"/>
                <w:highlight w:val="none"/>
              </w:rPr>
              <w:t>紫外可见分光光度计T6新世纪/YQ009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氯化物</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color w:val="000000"/>
                <w:kern w:val="0"/>
                <w:sz w:val="21"/>
                <w:szCs w:val="21"/>
                <w:highlight w:val="none"/>
              </w:rPr>
              <w:t>生活饮用水标准检验方法无机非金属指标  GB/T 5750.5-2006 /2.1硝酸银容量法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1.0mg/L</w:t>
            </w:r>
          </w:p>
        </w:tc>
        <w:tc>
          <w:tcPr>
            <w:tcW w:w="0" w:type="auto"/>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酸式滴定管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 w:val="21"/>
                <w:szCs w:val="21"/>
                <w:highlight w:val="none"/>
              </w:rPr>
              <w:t>细菌总数</w:t>
            </w:r>
          </w:p>
        </w:tc>
        <w:tc>
          <w:tcPr>
            <w:tcW w:w="2413" w:type="pct"/>
            <w:vAlign w:val="center"/>
          </w:tcPr>
          <w:p>
            <w:pPr>
              <w:keepNext w:val="0"/>
              <w:keepLines w:val="0"/>
              <w:pageBreakBefore w:val="0"/>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水质 细菌总数的测定 平皿计数法HJ1000-2018</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b/>
                <w:bCs/>
                <w:color w:val="FF0000"/>
                <w:kern w:val="2"/>
                <w:sz w:val="21"/>
                <w:szCs w:val="21"/>
                <w:highlight w:val="none"/>
                <w:lang w:val="en-US" w:eastAsia="zh-CN" w:bidi="ar-SA"/>
              </w:rPr>
            </w:pPr>
            <w:r>
              <w:rPr>
                <w:rFonts w:hint="default" w:ascii="Times New Roman" w:hAnsi="Times New Roman" w:cs="Times New Roman"/>
                <w:sz w:val="21"/>
                <w:szCs w:val="21"/>
                <w:highlight w:val="none"/>
              </w:rPr>
              <w:t>生化培养箱SHP-150/YQ037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564"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总大肠菌群</w:t>
            </w:r>
          </w:p>
        </w:tc>
        <w:tc>
          <w:tcPr>
            <w:tcW w:w="2413" w:type="pct"/>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textAlignment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cs="Times New Roman"/>
                <w:kern w:val="0"/>
                <w:sz w:val="21"/>
                <w:szCs w:val="21"/>
                <w:highlight w:val="none"/>
                <w:lang w:bidi="ar"/>
              </w:rPr>
              <w:t>生活饮用水标准检验方法微生物指标GB/T 5750.12-2006/2.1多管发酵法</w:t>
            </w:r>
          </w:p>
        </w:tc>
        <w:tc>
          <w:tcPr>
            <w:tcW w:w="925" w:type="pct"/>
            <w:vAlign w:val="center"/>
          </w:tcPr>
          <w:p>
            <w:pPr>
              <w:keepNext w:val="0"/>
              <w:keepLines w:val="0"/>
              <w:pageBreakBefore w:val="0"/>
              <w:kinsoku/>
              <w:wordWrap/>
              <w:overflowPunct/>
              <w:topLinePunct w:val="0"/>
              <w:autoSpaceDE w:val="0"/>
              <w:autoSpaceDN w:val="0"/>
              <w:bidi w:val="0"/>
              <w:adjustRightInd/>
              <w:snapToGrid w:val="0"/>
              <w:spacing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rPr>
              <w:t>/</w:t>
            </w:r>
          </w:p>
        </w:tc>
        <w:tc>
          <w:tcPr>
            <w:tcW w:w="0" w:type="auto"/>
            <w:vAlign w:val="center"/>
          </w:tcPr>
          <w:p>
            <w:pPr>
              <w:keepNext w:val="0"/>
              <w:keepLines w:val="0"/>
              <w:pageBreakBefore w:val="0"/>
              <w:widowControl/>
              <w:kinsoku/>
              <w:wordWrap/>
              <w:overflowPunct/>
              <w:topLinePunct w:val="0"/>
              <w:autoSpaceDE w:val="0"/>
              <w:autoSpaceDN w:val="0"/>
              <w:bidi w:val="0"/>
              <w:adjustRightInd/>
              <w:spacing w:line="240" w:lineRule="auto"/>
              <w:ind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 w:val="21"/>
                <w:szCs w:val="21"/>
                <w:highlight w:val="none"/>
              </w:rPr>
              <w:t>生化培养箱</w:t>
            </w:r>
            <w:r>
              <w:rPr>
                <w:rFonts w:hint="default" w:ascii="Times New Roman" w:hAnsi="Times New Roman" w:cs="Times New Roman"/>
                <w:kern w:val="0"/>
                <w:sz w:val="21"/>
                <w:szCs w:val="21"/>
                <w:highlight w:val="none"/>
                <w:lang w:val="en-US" w:eastAsia="zh-CN"/>
              </w:rPr>
              <w:t>SHP-150</w:t>
            </w:r>
            <w:r>
              <w:rPr>
                <w:rFonts w:hint="default" w:ascii="Times New Roman" w:hAnsi="Times New Roman" w:cs="Times New Roman"/>
                <w:kern w:val="0"/>
                <w:sz w:val="21"/>
                <w:szCs w:val="21"/>
                <w:highlight w:val="none"/>
              </w:rPr>
              <w:t>/YQ0</w:t>
            </w:r>
            <w:r>
              <w:rPr>
                <w:rFonts w:hint="default" w:ascii="Times New Roman" w:hAnsi="Times New Roman" w:cs="Times New Roman"/>
                <w:kern w:val="0"/>
                <w:sz w:val="21"/>
                <w:szCs w:val="21"/>
                <w:highlight w:val="none"/>
                <w:lang w:val="en-US" w:eastAsia="zh-CN"/>
              </w:rPr>
              <w:t>37</w:t>
            </w:r>
          </w:p>
        </w:tc>
      </w:tr>
    </w:tbl>
    <w:p>
      <w:pPr>
        <w:pStyle w:val="5"/>
        <w:rPr>
          <w:rFonts w:hint="default" w:ascii="Times New Roman" w:hAnsi="Times New Roman" w:cs="Times New Roman"/>
          <w:highlight w:val="none"/>
        </w:rPr>
      </w:pPr>
      <w:r>
        <w:rPr>
          <w:rFonts w:hint="default" w:ascii="Times New Roman" w:hAnsi="Times New Roman" w:cs="Times New Roman"/>
          <w:highlight w:val="none"/>
        </w:rPr>
        <w:t>监测结果与分析</w:t>
      </w:r>
    </w:p>
    <w:p>
      <w:pPr>
        <w:pStyle w:val="6"/>
        <w:bidi w:val="0"/>
        <w:rPr>
          <w:rFonts w:hint="default" w:ascii="Times New Roman" w:hAnsi="Times New Roman" w:cs="Times New Roman"/>
          <w:highlight w:val="none"/>
        </w:rPr>
      </w:pPr>
      <w:r>
        <w:rPr>
          <w:rFonts w:hint="default" w:ascii="Times New Roman" w:hAnsi="Times New Roman" w:cs="Times New Roman"/>
          <w:highlight w:val="none"/>
        </w:rPr>
        <w:t>评价方法</w:t>
      </w:r>
    </w:p>
    <w:p>
      <w:pPr>
        <w:autoSpaceDE w:val="0"/>
        <w:autoSpaceDN w:val="0"/>
        <w:adjustRightInd w:val="0"/>
        <w:ind w:firstLine="480"/>
        <w:rPr>
          <w:rFonts w:hint="default" w:ascii="Times New Roman" w:hAnsi="Times New Roman" w:eastAsia="宋体" w:cs="Times New Roman"/>
          <w:szCs w:val="24"/>
          <w:highlight w:val="none"/>
          <w:lang w:eastAsia="zh-CN"/>
        </w:rPr>
      </w:pPr>
      <w:r>
        <w:rPr>
          <w:rFonts w:hint="default" w:ascii="Times New Roman" w:hAnsi="Times New Roman" w:eastAsia="宋体" w:cs="Times New Roman"/>
          <w:szCs w:val="24"/>
          <w:highlight w:val="none"/>
        </w:rPr>
        <w:t>根据《环境影响评价技术导则 地下水环境》( HJ 610-2016)，地下水水质现状评</w:t>
      </w:r>
    </w:p>
    <w:p>
      <w:pPr>
        <w:autoSpaceDE w:val="0"/>
        <w:autoSpaceDN w:val="0"/>
        <w:adjustRightInd w:val="0"/>
        <w:ind w:firstLine="480"/>
        <w:rPr>
          <w:rFonts w:hint="default" w:ascii="Times New Roman" w:hAnsi="Times New Roman" w:eastAsia="宋体" w:cs="Times New Roman"/>
          <w:snapToGrid w:val="0"/>
          <w:szCs w:val="24"/>
          <w:highlight w:val="none"/>
        </w:rPr>
      </w:pPr>
      <w:r>
        <w:rPr>
          <w:rFonts w:hint="default" w:ascii="Times New Roman" w:hAnsi="Times New Roman" w:eastAsia="宋体" w:cs="Times New Roman"/>
          <w:szCs w:val="24"/>
          <w:highlight w:val="none"/>
        </w:rPr>
        <w:t xml:space="preserve">价采用标准指数法。标准指数&gt;1，表明该水质因子已超标，标准指数越大，超标越严重。 </w:t>
      </w:r>
      <w:r>
        <w:rPr>
          <w:rFonts w:hint="default" w:ascii="Times New Roman" w:hAnsi="Times New Roman" w:eastAsia="宋体" w:cs="Times New Roman"/>
          <w:snapToGrid w:val="0"/>
          <w:szCs w:val="24"/>
          <w:highlight w:val="none"/>
        </w:rPr>
        <w:t>计算公式见</w:t>
      </w:r>
      <w:r>
        <w:rPr>
          <w:rFonts w:hint="default" w:ascii="Times New Roman" w:hAnsi="Times New Roman" w:eastAsia="宋体" w:cs="Times New Roman"/>
          <w:snapToGrid w:val="0"/>
          <w:szCs w:val="24"/>
          <w:highlight w:val="none"/>
          <w:lang w:eastAsia="zh-CN"/>
        </w:rPr>
        <w:fldChar w:fldCharType="begin"/>
      </w:r>
      <w:r>
        <w:rPr>
          <w:rFonts w:hint="default" w:ascii="Times New Roman" w:hAnsi="Times New Roman" w:eastAsia="宋体" w:cs="Times New Roman"/>
          <w:snapToGrid w:val="0"/>
          <w:szCs w:val="24"/>
          <w:highlight w:val="none"/>
          <w:lang w:eastAsia="zh-CN"/>
        </w:rPr>
        <w:instrText xml:space="preserve"> REF _Ref23947 \n \h </w:instrText>
      </w:r>
      <w:r>
        <w:rPr>
          <w:rFonts w:hint="default" w:ascii="Times New Roman" w:hAnsi="Times New Roman" w:eastAsia="宋体" w:cs="Times New Roman"/>
          <w:snapToGrid w:val="0"/>
          <w:szCs w:val="24"/>
          <w:highlight w:val="none"/>
          <w:lang w:eastAsia="zh-CN"/>
        </w:rPr>
        <w:fldChar w:fldCharType="separate"/>
      </w:r>
      <w:r>
        <w:rPr>
          <w:rFonts w:hint="default" w:ascii="Times New Roman" w:hAnsi="Times New Roman" w:eastAsia="宋体" w:cs="Times New Roman"/>
          <w:snapToGrid w:val="0"/>
          <w:szCs w:val="24"/>
          <w:highlight w:val="none"/>
          <w:lang w:eastAsia="zh-CN"/>
        </w:rPr>
        <w:t>表3.4-13</w:t>
      </w:r>
      <w:r>
        <w:rPr>
          <w:rFonts w:hint="default" w:ascii="Times New Roman" w:hAnsi="Times New Roman" w:eastAsia="宋体" w:cs="Times New Roman"/>
          <w:snapToGrid w:val="0"/>
          <w:szCs w:val="24"/>
          <w:highlight w:val="none"/>
          <w:lang w:eastAsia="zh-CN"/>
        </w:rPr>
        <w:fldChar w:fldCharType="end"/>
      </w:r>
      <w:r>
        <w:rPr>
          <w:rFonts w:hint="default" w:ascii="Times New Roman" w:hAnsi="Times New Roman" w:eastAsia="宋体" w:cs="Times New Roman"/>
          <w:snapToGrid w:val="0"/>
          <w:szCs w:val="24"/>
          <w:highlight w:val="none"/>
        </w:rPr>
        <w:t>。</w:t>
      </w:r>
    </w:p>
    <w:p>
      <w:pPr>
        <w:pStyle w:val="21"/>
        <w:bidi w:val="0"/>
        <w:rPr>
          <w:rFonts w:hint="default" w:ascii="Times New Roman" w:hAnsi="Times New Roman" w:cs="Times New Roman"/>
          <w:highlight w:val="none"/>
        </w:rPr>
      </w:pPr>
      <w:bookmarkStart w:id="112" w:name="_Ref23947"/>
      <w:r>
        <w:rPr>
          <w:rFonts w:hint="default" w:ascii="Times New Roman" w:hAnsi="Times New Roman" w:cs="Times New Roman"/>
          <w:highlight w:val="none"/>
        </w:rPr>
        <w:t>地下水现状评价标准指数法计算公式</w:t>
      </w:r>
      <w:bookmarkEnd w:id="112"/>
    </w:p>
    <w:tbl>
      <w:tblPr>
        <w:tblStyle w:val="16"/>
        <w:tblpPr w:leftFromText="180" w:rightFromText="180" w:vertAnchor="text" w:horzAnchor="margin" w:tblpX="93" w:tblpY="9"/>
        <w:tblW w:w="91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7"/>
        <w:gridCol w:w="969"/>
        <w:gridCol w:w="2493"/>
        <w:gridCol w:w="42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6" w:type="dxa"/>
            <w:gridSpan w:val="2"/>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条件</w:t>
            </w:r>
          </w:p>
        </w:tc>
        <w:tc>
          <w:tcPr>
            <w:tcW w:w="2493"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公式</w:t>
            </w: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6" w:type="dxa"/>
            <w:gridSpan w:val="2"/>
            <w:vMerge w:val="restart"/>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评价标准为定值的水质因子</w:t>
            </w:r>
          </w:p>
        </w:tc>
        <w:tc>
          <w:tcPr>
            <w:tcW w:w="2493" w:type="dxa"/>
            <w:vMerge w:val="restart"/>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position w:val="-30"/>
                <w:sz w:val="21"/>
                <w:szCs w:val="21"/>
                <w:highlight w:val="none"/>
              </w:rPr>
              <w:drawing>
                <wp:inline distT="0" distB="0" distL="114300" distR="114300">
                  <wp:extent cx="558800" cy="444500"/>
                  <wp:effectExtent l="0" t="0" r="12700" b="13335"/>
                  <wp:docPr id="3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3"/>
                          <pic:cNvPicPr>
                            <a:picLocks noChangeAspect="1"/>
                          </pic:cNvPicPr>
                        </pic:nvPicPr>
                        <pic:blipFill>
                          <a:blip r:embed="rId111"/>
                          <a:stretch>
                            <a:fillRect/>
                          </a:stretch>
                        </pic:blipFill>
                        <pic:spPr>
                          <a:xfrm>
                            <a:off x="0" y="0"/>
                            <a:ext cx="558800" cy="444500"/>
                          </a:xfrm>
                          <a:prstGeom prst="rect">
                            <a:avLst/>
                          </a:prstGeom>
                          <a:noFill/>
                          <a:ln>
                            <a:noFill/>
                          </a:ln>
                        </pic:spPr>
                      </pic:pic>
                    </a:graphicData>
                  </a:graphic>
                </wp:inline>
              </w:drawing>
            </w: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w:t>
            </w:r>
            <w:r>
              <w:rPr>
                <w:rFonts w:hint="default" w:ascii="Times New Roman" w:hAnsi="Times New Roman" w:cs="Times New Roman"/>
                <w:snapToGrid w:val="0"/>
                <w:sz w:val="21"/>
                <w:szCs w:val="21"/>
                <w:highlight w:val="none"/>
                <w:vertAlign w:val="subscript"/>
              </w:rPr>
              <w:t>i</w:t>
            </w:r>
            <w:r>
              <w:rPr>
                <w:rFonts w:hint="default" w:ascii="Times New Roman" w:hAnsi="Times New Roman" w:cs="Times New Roman"/>
                <w:snapToGrid w:val="0"/>
                <w:sz w:val="21"/>
                <w:szCs w:val="21"/>
                <w:highlight w:val="none"/>
              </w:rPr>
              <w:t>～第i个水质因子的标准指数，无量纲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6" w:type="dxa"/>
            <w:gridSpan w:val="2"/>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2493"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C</w:t>
            </w:r>
            <w:r>
              <w:rPr>
                <w:rFonts w:hint="default" w:ascii="Times New Roman" w:hAnsi="Times New Roman" w:cs="Times New Roman"/>
                <w:snapToGrid w:val="0"/>
                <w:sz w:val="21"/>
                <w:szCs w:val="21"/>
                <w:highlight w:val="none"/>
                <w:vertAlign w:val="subscript"/>
              </w:rPr>
              <w:t>i</w:t>
            </w:r>
            <w:r>
              <w:rPr>
                <w:rFonts w:hint="default" w:ascii="Times New Roman" w:hAnsi="Times New Roman" w:cs="Times New Roman"/>
                <w:snapToGrid w:val="0"/>
                <w:sz w:val="21"/>
                <w:szCs w:val="21"/>
                <w:highlight w:val="none"/>
              </w:rPr>
              <w:t>～第i个水质因子的监测浓度值mg/L；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46" w:type="dxa"/>
            <w:gridSpan w:val="2"/>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2493"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C</w:t>
            </w:r>
            <w:r>
              <w:rPr>
                <w:rFonts w:hint="default" w:ascii="Times New Roman" w:hAnsi="Times New Roman" w:cs="Times New Roman"/>
                <w:snapToGrid w:val="0"/>
                <w:sz w:val="21"/>
                <w:szCs w:val="21"/>
                <w:highlight w:val="none"/>
                <w:vertAlign w:val="subscript"/>
              </w:rPr>
              <w:t>si</w:t>
            </w:r>
            <w:r>
              <w:rPr>
                <w:rFonts w:hint="default" w:ascii="Times New Roman" w:hAnsi="Times New Roman" w:cs="Times New Roman"/>
                <w:snapToGrid w:val="0"/>
                <w:sz w:val="21"/>
                <w:szCs w:val="21"/>
                <w:highlight w:val="none"/>
              </w:rPr>
              <w:t>～第i个水质因子的标准浓度，mg/L</w:t>
            </w:r>
            <w:r>
              <w:rPr>
                <w:rFonts w:hint="default" w:ascii="Times New Roman" w:hAnsi="Times New Roman" w:cs="Times New Roman"/>
                <w:snapToGrid w:val="0"/>
                <w:sz w:val="21"/>
                <w:szCs w:val="21"/>
                <w:highlight w:val="none"/>
                <w:vertAlign w:val="sub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dxa"/>
            <w:vMerge w:val="restart"/>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评价标准为区间的水质因子(如pH)</w:t>
            </w:r>
          </w:p>
        </w:tc>
        <w:tc>
          <w:tcPr>
            <w:tcW w:w="969" w:type="dxa"/>
            <w:vMerge w:val="restart"/>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pH≤7.0</w:t>
            </w:r>
          </w:p>
        </w:tc>
        <w:tc>
          <w:tcPr>
            <w:tcW w:w="2493" w:type="dxa"/>
            <w:vMerge w:val="restart"/>
            <w:vAlign w:val="center"/>
          </w:tcPr>
          <w:p>
            <w:pPr>
              <w:pStyle w:val="19"/>
              <w:tabs>
                <w:tab w:val="left" w:pos="648"/>
                <w:tab w:val="clear" w:pos="0"/>
              </w:tabs>
              <w:rPr>
                <w:rFonts w:hint="default" w:ascii="Times New Roman" w:hAnsi="Times New Roman" w:cs="Times New Roman"/>
                <w:sz w:val="21"/>
                <w:szCs w:val="21"/>
                <w:highlight w:val="none"/>
              </w:rPr>
            </w:pPr>
            <w:r>
              <w:rPr>
                <w:rFonts w:hint="default" w:ascii="Times New Roman" w:hAnsi="Times New Roman" w:cs="Times New Roman"/>
                <w:position w:val="-30"/>
                <w:sz w:val="21"/>
                <w:szCs w:val="21"/>
                <w:highlight w:val="none"/>
              </w:rPr>
              <w:object>
                <v:shape id="_x0000_i1065" o:spt="75" type="#_x0000_t75" style="height:33.8pt;width:86.4pt;" o:ole="t" filled="f" o:preferrelative="t" stroked="f" coordsize="21600,21600">
                  <v:path/>
                  <v:fill on="f" focussize="0,0"/>
                  <v:stroke on="f" joinstyle="miter"/>
                  <v:imagedata r:id="rId113" o:title=""/>
                  <o:lock v:ext="edit" aspectratio="t"/>
                  <w10:wrap type="none"/>
                  <w10:anchorlock/>
                </v:shape>
                <o:OLEObject Type="Embed" ProgID="Equation.3" ShapeID="_x0000_i1065" DrawAspect="Content" ObjectID="_1468075765" r:id="rId112">
                  <o:LockedField>false</o:LockedField>
                </o:OLEObject>
              </w:object>
            </w: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w:t>
            </w:r>
            <w:r>
              <w:rPr>
                <w:rFonts w:hint="default" w:ascii="Times New Roman" w:hAnsi="Times New Roman" w:cs="Times New Roman"/>
                <w:snapToGrid w:val="0"/>
                <w:sz w:val="21"/>
                <w:szCs w:val="21"/>
                <w:highlight w:val="none"/>
                <w:vertAlign w:val="subscript"/>
              </w:rPr>
              <w:t>pH</w:t>
            </w:r>
            <w:r>
              <w:rPr>
                <w:rFonts w:hint="default" w:ascii="Times New Roman" w:hAnsi="Times New Roman" w:cs="Times New Roman"/>
                <w:snapToGrid w:val="0"/>
                <w:sz w:val="21"/>
                <w:szCs w:val="21"/>
                <w:highlight w:val="none"/>
              </w:rPr>
              <w:t>～pH的标准指数，无量纲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969"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2493"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pH～pH监测值；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7" w:type="dxa"/>
            <w:vMerge w:val="continue"/>
            <w:vAlign w:val="center"/>
          </w:tcPr>
          <w:p>
            <w:pPr>
              <w:pStyle w:val="19"/>
              <w:tabs>
                <w:tab w:val="left" w:pos="648"/>
                <w:tab w:val="clear" w:pos="0"/>
              </w:tabs>
              <w:rPr>
                <w:rFonts w:hint="default" w:ascii="Times New Roman" w:hAnsi="Times New Roman" w:cs="Times New Roman"/>
                <w:snapToGrid w:val="0"/>
                <w:sz w:val="21"/>
                <w:szCs w:val="21"/>
                <w:highlight w:val="none"/>
              </w:rPr>
            </w:pPr>
          </w:p>
        </w:tc>
        <w:tc>
          <w:tcPr>
            <w:tcW w:w="969"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pH≥7.0</w:t>
            </w:r>
          </w:p>
        </w:tc>
        <w:tc>
          <w:tcPr>
            <w:tcW w:w="2493" w:type="dxa"/>
            <w:vAlign w:val="center"/>
          </w:tcPr>
          <w:p>
            <w:pPr>
              <w:pStyle w:val="19"/>
              <w:tabs>
                <w:tab w:val="left" w:pos="648"/>
                <w:tab w:val="clear" w:pos="0"/>
              </w:tabs>
              <w:rPr>
                <w:rFonts w:hint="default" w:ascii="Times New Roman" w:hAnsi="Times New Roman" w:cs="Times New Roman"/>
                <w:sz w:val="21"/>
                <w:szCs w:val="21"/>
                <w:highlight w:val="none"/>
              </w:rPr>
            </w:pPr>
            <w:r>
              <w:rPr>
                <w:rFonts w:hint="default" w:ascii="Times New Roman" w:hAnsi="Times New Roman" w:cs="Times New Roman"/>
                <w:position w:val="-30"/>
                <w:sz w:val="21"/>
                <w:szCs w:val="21"/>
                <w:highlight w:val="none"/>
              </w:rPr>
              <w:object>
                <v:shape id="_x0000_i1066" o:spt="75" type="#_x0000_t75" style="height:33.8pt;width:86.4pt;" o:ole="t" filled="f" o:preferrelative="t" stroked="f" coordsize="21600,21600">
                  <v:path/>
                  <v:fill on="f" focussize="0,0"/>
                  <v:stroke on="f" joinstyle="miter"/>
                  <v:imagedata r:id="rId115" o:title=""/>
                  <o:lock v:ext="edit" aspectratio="t"/>
                  <w10:wrap type="none"/>
                  <w10:anchorlock/>
                </v:shape>
                <o:OLEObject Type="Embed" ProgID="Equation.3" ShapeID="_x0000_i1066" DrawAspect="Content" ObjectID="_1468075766" r:id="rId114">
                  <o:LockedField>false</o:LockedField>
                </o:OLEObject>
              </w:object>
            </w:r>
          </w:p>
        </w:tc>
        <w:tc>
          <w:tcPr>
            <w:tcW w:w="4241" w:type="dxa"/>
            <w:vAlign w:val="center"/>
          </w:tcPr>
          <w:p>
            <w:pPr>
              <w:pStyle w:val="19"/>
              <w:tabs>
                <w:tab w:val="left" w:pos="648"/>
                <w:tab w:val="clear" w:pos="0"/>
              </w:tabs>
              <w:rPr>
                <w:rFonts w:hint="default" w:ascii="Times New Roman" w:hAnsi="Times New Roman" w:cs="Times New Roman"/>
                <w:snapToGrid w:val="0"/>
                <w:sz w:val="21"/>
                <w:szCs w:val="21"/>
                <w:highlight w:val="none"/>
              </w:rPr>
            </w:pPr>
            <w:r>
              <w:rPr>
                <w:rFonts w:hint="default" w:ascii="Times New Roman" w:hAnsi="Times New Roman" w:cs="Times New Roman"/>
                <w:snapToGrid w:val="0"/>
                <w:sz w:val="21"/>
                <w:szCs w:val="21"/>
                <w:highlight w:val="none"/>
              </w:rPr>
              <w:t>pH</w:t>
            </w:r>
            <w:r>
              <w:rPr>
                <w:rFonts w:hint="default" w:ascii="Times New Roman" w:hAnsi="Times New Roman" w:cs="Times New Roman"/>
                <w:snapToGrid w:val="0"/>
                <w:sz w:val="21"/>
                <w:szCs w:val="21"/>
                <w:highlight w:val="none"/>
                <w:vertAlign w:val="subscript"/>
              </w:rPr>
              <w:t>su</w:t>
            </w:r>
            <w:r>
              <w:rPr>
                <w:rFonts w:hint="default" w:ascii="Times New Roman" w:hAnsi="Times New Roman" w:cs="Times New Roman"/>
                <w:snapToGrid w:val="0"/>
                <w:sz w:val="21"/>
                <w:szCs w:val="21"/>
                <w:highlight w:val="none"/>
              </w:rPr>
              <w:t>～标准中pH的上限；pH</w:t>
            </w:r>
            <w:r>
              <w:rPr>
                <w:rFonts w:hint="default" w:ascii="Times New Roman" w:hAnsi="Times New Roman" w:cs="Times New Roman"/>
                <w:snapToGrid w:val="0"/>
                <w:sz w:val="21"/>
                <w:szCs w:val="21"/>
                <w:highlight w:val="none"/>
                <w:vertAlign w:val="subscript"/>
              </w:rPr>
              <w:t>sd</w:t>
            </w:r>
            <w:r>
              <w:rPr>
                <w:rFonts w:hint="default" w:ascii="Times New Roman" w:hAnsi="Times New Roman" w:cs="Times New Roman"/>
                <w:snapToGrid w:val="0"/>
                <w:sz w:val="21"/>
                <w:szCs w:val="21"/>
                <w:highlight w:val="none"/>
              </w:rPr>
              <w:t>～标准中pH的下限。</w:t>
            </w:r>
          </w:p>
        </w:tc>
      </w:tr>
    </w:tbl>
    <w:p>
      <w:pPr>
        <w:ind w:firstLine="480"/>
        <w:rPr>
          <w:rFonts w:hint="default" w:ascii="Times New Roman" w:hAnsi="Times New Roman" w:cs="Times New Roman"/>
          <w:highlight w:val="none"/>
        </w:rPr>
      </w:pPr>
      <w:r>
        <w:rPr>
          <w:rFonts w:hint="default" w:ascii="Times New Roman" w:hAnsi="Times New Roman" w:cs="Times New Roman"/>
          <w:highlight w:val="none"/>
        </w:rPr>
        <w:t>(2)监测与评价结果</w:t>
      </w:r>
    </w:p>
    <w:p>
      <w:pPr>
        <w:ind w:firstLine="480"/>
        <w:rPr>
          <w:rFonts w:hint="default" w:ascii="Times New Roman" w:hAnsi="Times New Roman" w:cs="Times New Roman"/>
          <w:highlight w:val="none"/>
        </w:rPr>
      </w:pPr>
      <w:r>
        <w:rPr>
          <w:rFonts w:hint="default" w:ascii="Times New Roman" w:hAnsi="Times New Roman" w:eastAsia="宋体" w:cs="Times New Roman"/>
          <w:highlight w:val="none"/>
        </w:rPr>
        <w:t>地下水水质监测结果见</w:t>
      </w:r>
      <w:r>
        <w:rPr>
          <w:rFonts w:hint="default" w:ascii="Times New Roman" w:hAnsi="Times New Roman" w:eastAsia="宋体" w:cs="Times New Roman"/>
          <w:highlight w:val="none"/>
        </w:rPr>
        <w:fldChar w:fldCharType="begin"/>
      </w:r>
      <w:r>
        <w:rPr>
          <w:rFonts w:hint="default" w:ascii="Times New Roman" w:hAnsi="Times New Roman" w:eastAsia="宋体" w:cs="Times New Roman"/>
          <w:highlight w:val="none"/>
        </w:rPr>
        <w:instrText xml:space="preserve"> REF _Ref24228 \n \h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表3.4-14</w:t>
      </w:r>
      <w:r>
        <w:rPr>
          <w:rFonts w:hint="default" w:ascii="Times New Roman" w:hAnsi="Times New Roman" w:eastAsia="宋体" w:cs="Times New Roman"/>
          <w:highlight w:val="none"/>
        </w:rPr>
        <w:fldChar w:fldCharType="end"/>
      </w:r>
      <w:r>
        <w:rPr>
          <w:rFonts w:hint="default" w:ascii="Times New Roman" w:hAnsi="Times New Roman" w:eastAsia="宋体" w:cs="Times New Roman"/>
          <w:highlight w:val="none"/>
        </w:rPr>
        <w:t>，地下水环境质量现状评价结果见</w:t>
      </w:r>
      <w:r>
        <w:rPr>
          <w:rFonts w:hint="default" w:ascii="Times New Roman" w:hAnsi="Times New Roman" w:eastAsia="宋体" w:cs="Times New Roman"/>
          <w:highlight w:val="none"/>
        </w:rPr>
        <w:fldChar w:fldCharType="begin"/>
      </w:r>
      <w:r>
        <w:rPr>
          <w:rFonts w:hint="default" w:ascii="Times New Roman" w:hAnsi="Times New Roman" w:eastAsia="宋体" w:cs="Times New Roman"/>
          <w:highlight w:val="none"/>
        </w:rPr>
        <w:instrText xml:space="preserve"> REF _Ref24384 \n \h </w:instrText>
      </w:r>
      <w:r>
        <w:rPr>
          <w:rFonts w:hint="default" w:ascii="Times New Roman" w:hAnsi="Times New Roman" w:eastAsia="宋体" w:cs="Times New Roman"/>
          <w:highlight w:val="none"/>
        </w:rPr>
        <w:fldChar w:fldCharType="separate"/>
      </w:r>
      <w:r>
        <w:rPr>
          <w:rFonts w:hint="default" w:ascii="Times New Roman" w:hAnsi="Times New Roman" w:eastAsia="宋体" w:cs="Times New Roman"/>
          <w:highlight w:val="none"/>
        </w:rPr>
        <w:t>0</w:t>
      </w:r>
      <w:r>
        <w:rPr>
          <w:rFonts w:hint="default" w:ascii="Times New Roman" w:hAnsi="Times New Roman" w:eastAsia="宋体" w:cs="Times New Roman"/>
          <w:highlight w:val="none"/>
        </w:rPr>
        <w:fldChar w:fldCharType="end"/>
      </w:r>
      <w:r>
        <w:rPr>
          <w:rFonts w:hint="default" w:ascii="Times New Roman" w:hAnsi="Times New Roman" w:eastAsia="宋体" w:cs="Times New Roman"/>
          <w:highlight w:val="none"/>
        </w:rPr>
        <w:t>。</w:t>
      </w:r>
    </w:p>
    <w:p>
      <w:pPr>
        <w:pStyle w:val="21"/>
        <w:bidi w:val="0"/>
        <w:rPr>
          <w:rFonts w:hint="default" w:ascii="Times New Roman" w:hAnsi="Times New Roman" w:cs="Times New Roman"/>
          <w:highlight w:val="none"/>
        </w:rPr>
      </w:pPr>
      <w:bookmarkStart w:id="113" w:name="_Ref24228"/>
      <w:r>
        <w:rPr>
          <w:rFonts w:hint="default" w:ascii="Times New Roman" w:hAnsi="Times New Roman" w:cs="Times New Roman"/>
          <w:highlight w:val="none"/>
        </w:rPr>
        <w:t>地下水监测结果(pH无量纲，其它为mg/L)</w:t>
      </w:r>
      <w:bookmarkEnd w:id="113"/>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668"/>
        <w:gridCol w:w="1261"/>
        <w:gridCol w:w="1261"/>
        <w:gridCol w:w="1275"/>
        <w:gridCol w:w="26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1471" w:type="pct"/>
            <w:vMerge w:val="restar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检测项目</w:t>
            </w:r>
          </w:p>
        </w:tc>
        <w:tc>
          <w:tcPr>
            <w:tcW w:w="2093" w:type="pct"/>
            <w:gridSpan w:val="3"/>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检测结果(单位:mg/L、pH:无量纲)</w:t>
            </w:r>
          </w:p>
        </w:tc>
        <w:tc>
          <w:tcPr>
            <w:tcW w:w="1434" w:type="pct"/>
            <w:vMerge w:val="restar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Ⅲ类标准限值mg/L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blHeader/>
          <w:jc w:val="center"/>
        </w:trPr>
        <w:tc>
          <w:tcPr>
            <w:tcW w:w="1471" w:type="pct"/>
            <w:vMerge w:val="continue"/>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p>
        </w:tc>
        <w:tc>
          <w:tcPr>
            <w:tcW w:w="695"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D1</w:t>
            </w:r>
          </w:p>
        </w:tc>
        <w:tc>
          <w:tcPr>
            <w:tcW w:w="695"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D2</w:t>
            </w:r>
          </w:p>
        </w:tc>
        <w:tc>
          <w:tcPr>
            <w:tcW w:w="703"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D3</w:t>
            </w:r>
          </w:p>
        </w:tc>
        <w:tc>
          <w:tcPr>
            <w:tcW w:w="1434" w:type="pct"/>
            <w:vMerge w:val="continue"/>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pH</w:t>
            </w:r>
          </w:p>
        </w:tc>
        <w:tc>
          <w:tcPr>
            <w:tcW w:w="695"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7.34</w:t>
            </w:r>
          </w:p>
        </w:tc>
        <w:tc>
          <w:tcPr>
            <w:tcW w:w="695"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7.67</w:t>
            </w:r>
          </w:p>
        </w:tc>
        <w:tc>
          <w:tcPr>
            <w:tcW w:w="703"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7.73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总硬度</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27.7</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3.1</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6.2</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lang w:val="en-US" w:eastAsia="zh-CN"/>
              </w:rPr>
              <w:t>硫酸盐</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eastAsia="宋体" w:cs="Times New Roman"/>
                <w:i w:val="0"/>
                <w:iCs w:val="0"/>
                <w:color w:val="auto"/>
                <w:sz w:val="21"/>
                <w:szCs w:val="21"/>
                <w:highlight w:val="none"/>
                <w:u w:val="none"/>
              </w:rPr>
              <w:t>&lt;5.0</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eastAsia="宋体" w:cs="Times New Roman"/>
                <w:i w:val="0"/>
                <w:iCs w:val="0"/>
                <w:color w:val="auto"/>
                <w:sz w:val="21"/>
                <w:szCs w:val="21"/>
                <w:highlight w:val="none"/>
                <w:u w:val="none"/>
              </w:rPr>
              <w:t>&lt;5.0</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eastAsia="宋体" w:cs="Times New Roman"/>
                <w:i w:val="0"/>
                <w:iCs w:val="0"/>
                <w:color w:val="auto"/>
                <w:sz w:val="21"/>
                <w:szCs w:val="21"/>
                <w:highlight w:val="none"/>
                <w:u w:val="none"/>
              </w:rPr>
              <w:t>&lt;5.0</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b w:val="0"/>
                <w:color w:val="auto"/>
                <w:kern w:val="0"/>
                <w:sz w:val="21"/>
                <w:szCs w:val="21"/>
                <w:highlight w:val="none"/>
                <w:lang w:val="en-US" w:eastAsia="zh-CN" w:bidi="ar-SA"/>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氯化物</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lang w:val="en-US" w:eastAsia="zh-CN"/>
              </w:rPr>
              <w:t>3.3</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lang w:val="en-US" w:eastAsia="zh-CN"/>
              </w:rPr>
              <w:t>2.9</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lang w:val="en-US" w:eastAsia="zh-CN"/>
              </w:rPr>
              <w:t>2.6</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b w:val="0"/>
                <w:color w:val="auto"/>
                <w:kern w:val="0"/>
                <w:sz w:val="21"/>
                <w:szCs w:val="21"/>
                <w:highlight w:val="none"/>
                <w:lang w:val="en-US" w:eastAsia="zh-CN" w:bidi="ar-SA"/>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b w:val="0"/>
                <w:color w:val="auto"/>
                <w:kern w:val="0"/>
                <w:sz w:val="21"/>
                <w:szCs w:val="21"/>
                <w:highlight w:val="none"/>
                <w:lang w:val="en-US" w:eastAsia="zh-CN" w:bidi="ar-SA"/>
              </w:rPr>
              <w:t>铁</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rPr>
              <w:t>&lt;0.03</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sz w:val="21"/>
                <w:szCs w:val="21"/>
                <w:highlight w:val="none"/>
              </w:rPr>
              <w:t>&lt;0.03</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rPr>
              <w:t>&lt;0.03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b w:val="0"/>
                <w:color w:val="auto"/>
                <w:kern w:val="0"/>
                <w:sz w:val="21"/>
                <w:szCs w:val="21"/>
                <w:highlight w:val="none"/>
                <w:lang w:val="en-US" w:eastAsia="zh-CN" w:bidi="ar-SA"/>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挥发酚</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rPr>
              <w:t>&lt;0.0003</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rPr>
              <w:t>&lt;0.0003</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eastAsia="宋体" w:cs="Times New Roman"/>
                <w:i w:val="0"/>
                <w:iCs w:val="0"/>
                <w:color w:val="auto"/>
                <w:sz w:val="21"/>
                <w:szCs w:val="21"/>
                <w:highlight w:val="none"/>
                <w:u w:val="none"/>
              </w:rPr>
              <w:t>&lt;0.0003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en-US" w:eastAsia="zh-CN" w:bidi="ar-SA"/>
              </w:rPr>
            </w:pPr>
            <w:r>
              <w:rPr>
                <w:rFonts w:hint="default" w:ascii="Times New Roman" w:hAnsi="Times New Roman" w:cs="Times New Roman"/>
                <w:b w:val="0"/>
                <w:color w:val="auto"/>
                <w:kern w:val="0"/>
                <w:sz w:val="21"/>
                <w:szCs w:val="21"/>
                <w:highlight w:val="none"/>
                <w:lang w:val="en-US" w:eastAsia="zh-CN" w:bidi="ar-SA"/>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耗氧量</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0.88</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1.27</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1.38</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氨氮</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0.110</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0.158</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0.183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9"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总大肠菌群</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未检出</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未检出</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未检出</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细菌总数</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17</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12</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21</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 CFU/ml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亚硝酸盐</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0.004</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rPr>
              <w:t>&lt;0.00</w:t>
            </w:r>
            <w:r>
              <w:rPr>
                <w:rFonts w:hint="default" w:ascii="Times New Roman" w:hAnsi="Times New Roman" w:eastAsia="宋体" w:cs="Times New Roman"/>
                <w:i w:val="0"/>
                <w:iCs w:val="0"/>
                <w:color w:val="auto"/>
                <w:sz w:val="21"/>
                <w:szCs w:val="21"/>
                <w:highlight w:val="none"/>
                <w:u w:val="none"/>
                <w:lang w:val="en-US" w:eastAsia="zh-CN"/>
              </w:rPr>
              <w:t>1</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rPr>
              <w:t>&lt;0.00</w:t>
            </w:r>
            <w:r>
              <w:rPr>
                <w:rFonts w:hint="default" w:ascii="Times New Roman" w:hAnsi="Times New Roman" w:eastAsia="宋体" w:cs="Times New Roman"/>
                <w:i w:val="0"/>
                <w:iCs w:val="0"/>
                <w:color w:val="auto"/>
                <w:sz w:val="21"/>
                <w:szCs w:val="21"/>
                <w:highlight w:val="none"/>
                <w:u w:val="none"/>
                <w:lang w:val="en-US" w:eastAsia="zh-CN"/>
              </w:rPr>
              <w:t>1</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硝酸盐</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2.3</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eastAsia="宋体" w:cs="Times New Roman"/>
                <w:i w:val="0"/>
                <w:iCs w:val="0"/>
                <w:color w:val="auto"/>
                <w:sz w:val="21"/>
                <w:szCs w:val="21"/>
                <w:highlight w:val="none"/>
                <w:u w:val="none"/>
                <w:lang w:val="en-US" w:eastAsia="zh-CN"/>
              </w:rPr>
              <w:t>2</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0.6</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氰化物</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i w:val="0"/>
                <w:iCs w:val="0"/>
                <w:color w:val="auto"/>
                <w:kern w:val="0"/>
                <w:sz w:val="21"/>
                <w:szCs w:val="21"/>
                <w:highlight w:val="none"/>
                <w:u w:val="none"/>
                <w:lang w:val="zh-CN" w:eastAsia="zh-CN" w:bidi="ar-SA"/>
              </w:rPr>
            </w:pPr>
            <w:r>
              <w:rPr>
                <w:rFonts w:hint="default" w:ascii="Times New Roman" w:hAnsi="Times New Roman" w:eastAsia="宋体" w:cs="Times New Roman"/>
                <w:i w:val="0"/>
                <w:iCs w:val="0"/>
                <w:color w:val="auto"/>
                <w:sz w:val="21"/>
                <w:szCs w:val="21"/>
                <w:highlight w:val="none"/>
                <w:u w:val="none"/>
              </w:rPr>
              <w:t>&lt;0.002</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i w:val="0"/>
                <w:iCs w:val="0"/>
                <w:color w:val="auto"/>
                <w:kern w:val="0"/>
                <w:sz w:val="21"/>
                <w:szCs w:val="21"/>
                <w:highlight w:val="none"/>
                <w:u w:val="none"/>
                <w:lang w:val="zh-CN" w:eastAsia="zh-CN" w:bidi="ar-SA"/>
              </w:rPr>
            </w:pPr>
            <w:r>
              <w:rPr>
                <w:rFonts w:hint="default" w:ascii="Times New Roman" w:hAnsi="Times New Roman" w:eastAsia="宋体" w:cs="Times New Roman"/>
                <w:i w:val="0"/>
                <w:iCs w:val="0"/>
                <w:color w:val="auto"/>
                <w:sz w:val="21"/>
                <w:szCs w:val="21"/>
                <w:highlight w:val="none"/>
                <w:u w:val="none"/>
              </w:rPr>
              <w:t>&lt;0.002</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i w:val="0"/>
                <w:iCs w:val="0"/>
                <w:color w:val="auto"/>
                <w:kern w:val="0"/>
                <w:sz w:val="21"/>
                <w:szCs w:val="21"/>
                <w:highlight w:val="none"/>
                <w:u w:val="none"/>
                <w:lang w:val="zh-CN" w:eastAsia="zh-CN" w:bidi="ar-SA"/>
              </w:rPr>
            </w:pPr>
            <w:r>
              <w:rPr>
                <w:rFonts w:hint="default" w:ascii="Times New Roman" w:hAnsi="Times New Roman" w:eastAsia="宋体" w:cs="Times New Roman"/>
                <w:i w:val="0"/>
                <w:iCs w:val="0"/>
                <w:color w:val="auto"/>
                <w:sz w:val="21"/>
                <w:szCs w:val="21"/>
                <w:highlight w:val="none"/>
                <w:u w:val="none"/>
              </w:rPr>
              <w:t>&lt;0.002</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氟化物</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0.26</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0.23</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0.26</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汞</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04</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04</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sz w:val="21"/>
                <w:szCs w:val="21"/>
                <w:highlight w:val="none"/>
                <w:u w:val="none"/>
              </w:rPr>
              <w:t>&lt;0.0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4</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砷</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lang w:val="en-US" w:eastAsia="zh-CN"/>
              </w:rPr>
              <w:t>3</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lang w:val="en-US" w:eastAsia="zh-CN"/>
              </w:rPr>
              <w:t>3</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lang w:val="en-US" w:eastAsia="zh-CN"/>
              </w:rPr>
              <w:t>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SA"/>
              </w:rPr>
              <w:t>镉</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sz w:val="21"/>
                <w:szCs w:val="21"/>
                <w:highlight w:val="none"/>
                <w:u w:val="none"/>
              </w:rPr>
              <w:t>&lt;0.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1</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sz w:val="21"/>
                <w:szCs w:val="21"/>
                <w:highlight w:val="none"/>
              </w:rPr>
              <w:t>&lt;0.</w:t>
            </w:r>
            <w:r>
              <w:rPr>
                <w:rFonts w:hint="default" w:ascii="Times New Roman" w:hAnsi="Times New Roman" w:cs="Times New Roman"/>
                <w:sz w:val="21"/>
                <w:szCs w:val="21"/>
                <w:highlight w:val="none"/>
                <w:lang w:val="en-US" w:eastAsia="zh-CN"/>
              </w:rPr>
              <w:t>000</w:t>
            </w:r>
            <w:r>
              <w:rPr>
                <w:rFonts w:hint="default" w:ascii="Times New Roman" w:hAnsi="Times New Roman" w:cs="Times New Roman"/>
                <w:sz w:val="21"/>
                <w:szCs w:val="21"/>
                <w:highlight w:val="none"/>
              </w:rPr>
              <w:t>1</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sz w:val="21"/>
                <w:szCs w:val="21"/>
                <w:highlight w:val="none"/>
              </w:rPr>
              <w:t>&lt;0.</w:t>
            </w:r>
            <w:r>
              <w:rPr>
                <w:rFonts w:hint="default" w:ascii="Times New Roman" w:hAnsi="Times New Roman" w:cs="Times New Roman"/>
                <w:sz w:val="21"/>
                <w:szCs w:val="21"/>
                <w:highlight w:val="none"/>
                <w:lang w:val="en-US" w:eastAsia="zh-CN"/>
              </w:rPr>
              <w:t>000</w:t>
            </w:r>
            <w:r>
              <w:rPr>
                <w:rFonts w:hint="default" w:ascii="Times New Roman" w:hAnsi="Times New Roman" w:cs="Times New Roman"/>
                <w:sz w:val="21"/>
                <w:szCs w:val="21"/>
                <w:highlight w:val="none"/>
              </w:rPr>
              <w:t>1</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铬（六价）</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&lt;0.0</w:t>
            </w:r>
            <w:r>
              <w:rPr>
                <w:rFonts w:hint="default" w:ascii="Times New Roman" w:hAnsi="Times New Roman" w:cs="Times New Roman"/>
                <w:i w:val="0"/>
                <w:iCs w:val="0"/>
                <w:color w:val="auto"/>
                <w:sz w:val="21"/>
                <w:szCs w:val="21"/>
                <w:highlight w:val="none"/>
                <w:u w:val="none"/>
                <w:lang w:val="en-US" w:eastAsia="zh-CN"/>
              </w:rPr>
              <w:t>00</w:t>
            </w:r>
            <w:r>
              <w:rPr>
                <w:rFonts w:hint="default" w:ascii="Times New Roman" w:hAnsi="Times New Roman" w:eastAsia="宋体" w:cs="Times New Roman"/>
                <w:i w:val="0"/>
                <w:iCs w:val="0"/>
                <w:color w:val="auto"/>
                <w:sz w:val="21"/>
                <w:szCs w:val="21"/>
                <w:highlight w:val="none"/>
                <w:u w:val="none"/>
              </w:rPr>
              <w:t>04</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&lt;0.0</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04</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&lt;0.0</w:t>
            </w:r>
            <w:r>
              <w:rPr>
                <w:rFonts w:hint="default" w:ascii="Times New Roman" w:hAnsi="Times New Roman" w:cs="Times New Roman"/>
                <w:i w:val="0"/>
                <w:iCs w:val="0"/>
                <w:color w:val="auto"/>
                <w:sz w:val="21"/>
                <w:szCs w:val="21"/>
                <w:highlight w:val="none"/>
                <w:u w:val="none"/>
                <w:lang w:val="en-US" w:eastAsia="zh-CN"/>
              </w:rPr>
              <w:t>0</w:t>
            </w:r>
            <w:r>
              <w:rPr>
                <w:rFonts w:hint="default" w:ascii="Times New Roman" w:hAnsi="Times New Roman" w:eastAsia="宋体" w:cs="Times New Roman"/>
                <w:i w:val="0"/>
                <w:iCs w:val="0"/>
                <w:color w:val="auto"/>
                <w:sz w:val="21"/>
                <w:szCs w:val="21"/>
                <w:highlight w:val="none"/>
                <w:u w:val="none"/>
              </w:rPr>
              <w:t>0</w:t>
            </w:r>
            <w:r>
              <w:rPr>
                <w:rFonts w:hint="default" w:ascii="Times New Roman" w:hAnsi="Times New Roman" w:cs="Times New Roman"/>
                <w:i w:val="0"/>
                <w:iCs w:val="0"/>
                <w:color w:val="auto"/>
                <w:sz w:val="21"/>
                <w:szCs w:val="21"/>
                <w:highlight w:val="none"/>
                <w:u w:val="none"/>
                <w:lang w:val="en-US" w:eastAsia="zh-CN"/>
              </w:rPr>
              <w:t>00</w:t>
            </w:r>
            <w:r>
              <w:rPr>
                <w:rFonts w:hint="default" w:ascii="Times New Roman" w:hAnsi="Times New Roman" w:eastAsia="宋体" w:cs="Times New Roman"/>
                <w:i w:val="0"/>
                <w:iCs w:val="0"/>
                <w:color w:val="auto"/>
                <w:sz w:val="21"/>
                <w:szCs w:val="21"/>
                <w:highlight w:val="none"/>
                <w:u w:val="none"/>
              </w:rPr>
              <w:t>4</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3"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铅</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sz w:val="21"/>
                <w:szCs w:val="21"/>
                <w:highlight w:val="none"/>
                <w:u w:val="none"/>
              </w:rPr>
              <w:t>&lt;</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1</w:t>
            </w:r>
          </w:p>
        </w:tc>
        <w:tc>
          <w:tcPr>
            <w:tcW w:w="1261"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1</w:t>
            </w:r>
          </w:p>
        </w:tc>
        <w:tc>
          <w:tcPr>
            <w:tcW w:w="1275" w:type="dxa"/>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rPr>
              <w:t>&lt;</w:t>
            </w:r>
            <w:r>
              <w:rPr>
                <w:rFonts w:hint="default" w:ascii="Times New Roman" w:hAnsi="Times New Roman" w:cs="Times New Roman"/>
                <w:i w:val="0"/>
                <w:iCs w:val="0"/>
                <w:color w:val="auto"/>
                <w:sz w:val="21"/>
                <w:szCs w:val="21"/>
                <w:highlight w:val="none"/>
                <w:u w:val="none"/>
                <w:lang w:val="en-US" w:eastAsia="zh-CN"/>
              </w:rPr>
              <w:t>0.00</w:t>
            </w:r>
            <w:r>
              <w:rPr>
                <w:rFonts w:hint="default" w:ascii="Times New Roman" w:hAnsi="Times New Roman" w:eastAsia="宋体" w:cs="Times New Roman"/>
                <w:i w:val="0"/>
                <w:iCs w:val="0"/>
                <w:color w:val="auto"/>
                <w:sz w:val="21"/>
                <w:szCs w:val="21"/>
                <w:highlight w:val="none"/>
                <w:u w:val="none"/>
              </w:rPr>
              <w:t>1</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58"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Na</w:t>
            </w:r>
            <w:r>
              <w:rPr>
                <w:rFonts w:hint="default" w:ascii="Times New Roman" w:hAnsi="Times New Roman" w:cs="Times New Roman"/>
                <w:color w:val="auto"/>
                <w:sz w:val="21"/>
                <w:szCs w:val="21"/>
                <w:highlight w:val="none"/>
                <w:vertAlign w:val="superscript"/>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2.20</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0.40</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0.83</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K</w:t>
            </w:r>
            <w:r>
              <w:rPr>
                <w:rFonts w:hint="default" w:ascii="Times New Roman" w:hAnsi="Times New Roman" w:cs="Times New Roman"/>
                <w:color w:val="auto"/>
                <w:sz w:val="21"/>
                <w:szCs w:val="21"/>
                <w:highlight w:val="none"/>
                <w:vertAlign w:val="superscript"/>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1.72</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0.98</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1.20</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Ca</w:t>
            </w:r>
            <w:r>
              <w:rPr>
                <w:rFonts w:hint="default" w:ascii="Times New Roman" w:hAnsi="Times New Roman" w:cs="Times New Roman"/>
                <w:color w:val="auto"/>
                <w:sz w:val="21"/>
                <w:szCs w:val="21"/>
                <w:highlight w:val="none"/>
                <w:vertAlign w:val="superscript"/>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4.88</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0.70</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0.98</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Mg</w:t>
            </w:r>
            <w:r>
              <w:rPr>
                <w:rFonts w:hint="default" w:ascii="Times New Roman" w:hAnsi="Times New Roman" w:cs="Times New Roman"/>
                <w:color w:val="auto"/>
                <w:sz w:val="21"/>
                <w:szCs w:val="21"/>
                <w:highlight w:val="none"/>
                <w:vertAlign w:val="superscript"/>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1.94</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0.282</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0.390</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2-</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未检出</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lang w:val="en-US" w:eastAsia="zh-CN"/>
              </w:rPr>
              <w:t>未检出</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sz w:val="21"/>
                <w:szCs w:val="21"/>
                <w:highlight w:val="none"/>
                <w:u w:val="none"/>
                <w:lang w:val="en-US" w:eastAsia="zh-CN"/>
              </w:rPr>
              <w:t>未检出</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left="0" w:leftChars="0" w:firstLine="0" w:firstLineChars="0"/>
              <w:rPr>
                <w:rFonts w:hint="default" w:ascii="Times New Roman" w:hAnsi="Times New Roman" w:eastAsia="宋体" w:cs="Times New Roman"/>
                <w:b w:val="0"/>
                <w:color w:val="auto"/>
                <w:kern w:val="0"/>
                <w:sz w:val="21"/>
                <w:szCs w:val="21"/>
                <w:highlight w:val="none"/>
                <w:lang w:val="zh-CN" w:eastAsia="zh-CN" w:bidi="ar-SA"/>
              </w:rPr>
            </w:pPr>
            <w:r>
              <w:rPr>
                <w:rFonts w:hint="default" w:ascii="Times New Roman" w:hAnsi="Times New Roman" w:cs="Times New Roman"/>
                <w:color w:val="auto"/>
                <w:sz w:val="21"/>
                <w:szCs w:val="21"/>
                <w:highlight w:val="none"/>
              </w:rPr>
              <w:t>HCO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vertAlign w:val="superscript"/>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sz w:val="21"/>
                <w:szCs w:val="21"/>
                <w:highlight w:val="none"/>
                <w:u w:val="none"/>
                <w:lang w:val="en-US" w:eastAsia="zh-CN"/>
              </w:rPr>
              <w:t>24</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18</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10</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keepNext w:val="0"/>
              <w:keepLines w:val="0"/>
              <w:pageBreakBefore w:val="0"/>
              <w:widowControl/>
              <w:kinsoku/>
              <w:wordWrap/>
              <w:overflowPunct/>
              <w:topLinePunct w:val="0"/>
              <w:bidi w:val="0"/>
              <w:adjustRightInd/>
              <w:snapToGrid/>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Cl</w:t>
            </w:r>
            <w:r>
              <w:rPr>
                <w:rFonts w:hint="default" w:ascii="Times New Roman" w:hAnsi="Times New Roman" w:cs="Times New Roman"/>
                <w:color w:val="auto"/>
                <w:kern w:val="0"/>
                <w:sz w:val="21"/>
                <w:szCs w:val="21"/>
                <w:highlight w:val="none"/>
                <w:vertAlign w:val="superscript"/>
                <w:lang w:bidi="ar"/>
              </w:rPr>
              <w:t>-</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5.15</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3.32</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1.89</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1" w:type="pct"/>
            <w:tcBorders>
              <w:tl2br w:val="nil"/>
              <w:tr2bl w:val="nil"/>
            </w:tcBorders>
            <w:vAlign w:val="center"/>
          </w:tcPr>
          <w:p>
            <w:pPr>
              <w:keepNext w:val="0"/>
              <w:keepLines w:val="0"/>
              <w:pageBreakBefore w:val="0"/>
              <w:widowControl/>
              <w:kinsoku/>
              <w:wordWrap/>
              <w:overflowPunct/>
              <w:topLinePunct w:val="0"/>
              <w:bidi w:val="0"/>
              <w:adjustRightInd/>
              <w:snapToGrid/>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SO</w:t>
            </w:r>
            <w:r>
              <w:rPr>
                <w:rFonts w:hint="default" w:ascii="Times New Roman" w:hAnsi="Times New Roman" w:cs="Times New Roman"/>
                <w:color w:val="auto"/>
                <w:kern w:val="0"/>
                <w:sz w:val="21"/>
                <w:szCs w:val="21"/>
                <w:highlight w:val="none"/>
                <w:vertAlign w:val="subscript"/>
                <w:lang w:bidi="ar"/>
              </w:rPr>
              <w:t>4</w:t>
            </w:r>
            <w:r>
              <w:rPr>
                <w:rFonts w:hint="default" w:ascii="Times New Roman" w:hAnsi="Times New Roman" w:cs="Times New Roman"/>
                <w:color w:val="auto"/>
                <w:kern w:val="0"/>
                <w:sz w:val="21"/>
                <w:szCs w:val="21"/>
                <w:highlight w:val="none"/>
                <w:vertAlign w:val="superscript"/>
                <w:lang w:bidi="ar"/>
              </w:rPr>
              <w:t>2-</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1.69</w:t>
            </w:r>
          </w:p>
        </w:tc>
        <w:tc>
          <w:tcPr>
            <w:tcW w:w="695"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1.31</w:t>
            </w:r>
          </w:p>
        </w:tc>
        <w:tc>
          <w:tcPr>
            <w:tcW w:w="703" w:type="pct"/>
            <w:tcBorders>
              <w:tl2br w:val="nil"/>
              <w:tr2bl w:val="nil"/>
            </w:tcBorders>
            <w:vAlign w:val="center"/>
          </w:tcPr>
          <w:p>
            <w:pPr>
              <w:keepNext w:val="0"/>
              <w:keepLines w:val="0"/>
              <w:pageBreakBefore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1.56</w:t>
            </w:r>
          </w:p>
        </w:tc>
        <w:tc>
          <w:tcPr>
            <w:tcW w:w="1434" w:type="pct"/>
            <w:tcBorders>
              <w:tl2br w:val="nil"/>
              <w:tr2bl w:val="nil"/>
            </w:tcBorders>
            <w:vAlign w:val="center"/>
          </w:tcPr>
          <w:p>
            <w:pPr>
              <w:pStyle w:val="19"/>
              <w:keepNext w:val="0"/>
              <w:keepLines w:val="0"/>
              <w:pageBreakBefore w:val="0"/>
              <w:tabs>
                <w:tab w:val="left" w:pos="648"/>
                <w:tab w:val="clear" w:pos="0"/>
              </w:tabs>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pPr>
        <w:rPr>
          <w:rFonts w:hint="default" w:ascii="Times New Roman" w:hAnsi="Times New Roman" w:cs="Times New Roman"/>
          <w:color w:val="auto"/>
          <w:highlight w:val="none"/>
        </w:rPr>
      </w:pPr>
      <w:bookmarkStart w:id="114" w:name="_Ref24384"/>
      <w:r>
        <w:rPr>
          <w:rFonts w:hint="default" w:ascii="Times New Roman" w:hAnsi="Times New Roman" w:cs="Times New Roman"/>
          <w:color w:val="auto"/>
          <w:highlight w:val="none"/>
        </w:rPr>
        <w:br w:type="page"/>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地下水环境质量现状评价结果</w:t>
      </w:r>
      <w:bookmarkEnd w:id="114"/>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285"/>
        <w:gridCol w:w="1290"/>
        <w:gridCol w:w="1299"/>
        <w:gridCol w:w="1297"/>
        <w:gridCol w:w="1293"/>
        <w:gridCol w:w="1288"/>
        <w:gridCol w:w="13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tblHeader/>
          <w:jc w:val="center"/>
        </w:trPr>
        <w:tc>
          <w:tcPr>
            <w:tcW w:w="709" w:type="pct"/>
            <w:vMerge w:val="restar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检测项目</w:t>
            </w:r>
          </w:p>
        </w:tc>
        <w:tc>
          <w:tcPr>
            <w:tcW w:w="4290" w:type="pct"/>
            <w:gridSpan w:val="6"/>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tblHeader/>
          <w:jc w:val="center"/>
        </w:trPr>
        <w:tc>
          <w:tcPr>
            <w:tcW w:w="709" w:type="pct"/>
            <w:vMerge w:val="continue"/>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p>
        </w:tc>
        <w:tc>
          <w:tcPr>
            <w:tcW w:w="1427" w:type="pct"/>
            <w:gridSpan w:val="2"/>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D1</w:t>
            </w:r>
          </w:p>
        </w:tc>
        <w:tc>
          <w:tcPr>
            <w:tcW w:w="1428" w:type="pct"/>
            <w:gridSpan w:val="2"/>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D2</w:t>
            </w:r>
          </w:p>
        </w:tc>
        <w:tc>
          <w:tcPr>
            <w:tcW w:w="1434" w:type="pct"/>
            <w:gridSpan w:val="2"/>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tblHeader/>
          <w:jc w:val="center"/>
        </w:trPr>
        <w:tc>
          <w:tcPr>
            <w:tcW w:w="709" w:type="pct"/>
            <w:vMerge w:val="continue"/>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p>
        </w:tc>
        <w:tc>
          <w:tcPr>
            <w:tcW w:w="711"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Pi</w:t>
            </w:r>
          </w:p>
        </w:tc>
        <w:tc>
          <w:tcPr>
            <w:tcW w:w="716"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是否达标</w:t>
            </w:r>
          </w:p>
        </w:tc>
        <w:tc>
          <w:tcPr>
            <w:tcW w:w="715"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Pi</w:t>
            </w:r>
          </w:p>
        </w:tc>
        <w:tc>
          <w:tcPr>
            <w:tcW w:w="713"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是否达标</w:t>
            </w:r>
          </w:p>
        </w:tc>
        <w:tc>
          <w:tcPr>
            <w:tcW w:w="710"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Pi</w:t>
            </w:r>
          </w:p>
        </w:tc>
        <w:tc>
          <w:tcPr>
            <w:tcW w:w="724"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是否达标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rPr>
              <w:t>pH</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0.227</w:t>
            </w:r>
          </w:p>
        </w:tc>
        <w:tc>
          <w:tcPr>
            <w:tcW w:w="716"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0.447</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0.487</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总硬度</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0.062</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0.007</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0.014</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硫酸盐</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氯化物</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0.013</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0.012</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铁</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rPr>
              <w:t>挥发酚</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0.150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0.150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0.150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耗氧量</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0.293</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0.423</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0.460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氨氮</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0.220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0.316</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0.366</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总大肠菌群</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未检出</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未检出</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未检出</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细菌总数</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0.170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0.120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0.210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亚硝酸盐</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0.004</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0.001</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0.001</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硝酸盐</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0.115</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0.010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氰化物</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氟化物</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0.260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0.230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0.260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汞</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0.040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砷</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0.030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zh-CN" w:eastAsia="zh-CN"/>
              </w:rPr>
            </w:pPr>
            <w:r>
              <w:rPr>
                <w:rFonts w:hint="default" w:ascii="Times New Roman" w:hAnsi="Times New Roman" w:cs="Times New Roman"/>
                <w:sz w:val="21"/>
                <w:szCs w:val="21"/>
                <w:highlight w:val="none"/>
                <w:lang w:val="en-US" w:eastAsia="zh-CN"/>
              </w:rPr>
              <w:t>镉</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0.020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铬（六价）</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0.001</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0.000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09" w:type="pct"/>
            <w:tcBorders>
              <w:tl2br w:val="nil"/>
              <w:tr2bl w:val="nil"/>
            </w:tcBorders>
            <w:vAlign w:val="center"/>
          </w:tcPr>
          <w:p>
            <w:pPr>
              <w:pStyle w:val="19"/>
              <w:bidi w:val="0"/>
              <w:spacing w:line="240" w:lineRule="auto"/>
              <w:ind w:left="0" w:leftChars="0" w:right="0" w:rightChars="0" w:firstLine="0" w:firstLineChars="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铅</w:t>
            </w:r>
          </w:p>
        </w:tc>
        <w:tc>
          <w:tcPr>
            <w:tcW w:w="711" w:type="pct"/>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16"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97"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13"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c>
          <w:tcPr>
            <w:tcW w:w="1288" w:type="dxa"/>
            <w:tcBorders>
              <w:tl2br w:val="nil"/>
              <w:tr2bl w:val="nil"/>
            </w:tcBorders>
            <w:vAlign w:val="center"/>
          </w:tcPr>
          <w:p>
            <w:pPr>
              <w:keepNext w:val="0"/>
              <w:keepLines w:val="0"/>
              <w:widowControl/>
              <w:suppressLineNumbers w:val="0"/>
              <w:spacing w:line="240" w:lineRule="auto"/>
              <w:ind w:left="0" w:leftChars="0" w:right="0" w:rightChars="0" w:firstLine="0" w:firstLineChars="0"/>
              <w:jc w:val="center"/>
              <w:textAlignment w:val="center"/>
              <w:rPr>
                <w:rFonts w:hint="default" w:ascii="Times New Roman" w:hAnsi="Times New Roman" w:cs="Times New Roman"/>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0.100</w:t>
            </w:r>
          </w:p>
        </w:tc>
        <w:tc>
          <w:tcPr>
            <w:tcW w:w="724" w:type="pct"/>
            <w:tcBorders>
              <w:tl2br w:val="nil"/>
              <w:tr2bl w:val="nil"/>
            </w:tcBorders>
            <w:vAlign w:val="center"/>
          </w:tcPr>
          <w:p>
            <w:pPr>
              <w:bidi w:val="0"/>
              <w:spacing w:line="240" w:lineRule="auto"/>
              <w:ind w:left="0" w:leftChars="0" w:right="0" w:rightChars="0" w:firstLine="0" w:firstLineChars="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是</w:t>
            </w:r>
          </w:p>
        </w:tc>
      </w:tr>
    </w:tbl>
    <w:p>
      <w:pPr>
        <w:pStyle w:val="19"/>
        <w:rPr>
          <w:rFonts w:hint="default" w:ascii="Times New Roman" w:hAnsi="Times New Roman" w:cs="Times New Roman"/>
          <w:highlight w:val="none"/>
          <w:lang w:val="en-US" w:eastAsia="zh-CN"/>
        </w:rPr>
      </w:pPr>
    </w:p>
    <w:p>
      <w:pPr>
        <w:tabs>
          <w:tab w:val="left" w:pos="0"/>
        </w:tabs>
        <w:bidi w:val="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监测结果表明：</w:t>
      </w:r>
      <w:r>
        <w:rPr>
          <w:rFonts w:hint="default" w:ascii="Times New Roman" w:hAnsi="Times New Roman" w:eastAsia="宋体" w:cs="Times New Roman"/>
          <w:color w:val="auto"/>
          <w:highlight w:val="none"/>
          <w:lang w:val="en-US" w:eastAsia="zh-CN"/>
        </w:rPr>
        <w:t>该区域地下水质量符合</w:t>
      </w:r>
      <w:r>
        <w:rPr>
          <w:rFonts w:hint="default" w:ascii="Times New Roman" w:hAnsi="Times New Roman" w:cs="Times New Roman"/>
          <w:color w:val="auto"/>
          <w:spacing w:val="-14"/>
          <w:highlight w:val="none"/>
        </w:rPr>
        <w:t>《地下水质量标准》</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GB/T14848-2017</w:t>
      </w:r>
      <w:r>
        <w:rPr>
          <w:rFonts w:hint="default" w:ascii="Times New Roman" w:hAnsi="Times New Roman" w:cs="Times New Roman"/>
          <w:color w:val="auto"/>
          <w:highlight w:val="none"/>
        </w:rPr>
        <w:t>）</w:t>
      </w:r>
      <w:r>
        <w:rPr>
          <w:rFonts w:hint="default" w:ascii="Times New Roman" w:hAnsi="Times New Roman" w:cs="Times New Roman"/>
          <w:color w:val="auto"/>
          <w:spacing w:val="-30"/>
          <w:highlight w:val="none"/>
        </w:rPr>
        <w:t xml:space="preserve">中 </w:t>
      </w:r>
      <w:r>
        <w:rPr>
          <w:rFonts w:hint="default" w:ascii="Times New Roman" w:hAnsi="Times New Roman" w:eastAsia="Times New Roman" w:cs="Times New Roman"/>
          <w:color w:val="auto"/>
          <w:highlight w:val="none"/>
        </w:rPr>
        <w:t>III</w:t>
      </w:r>
      <w:r>
        <w:rPr>
          <w:rFonts w:hint="default" w:ascii="Times New Roman" w:hAnsi="Times New Roman" w:cs="Times New Roman"/>
          <w:color w:val="auto"/>
          <w:spacing w:val="-8"/>
          <w:highlight w:val="none"/>
        </w:rPr>
        <w:t>类标准限值。</w:t>
      </w:r>
    </w:p>
    <w:p>
      <w:pPr>
        <w:pStyle w:val="4"/>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声环境质量现状</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为了解项目区的声环境质量现状，本</w:t>
      </w:r>
      <w:r>
        <w:rPr>
          <w:rFonts w:hint="default" w:ascii="Times New Roman" w:hAnsi="Times New Roman" w:eastAsia="宋体" w:cs="Times New Roman"/>
          <w:color w:val="auto"/>
          <w:highlight w:val="none"/>
          <w:lang w:eastAsia="zh-CN"/>
        </w:rPr>
        <w:t>项目委托</w:t>
      </w:r>
      <w:r>
        <w:rPr>
          <w:rFonts w:hint="default" w:ascii="Times New Roman" w:hAnsi="Times New Roman" w:eastAsia="宋体" w:cs="Times New Roman"/>
          <w:color w:val="auto"/>
          <w:highlight w:val="none"/>
          <w:lang w:val="en-US" w:eastAsia="zh-CN"/>
        </w:rPr>
        <w:t>福建中科环境检测技术有限公司</w:t>
      </w:r>
      <w:r>
        <w:rPr>
          <w:rFonts w:hint="default" w:ascii="Times New Roman" w:hAnsi="Times New Roman" w:eastAsia="宋体" w:cs="Times New Roman"/>
          <w:color w:val="auto"/>
          <w:highlight w:val="none"/>
          <w:lang w:eastAsia="zh-CN"/>
        </w:rPr>
        <w:t>于</w:t>
      </w:r>
      <w:r>
        <w:rPr>
          <w:rFonts w:hint="default" w:ascii="Times New Roman" w:hAnsi="Times New Roman" w:eastAsia="宋体" w:cs="Times New Roman"/>
          <w:color w:val="auto"/>
          <w:highlight w:val="none"/>
          <w:lang w:val="en-US" w:eastAsia="zh-CN"/>
        </w:rPr>
        <w:t>202</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年</w:t>
      </w:r>
      <w:r>
        <w:rPr>
          <w:rFonts w:hint="default"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月</w:t>
      </w:r>
      <w:r>
        <w:rPr>
          <w:rFonts w:hint="default" w:ascii="Times New Roman" w:hAnsi="Times New Roman" w:cs="Times New Roman"/>
          <w:color w:val="auto"/>
          <w:highlight w:val="none"/>
          <w:lang w:val="en-US" w:eastAsia="zh-CN"/>
        </w:rPr>
        <w:t>16</w:t>
      </w:r>
      <w:r>
        <w:rPr>
          <w:rFonts w:hint="default" w:ascii="Times New Roman" w:hAnsi="Times New Roman" w:eastAsia="宋体" w:cs="Times New Roman"/>
          <w:color w:val="auto"/>
          <w:highlight w:val="none"/>
          <w:lang w:val="en-US" w:eastAsia="zh-CN"/>
        </w:rPr>
        <w:t>日</w:t>
      </w:r>
      <w:r>
        <w:rPr>
          <w:rFonts w:hint="default" w:ascii="Times New Roman" w:hAnsi="Times New Roman" w:cs="Times New Roman"/>
          <w:color w:val="auto"/>
          <w:highlight w:val="none"/>
          <w:lang w:val="en-US" w:eastAsia="zh-CN"/>
        </w:rPr>
        <w:t>至17日</w:t>
      </w:r>
      <w:r>
        <w:rPr>
          <w:rFonts w:hint="default" w:ascii="Times New Roman" w:hAnsi="Times New Roman" w:eastAsia="宋体" w:cs="Times New Roman"/>
          <w:color w:val="auto"/>
          <w:highlight w:val="none"/>
          <w:lang w:val="en-US" w:eastAsia="zh-CN"/>
        </w:rPr>
        <w:t>对项目区沿线的声环境质量现状进行监测，具体结果如下：</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（1）监测因子</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监测因子为等效连续A声级LAeq。</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（2）监测布点</w:t>
      </w:r>
    </w:p>
    <w:p>
      <w:pPr>
        <w:ind w:firstLine="480"/>
        <w:rPr>
          <w:rFonts w:hint="default" w:ascii="Times New Roman" w:hAnsi="Times New Roman" w:cs="Times New Roman"/>
          <w:color w:val="auto"/>
          <w:highlight w:val="none"/>
          <w:lang w:bidi="he-IL"/>
        </w:rPr>
      </w:pPr>
      <w:r>
        <w:rPr>
          <w:rFonts w:hint="default" w:ascii="Times New Roman" w:hAnsi="Times New Roman" w:cs="Times New Roman"/>
          <w:color w:val="auto"/>
          <w:highlight w:val="none"/>
          <w:lang w:val="en-US" w:eastAsia="zh-CN"/>
        </w:rPr>
        <w:t>本项目临近坝址位置有一管理用房，在项目首尾</w:t>
      </w:r>
      <w:r>
        <w:rPr>
          <w:rFonts w:hint="default" w:ascii="Times New Roman" w:hAnsi="Times New Roman" w:cs="Times New Roman"/>
          <w:color w:val="auto"/>
          <w:highlight w:val="none"/>
          <w:lang w:eastAsia="zh-CN"/>
        </w:rPr>
        <w:t>布点</w:t>
      </w:r>
      <w:r>
        <w:rPr>
          <w:rFonts w:hint="default" w:ascii="Times New Roman" w:hAnsi="Times New Roman" w:cs="Times New Roman"/>
          <w:color w:val="auto"/>
          <w:highlight w:val="none"/>
        </w:rPr>
        <w:t>，共布设</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个监测点位，监测点位见</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_Ref4714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表3.4-16</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rPr>
        <w:t>。监测点位具体分布见</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_Ref12594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图3.4-1</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_Ref18625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图3.4-2</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_Ref7607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图3.4-1</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fldChar w:fldCharType="begin"/>
      </w:r>
      <w:r>
        <w:rPr>
          <w:rFonts w:hint="default" w:ascii="Times New Roman" w:hAnsi="Times New Roman" w:cs="Times New Roman"/>
          <w:color w:val="auto"/>
          <w:highlight w:val="none"/>
          <w:lang w:eastAsia="zh-CN"/>
        </w:rPr>
        <w:instrText xml:space="preserve"> REF _Ref18691 \n \h </w:instrText>
      </w:r>
      <w:r>
        <w:rPr>
          <w:rFonts w:hint="default" w:ascii="Times New Roman" w:hAnsi="Times New Roman" w:cs="Times New Roman"/>
          <w:color w:val="auto"/>
          <w:highlight w:val="none"/>
          <w:lang w:eastAsia="zh-CN"/>
        </w:rPr>
        <w:fldChar w:fldCharType="separate"/>
      </w:r>
      <w:r>
        <w:rPr>
          <w:rFonts w:hint="default" w:ascii="Times New Roman" w:hAnsi="Times New Roman" w:cs="Times New Roman"/>
          <w:color w:val="auto"/>
          <w:highlight w:val="none"/>
          <w:lang w:eastAsia="zh-CN"/>
        </w:rPr>
        <w:t>图3.4-2</w:t>
      </w:r>
      <w:r>
        <w:rPr>
          <w:rFonts w:hint="default" w:ascii="Times New Roman" w:hAnsi="Times New Roman" w:cs="Times New Roman"/>
          <w:color w:val="auto"/>
          <w:highlight w:val="none"/>
          <w:lang w:eastAsia="zh-CN"/>
        </w:rPr>
        <w:fldChar w:fldCharType="end"/>
      </w:r>
      <w:r>
        <w:rPr>
          <w:rFonts w:hint="default" w:ascii="Times New Roman" w:hAnsi="Times New Roman" w:cs="Times New Roman"/>
          <w:color w:val="auto"/>
          <w:highlight w:val="none"/>
        </w:rPr>
        <w:t>。</w:t>
      </w:r>
    </w:p>
    <w:p>
      <w:pPr>
        <w:pStyle w:val="21"/>
        <w:bidi w:val="0"/>
        <w:rPr>
          <w:rFonts w:hint="default" w:ascii="Times New Roman" w:hAnsi="Times New Roman" w:cs="Times New Roman"/>
          <w:highlight w:val="none"/>
        </w:rPr>
      </w:pPr>
      <w:bookmarkStart w:id="115" w:name="_Ref4714"/>
      <w:r>
        <w:rPr>
          <w:rFonts w:hint="default" w:ascii="Times New Roman" w:hAnsi="Times New Roman" w:cs="Times New Roman"/>
          <w:highlight w:val="none"/>
        </w:rPr>
        <w:t>环境噪声现状监测点位布设</w:t>
      </w:r>
      <w:bookmarkEnd w:id="115"/>
    </w:p>
    <w:tbl>
      <w:tblPr>
        <w:tblStyle w:val="1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783"/>
        <w:gridCol w:w="2792"/>
        <w:gridCol w:w="1292"/>
        <w:gridCol w:w="1210"/>
        <w:gridCol w:w="1169"/>
        <w:gridCol w:w="1979"/>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点位</w:t>
            </w:r>
          </w:p>
        </w:tc>
        <w:tc>
          <w:tcPr>
            <w:tcW w:w="1513"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点位</w:t>
            </w:r>
            <w:r>
              <w:rPr>
                <w:rFonts w:hint="default" w:ascii="Times New Roman" w:hAnsi="Times New Roman" w:cs="Times New Roman"/>
                <w:sz w:val="21"/>
                <w:szCs w:val="21"/>
                <w:highlight w:val="none"/>
                <w:lang w:val="en-US" w:eastAsia="zh-CN"/>
              </w:rPr>
              <w:t>描述</w:t>
            </w:r>
          </w:p>
        </w:tc>
        <w:tc>
          <w:tcPr>
            <w:tcW w:w="1356" w:type="pct"/>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监测位置</w:t>
            </w:r>
          </w:p>
        </w:tc>
        <w:tc>
          <w:tcPr>
            <w:tcW w:w="633"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监测因子</w:t>
            </w:r>
          </w:p>
        </w:tc>
        <w:tc>
          <w:tcPr>
            <w:tcW w:w="1072"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51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经度</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纬度</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vertAlign w:val="baseline"/>
                <w:lang w:val="en-US" w:eastAsia="zh-CN"/>
              </w:rPr>
              <w:t>N1</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福鼎八中门口</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120.026218</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27.256911</w:t>
            </w:r>
          </w:p>
        </w:tc>
        <w:tc>
          <w:tcPr>
            <w:tcW w:w="633"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等效A声级</w:t>
            </w:r>
          </w:p>
        </w:tc>
        <w:tc>
          <w:tcPr>
            <w:tcW w:w="1072"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昼间、夜间各1次，每次10min，测1天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vertAlign w:val="baseline"/>
                <w:lang w:val="en-US" w:eastAsia="zh-CN"/>
              </w:rPr>
              <w:t>N2</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管阳中心小学门口</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120.029723</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27.253193</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N3</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拟建</w:t>
            </w:r>
            <w:r>
              <w:rPr>
                <w:rFonts w:hint="default" w:ascii="Times New Roman" w:hAnsi="Times New Roman" w:cs="Times New Roman"/>
                <w:sz w:val="21"/>
                <w:szCs w:val="21"/>
                <w:highlight w:val="none"/>
                <w:lang w:val="en-US" w:eastAsia="zh-CN"/>
              </w:rPr>
              <w:t>输水</w:t>
            </w:r>
            <w:r>
              <w:rPr>
                <w:rFonts w:hint="default" w:ascii="Times New Roman" w:hAnsi="Times New Roman" w:cs="Times New Roman"/>
                <w:sz w:val="21"/>
                <w:szCs w:val="21"/>
                <w:highlight w:val="none"/>
                <w:lang w:val="en-US" w:eastAsia="zh-CN"/>
              </w:rPr>
              <w:t>加压泵站</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120.035057</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27.256624</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vertAlign w:val="baseline"/>
                <w:lang w:val="en-US" w:eastAsia="zh-CN"/>
              </w:rPr>
              <w:t>N4</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广化村居民区</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120.014254</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27.278751</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N5</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天竹小学</w:t>
            </w:r>
            <w:r>
              <w:rPr>
                <w:rFonts w:hint="default" w:ascii="Times New Roman" w:hAnsi="Times New Roman" w:cs="Times New Roman"/>
                <w:sz w:val="21"/>
                <w:szCs w:val="21"/>
                <w:highlight w:val="none"/>
                <w:lang w:val="en-US" w:eastAsia="zh-CN"/>
              </w:rPr>
              <w:t>门口</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119.971358</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27.339179</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N6</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vertAlign w:val="baseline"/>
                <w:lang w:val="en-US" w:eastAsia="zh-CN"/>
              </w:rPr>
              <w:t>西阳小学</w:t>
            </w:r>
            <w:r>
              <w:rPr>
                <w:rFonts w:hint="default" w:ascii="Times New Roman" w:hAnsi="Times New Roman" w:cs="Times New Roman"/>
                <w:sz w:val="21"/>
                <w:szCs w:val="21"/>
                <w:highlight w:val="none"/>
                <w:lang w:val="en-US" w:eastAsia="zh-CN"/>
              </w:rPr>
              <w:t>门口</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119.974931</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rPr>
              <w:t>27.328519</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N7</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福鼎十二中</w:t>
            </w:r>
            <w:r>
              <w:rPr>
                <w:rFonts w:hint="default" w:ascii="Times New Roman" w:hAnsi="Times New Roman" w:cs="Times New Roman"/>
                <w:sz w:val="21"/>
                <w:szCs w:val="21"/>
                <w:highlight w:val="none"/>
                <w:lang w:val="en-US" w:eastAsia="zh-CN"/>
              </w:rPr>
              <w:t>门口</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119.976532</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27.323284</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N8</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溪头村居民区</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119.949622</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27.312833</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N9</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元潭村居民区</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119.974938</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27.293642</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N10</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拟建管阳水厂西侧原水提升泵站处</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120.023694</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27.257564</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N11</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拟建管阳水厂北侧</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120.024118</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27.257912</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N12</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拟建管阳水厂东侧</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120.024696</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27.257344</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2"/>
                <w:sz w:val="21"/>
                <w:szCs w:val="21"/>
                <w:highlight w:val="none"/>
                <w:lang w:val="en-US" w:eastAsia="zh-CN" w:bidi="ar-SA"/>
              </w:rPr>
              <w:t>N13</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拟建管阳水厂南侧</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120.024409</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27.257108</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N14</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拟建</w:t>
            </w:r>
            <w:r>
              <w:rPr>
                <w:rFonts w:hint="default" w:ascii="Times New Roman" w:hAnsi="Times New Roman" w:cs="Times New Roman"/>
                <w:color w:val="auto"/>
                <w:kern w:val="2"/>
                <w:sz w:val="21"/>
                <w:szCs w:val="21"/>
                <w:highlight w:val="none"/>
                <w:lang w:val="en-US" w:eastAsia="zh-CN" w:bidi="ar-SA"/>
              </w:rPr>
              <w:t>管阳水厂南侧现有民房</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120.025573</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27.256567</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424"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N15</w:t>
            </w:r>
          </w:p>
        </w:tc>
        <w:tc>
          <w:tcPr>
            <w:tcW w:w="1513"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拟建西阳水厂厂址</w:t>
            </w:r>
          </w:p>
        </w:tc>
        <w:tc>
          <w:tcPr>
            <w:tcW w:w="7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kern w:val="2"/>
                <w:sz w:val="21"/>
                <w:szCs w:val="21"/>
                <w:highlight w:val="none"/>
                <w:vertAlign w:val="baseline"/>
                <w:lang w:val="en-US" w:eastAsia="zh-CN" w:bidi="ar-SA"/>
              </w:rPr>
              <w:t>119.986506</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119.98650</w:t>
            </w:r>
          </w:p>
        </w:tc>
        <w:tc>
          <w:tcPr>
            <w:tcW w:w="633"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c>
          <w:tcPr>
            <w:tcW w:w="107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cs="Times New Roman"/>
                <w:sz w:val="21"/>
                <w:szCs w:val="21"/>
                <w:highlight w:val="none"/>
              </w:rPr>
            </w:pPr>
          </w:p>
        </w:tc>
      </w:tr>
    </w:tbl>
    <w:p>
      <w:pPr>
        <w:jc w:val="center"/>
        <w:rPr>
          <w:rFonts w:hint="default" w:ascii="Times New Roman" w:hAnsi="Times New Roman" w:cs="Times New Roman"/>
          <w:highlight w:val="none"/>
        </w:rPr>
      </w:pPr>
      <w:bookmarkStart w:id="116" w:name="_Ref7281"/>
      <w:bookmarkEnd w:id="116"/>
      <w:r>
        <w:rPr>
          <w:rFonts w:hint="default" w:ascii="Times New Roman" w:hAnsi="Times New Roman" w:cs="Times New Roman"/>
          <w:highlight w:val="none"/>
          <w:lang w:val="en-US" w:eastAsia="zh-CN"/>
        </w:rPr>
        <w:drawing>
          <wp:inline distT="0" distB="0" distL="114300" distR="114300">
            <wp:extent cx="5083175" cy="3310255"/>
            <wp:effectExtent l="0" t="0" r="3175" b="4445"/>
            <wp:docPr id="15" name="图片 15" descr="管阳水厂厂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管阳水厂厂址"/>
                    <pic:cNvPicPr>
                      <a:picLocks noChangeAspect="1"/>
                    </pic:cNvPicPr>
                  </pic:nvPicPr>
                  <pic:blipFill>
                    <a:blip r:embed="rId116"/>
                    <a:stretch>
                      <a:fillRect/>
                    </a:stretch>
                  </pic:blipFill>
                  <pic:spPr>
                    <a:xfrm>
                      <a:off x="0" y="0"/>
                      <a:ext cx="5083175" cy="3310255"/>
                    </a:xfrm>
                    <a:prstGeom prst="rect">
                      <a:avLst/>
                    </a:prstGeom>
                  </pic:spPr>
                </pic:pic>
              </a:graphicData>
            </a:graphic>
          </wp:inline>
        </w:drawing>
      </w:r>
    </w:p>
    <w:p>
      <w:pPr>
        <w:pStyle w:val="22"/>
        <w:bidi w:val="0"/>
        <w:rPr>
          <w:rFonts w:hint="default" w:ascii="Times New Roman" w:hAnsi="Times New Roman" w:cs="Times New Roman"/>
          <w:highlight w:val="none"/>
        </w:rPr>
      </w:pPr>
      <w:bookmarkStart w:id="117" w:name="_Ref7405"/>
      <w:bookmarkEnd w:id="117"/>
      <w:bookmarkStart w:id="118" w:name="_Ref7607"/>
      <w:r>
        <w:rPr>
          <w:rFonts w:hint="default" w:ascii="Times New Roman" w:hAnsi="Times New Roman" w:cs="Times New Roman"/>
          <w:highlight w:val="none"/>
        </w:rPr>
        <w:t>环境噪声现状监测点位布设</w:t>
      </w:r>
      <w:bookmarkEnd w:id="118"/>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管阳水厂区域）</w:t>
      </w:r>
    </w:p>
    <w:p>
      <w:pPr>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drawing>
          <wp:inline distT="0" distB="0" distL="114300" distR="114300">
            <wp:extent cx="4998085" cy="3608070"/>
            <wp:effectExtent l="0" t="0" r="12065" b="11430"/>
            <wp:docPr id="16" name="图片 16" descr="西阳水厂厂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西阳水厂厂址"/>
                    <pic:cNvPicPr>
                      <a:picLocks noChangeAspect="1"/>
                    </pic:cNvPicPr>
                  </pic:nvPicPr>
                  <pic:blipFill>
                    <a:blip r:embed="rId117"/>
                    <a:stretch>
                      <a:fillRect/>
                    </a:stretch>
                  </pic:blipFill>
                  <pic:spPr>
                    <a:xfrm>
                      <a:off x="0" y="0"/>
                      <a:ext cx="4998085" cy="3608070"/>
                    </a:xfrm>
                    <a:prstGeom prst="rect">
                      <a:avLst/>
                    </a:prstGeom>
                  </pic:spPr>
                </pic:pic>
              </a:graphicData>
            </a:graphic>
          </wp:inline>
        </w:drawing>
      </w:r>
    </w:p>
    <w:p>
      <w:pPr>
        <w:pStyle w:val="22"/>
        <w:bidi w:val="0"/>
        <w:rPr>
          <w:rFonts w:hint="default" w:ascii="Times New Roman" w:hAnsi="Times New Roman" w:cs="Times New Roman"/>
          <w:highlight w:val="none"/>
        </w:rPr>
      </w:pPr>
      <w:bookmarkStart w:id="119" w:name="_Ref18691"/>
      <w:bookmarkEnd w:id="119"/>
      <w:r>
        <w:rPr>
          <w:rFonts w:hint="default" w:ascii="Times New Roman" w:hAnsi="Times New Roman" w:cs="Times New Roman"/>
          <w:highlight w:val="none"/>
        </w:rPr>
        <w:t>环境噪声现状监测点位布设</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西阳水厂区域）</w:t>
      </w:r>
    </w:p>
    <w:p>
      <w:pPr>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rPr>
        <w:t>（3）</w:t>
      </w:r>
      <w:r>
        <w:rPr>
          <w:rFonts w:hint="default" w:ascii="Times New Roman" w:hAnsi="Times New Roman" w:eastAsia="宋体" w:cs="Times New Roman"/>
          <w:color w:val="auto"/>
          <w:highlight w:val="none"/>
        </w:rPr>
        <w:t>监测单位和监测时间</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监测单位：</w:t>
      </w:r>
      <w:r>
        <w:rPr>
          <w:rFonts w:hint="default" w:ascii="Times New Roman" w:hAnsi="Times New Roman" w:eastAsia="宋体" w:cs="Times New Roman"/>
          <w:color w:val="auto"/>
          <w:highlight w:val="none"/>
          <w:lang w:val="en-US" w:eastAsia="zh-CN"/>
        </w:rPr>
        <w:t>福建中科环境检测技术有限公司</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shd w:val="clear" w:color="auto" w:fill="auto"/>
        </w:rPr>
        <w:t>监测时间：</w:t>
      </w:r>
      <w:r>
        <w:rPr>
          <w:rFonts w:hint="default" w:ascii="Times New Roman" w:hAnsi="Times New Roman" w:eastAsia="宋体" w:cs="Times New Roman"/>
          <w:color w:val="auto"/>
          <w:highlight w:val="none"/>
          <w:lang w:val="en-US" w:eastAsia="zh-CN"/>
        </w:rPr>
        <w:t>202</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年</w:t>
      </w:r>
      <w:r>
        <w:rPr>
          <w:rFonts w:hint="default"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月</w:t>
      </w:r>
      <w:r>
        <w:rPr>
          <w:rFonts w:hint="default" w:ascii="Times New Roman" w:hAnsi="Times New Roman" w:cs="Times New Roman"/>
          <w:color w:val="auto"/>
          <w:highlight w:val="none"/>
          <w:lang w:val="en-US" w:eastAsia="zh-CN"/>
        </w:rPr>
        <w:t>16</w:t>
      </w:r>
      <w:r>
        <w:rPr>
          <w:rFonts w:hint="default" w:ascii="Times New Roman" w:hAnsi="Times New Roman" w:eastAsia="宋体" w:cs="Times New Roman"/>
          <w:color w:val="auto"/>
          <w:highlight w:val="none"/>
          <w:lang w:val="en-US" w:eastAsia="zh-CN"/>
        </w:rPr>
        <w:t>日</w:t>
      </w:r>
      <w:r>
        <w:rPr>
          <w:rFonts w:hint="default" w:ascii="Times New Roman" w:hAnsi="Times New Roman" w:cs="Times New Roman"/>
          <w:color w:val="auto"/>
          <w:highlight w:val="none"/>
          <w:lang w:val="en-US" w:eastAsia="zh-CN"/>
        </w:rPr>
        <w:t>至17日</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（4）监测方法</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噪声现状监测按照《声环境质量标准》（GB 3096-2008）和《环境监测技术规范》（噪声部分）中的有关规定进行。</w:t>
      </w:r>
      <w:r>
        <w:rPr>
          <w:rFonts w:hint="default" w:ascii="Times New Roman" w:hAnsi="Times New Roman" w:cs="Times New Roman"/>
          <w:color w:val="auto"/>
          <w:highlight w:val="none"/>
          <w:lang w:val="en-US" w:eastAsia="zh-CN"/>
        </w:rPr>
        <w:t>本项目仅于昼间进行施工，</w:t>
      </w:r>
      <w:r>
        <w:rPr>
          <w:rFonts w:hint="default" w:ascii="Times New Roman" w:hAnsi="Times New Roman" w:cs="Times New Roman"/>
          <w:color w:val="auto"/>
          <w:highlight w:val="none"/>
        </w:rPr>
        <w:t>按照《声环境质量标准》（GB 3096-2008）的规定，昼间监测一次。</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（5）监测结果</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评价区域昼夜间环境噪声监测结果见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 REF _Ref18256 \n \h </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表3.4-17</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rPr>
        <w:t>。</w:t>
      </w:r>
    </w:p>
    <w:p>
      <w:pPr>
        <w:pStyle w:val="21"/>
        <w:bidi w:val="0"/>
        <w:rPr>
          <w:rFonts w:hint="default" w:ascii="Times New Roman" w:hAnsi="Times New Roman" w:cs="Times New Roman"/>
          <w:highlight w:val="none"/>
        </w:rPr>
      </w:pPr>
      <w:bookmarkStart w:id="120" w:name="_Ref18256"/>
      <w:r>
        <w:rPr>
          <w:rFonts w:hint="default" w:ascii="Times New Roman" w:hAnsi="Times New Roman" w:cs="Times New Roman"/>
          <w:highlight w:val="none"/>
        </w:rPr>
        <w:t>环境噪声现状监测结果</w:t>
      </w:r>
      <w:bookmarkEnd w:id="120"/>
    </w:p>
    <w:tbl>
      <w:tblPr>
        <w:tblStyle w:val="16"/>
        <w:tblW w:w="484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1275"/>
        <w:gridCol w:w="1500"/>
        <w:gridCol w:w="1543"/>
        <w:gridCol w:w="23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rPr>
            </w:pPr>
            <w:r>
              <w:rPr>
                <w:rFonts w:hint="default" w:ascii="Times New Roman" w:hAnsi="Times New Roman" w:cs="Times New Roman"/>
                <w:highlight w:val="none"/>
              </w:rPr>
              <w:t>检测点位</w:t>
            </w:r>
          </w:p>
        </w:tc>
        <w:tc>
          <w:tcPr>
            <w:tcW w:w="1550" w:type="pct"/>
            <w:gridSpan w:val="2"/>
            <w:vMerge w:val="restart"/>
            <w:noWrap w:val="0"/>
            <w:vAlign w:val="center"/>
          </w:tcPr>
          <w:p>
            <w:pPr>
              <w:pStyle w:val="19"/>
              <w:bidi w:val="0"/>
              <w:spacing w:line="240" w:lineRule="auto"/>
              <w:rPr>
                <w:rFonts w:hint="default" w:ascii="Times New Roman" w:hAnsi="Times New Roman" w:cs="Times New Roman"/>
                <w:highlight w:val="none"/>
              </w:rPr>
            </w:pPr>
            <w:r>
              <w:rPr>
                <w:rFonts w:hint="default" w:ascii="Times New Roman" w:hAnsi="Times New Roman" w:cs="Times New Roman"/>
                <w:highlight w:val="none"/>
              </w:rPr>
              <w:t>检测日期及时间</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rPr>
              <w:t>检测结果dB（A）</w:t>
            </w:r>
          </w:p>
        </w:tc>
        <w:tc>
          <w:tcPr>
            <w:tcW w:w="1322" w:type="pct"/>
            <w:vMerge w:val="restart"/>
            <w:noWrap w:val="0"/>
            <w:vAlign w:val="center"/>
          </w:tcPr>
          <w:p>
            <w:pPr>
              <w:pStyle w:val="19"/>
              <w:bidi w:val="0"/>
              <w:spacing w:line="240" w:lineRule="auto"/>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声环境质量标准</w:t>
            </w:r>
          </w:p>
          <w:p>
            <w:pPr>
              <w:pStyle w:val="19"/>
              <w:bidi w:val="0"/>
              <w:spacing w:line="240" w:lineRule="auto"/>
              <w:rPr>
                <w:rFonts w:hint="default" w:ascii="Times New Roman" w:hAnsi="Times New Roman" w:cs="Times New Roman"/>
                <w:highlight w:val="none"/>
                <w:lang w:eastAsia="zh-CN"/>
              </w:rPr>
            </w:pPr>
            <w:r>
              <w:rPr>
                <w:rFonts w:hint="default" w:ascii="Times New Roman" w:hAnsi="Times New Roman" w:cs="Times New Roman"/>
                <w:highlight w:val="none"/>
                <w:lang w:eastAsia="zh-CN"/>
              </w:rPr>
              <w:t>（GB 3096-2008）</w:t>
            </w:r>
          </w:p>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2类功能区噪声限值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rPr>
            </w:pPr>
          </w:p>
        </w:tc>
        <w:tc>
          <w:tcPr>
            <w:tcW w:w="1550" w:type="pct"/>
            <w:gridSpan w:val="2"/>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rPr>
              <w:t>Leq</w:t>
            </w:r>
          </w:p>
        </w:tc>
        <w:tc>
          <w:tcPr>
            <w:tcW w:w="1322" w:type="pct"/>
            <w:vMerge w:val="continue"/>
            <w:noWrap w:val="0"/>
            <w:vAlign w:val="center"/>
          </w:tcPr>
          <w:p>
            <w:pPr>
              <w:pStyle w:val="19"/>
              <w:bidi w:val="0"/>
              <w:spacing w:line="240" w:lineRule="auto"/>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rPr>
            </w:pPr>
            <w:r>
              <w:rPr>
                <w:rFonts w:hint="default" w:ascii="Times New Roman" w:hAnsi="Times New Roman" w:cs="Times New Roman"/>
                <w:highlight w:val="none"/>
                <w:lang w:val="en-US" w:eastAsia="zh-CN"/>
              </w:rPr>
              <w:t>N1福鼎八中门口</w:t>
            </w:r>
          </w:p>
        </w:tc>
        <w:tc>
          <w:tcPr>
            <w:tcW w:w="712" w:type="pct"/>
            <w:vMerge w:val="restart"/>
            <w:noWrap w:val="0"/>
            <w:vAlign w:val="center"/>
          </w:tcPr>
          <w:p>
            <w:pPr>
              <w:pStyle w:val="19"/>
              <w:bidi w:val="0"/>
              <w:spacing w:line="240" w:lineRule="auto"/>
              <w:rPr>
                <w:rFonts w:hint="default" w:ascii="Times New Roman" w:hAnsi="Times New Roman" w:cs="Times New Roman"/>
                <w:highlight w:val="none"/>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09:22-09:32</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58.2</w:t>
            </w:r>
          </w:p>
        </w:tc>
        <w:tc>
          <w:tcPr>
            <w:tcW w:w="132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23:13-23:23</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43.5</w:t>
            </w:r>
          </w:p>
        </w:tc>
        <w:tc>
          <w:tcPr>
            <w:tcW w:w="132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N2管阳中心小学门口</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09:37-09:47</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57.8</w:t>
            </w:r>
          </w:p>
        </w:tc>
        <w:tc>
          <w:tcPr>
            <w:tcW w:w="132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23:28-23:38</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44.1</w:t>
            </w:r>
          </w:p>
        </w:tc>
        <w:tc>
          <w:tcPr>
            <w:tcW w:w="132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N3拟建配水加压泵站</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09:52-10:02</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58.2</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23:44-23:54</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42.8</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N4广化村居民区</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10:18-10:28</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52.6</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00:10-00:20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41.1</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N5天竹小学门口</w:t>
            </w: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12:18-12:28</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50.3</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02:25-02:35</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39.6</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N6西阳小学门口</w:t>
            </w: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11:40-11:50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54.6</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01:45-01:55</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40.8</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N7福鼎十二中门口</w:t>
            </w: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11:25-11:35</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57.5</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01:29-01:39</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41.3</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N8溪头村居民区</w:t>
            </w: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10:57-11:07</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50.8</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01:03-01:13</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40.6</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N9元潭村居民区</w:t>
            </w: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10:40-10:50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51.2</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2021.04.17</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00:37-00:47</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39.0 </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N10拟建管阳水厂西侧原水提升泵站处</w:t>
            </w:r>
          </w:p>
        </w:tc>
        <w:tc>
          <w:tcPr>
            <w:tcW w:w="712"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2021.04.16</w:t>
            </w: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08:10-08:20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54.2</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22:00-22:10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46.3</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N11拟建管阳水厂北侧</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08:23-08:33</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53.1</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22:13-22:23</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44.8</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N12拟建管阳水厂东侧</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08:36-08:46</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52.6</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22:26-22:36</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44.5</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N13拟建管阳水厂南侧</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08:48-08:58</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56.2</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22:40-22:50</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45.1</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restar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N14拟建管阳水厂南侧现有民房</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09:06-09:16</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58.3</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22:57-23:07</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46.7</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N15拟建西阳水厂厂址</w:t>
            </w:r>
          </w:p>
        </w:tc>
        <w:tc>
          <w:tcPr>
            <w:tcW w:w="712" w:type="pct"/>
            <w:vMerge w:val="continue"/>
            <w:noWrap w:val="0"/>
            <w:vAlign w:val="center"/>
          </w:tcPr>
          <w:p>
            <w:pPr>
              <w:pStyle w:val="19"/>
              <w:bidi w:val="0"/>
              <w:spacing w:line="240" w:lineRule="auto"/>
              <w:rPr>
                <w:rFonts w:hint="default" w:ascii="Times New Roman" w:hAnsi="Times New Roman" w:cs="Times New Roman"/>
                <w:highlight w:val="none"/>
                <w:lang w:val="en-US" w:eastAsia="zh-CN"/>
              </w:rPr>
            </w:pPr>
          </w:p>
        </w:tc>
        <w:tc>
          <w:tcPr>
            <w:tcW w:w="837"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11:57-12:07</w:t>
            </w:r>
          </w:p>
        </w:tc>
        <w:tc>
          <w:tcPr>
            <w:tcW w:w="862" w:type="pct"/>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42.5</w:t>
            </w:r>
          </w:p>
        </w:tc>
        <w:tc>
          <w:tcPr>
            <w:tcW w:w="2368" w:type="dxa"/>
            <w:noWrap w:val="0"/>
            <w:vAlign w:val="center"/>
          </w:tcPr>
          <w:p>
            <w:pPr>
              <w:pStyle w:val="19"/>
              <w:bidi w:val="0"/>
              <w:spacing w:line="240" w:lineRule="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60</w:t>
            </w:r>
          </w:p>
        </w:tc>
      </w:tr>
    </w:tbl>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从监测结果可知，</w:t>
      </w:r>
      <w:r>
        <w:rPr>
          <w:rFonts w:hint="default" w:ascii="Times New Roman" w:hAnsi="Times New Roman" w:cs="Times New Roman"/>
          <w:color w:val="auto"/>
          <w:highlight w:val="none"/>
          <w:lang w:eastAsia="zh-CN"/>
        </w:rPr>
        <w:t>项目涉及区域总体上</w:t>
      </w:r>
      <w:r>
        <w:rPr>
          <w:rFonts w:hint="default" w:ascii="Times New Roman" w:hAnsi="Times New Roman" w:cs="Times New Roman"/>
          <w:color w:val="auto"/>
          <w:highlight w:val="none"/>
        </w:rPr>
        <w:t>声环境质量良好，昼</w:t>
      </w:r>
      <w:r>
        <w:rPr>
          <w:rFonts w:hint="default" w:ascii="Times New Roman" w:hAnsi="Times New Roman" w:cs="Times New Roman"/>
          <w:highlight w:val="none"/>
          <w:lang w:val="en-US" w:eastAsia="zh-CN"/>
        </w:rPr>
        <w:t>夜</w:t>
      </w:r>
      <w:r>
        <w:rPr>
          <w:rFonts w:hint="default" w:ascii="Times New Roman" w:hAnsi="Times New Roman" w:cs="Times New Roman"/>
          <w:color w:val="auto"/>
          <w:highlight w:val="none"/>
        </w:rPr>
        <w:t>噪声均能达到《声环境质量标准》（GB3096-2008）中的</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类区标准。</w:t>
      </w:r>
    </w:p>
    <w:p>
      <w:pPr>
        <w:pStyle w:val="4"/>
        <w:rPr>
          <w:rFonts w:hint="default" w:ascii="Times New Roman" w:hAnsi="Times New Roman" w:cs="Times New Roman"/>
          <w:highlight w:val="none"/>
        </w:rPr>
      </w:pPr>
      <w:r>
        <w:rPr>
          <w:rFonts w:hint="default" w:ascii="Times New Roman" w:hAnsi="Times New Roman" w:cs="Times New Roman"/>
          <w:highlight w:val="none"/>
        </w:rPr>
        <w:t>生态环境现状调查</w:t>
      </w:r>
      <w:r>
        <w:rPr>
          <w:rFonts w:hint="default" w:ascii="Times New Roman" w:hAnsi="Times New Roman" w:cs="Times New Roman"/>
          <w:highlight w:val="none"/>
          <w:lang w:val="en-US" w:eastAsia="zh-CN"/>
        </w:rPr>
        <w:t>与</w:t>
      </w:r>
      <w:r>
        <w:rPr>
          <w:rFonts w:hint="default" w:ascii="Times New Roman" w:hAnsi="Times New Roman" w:cs="Times New Roman"/>
          <w:highlight w:val="none"/>
        </w:rPr>
        <w:t>评价</w:t>
      </w:r>
    </w:p>
    <w:p>
      <w:pPr>
        <w:pStyle w:val="4"/>
        <w:rPr>
          <w:rFonts w:hint="default" w:ascii="Times New Roman" w:hAnsi="Times New Roman" w:cs="Times New Roman"/>
          <w:highlight w:val="none"/>
        </w:rPr>
      </w:pPr>
      <w:r>
        <w:rPr>
          <w:rFonts w:hint="default" w:ascii="Times New Roman" w:hAnsi="Times New Roman" w:cs="Times New Roman"/>
          <w:highlight w:val="none"/>
        </w:rPr>
        <w:t>生态环境现状调查</w:t>
      </w:r>
    </w:p>
    <w:p>
      <w:pPr>
        <w:pStyle w:val="5"/>
        <w:rPr>
          <w:rFonts w:hint="default" w:ascii="Times New Roman" w:hAnsi="Times New Roman" w:cs="Times New Roman"/>
          <w:highlight w:val="none"/>
        </w:rPr>
      </w:pPr>
      <w:r>
        <w:rPr>
          <w:rFonts w:hint="default" w:ascii="Times New Roman" w:hAnsi="Times New Roman" w:cs="Times New Roman"/>
          <w:highlight w:val="none"/>
        </w:rPr>
        <w:t>本项目所属生态功能区</w:t>
      </w:r>
    </w:p>
    <w:p>
      <w:pPr>
        <w:ind w:firstLine="480"/>
        <w:rPr>
          <w:rFonts w:hint="default" w:ascii="Times New Roman" w:hAnsi="Times New Roman" w:cs="Times New Roman"/>
          <w:highlight w:val="none"/>
        </w:rPr>
      </w:pPr>
      <w:r>
        <w:rPr>
          <w:rFonts w:hint="default" w:ascii="Times New Roman" w:hAnsi="Times New Roman" w:cs="Times New Roman"/>
          <w:highlight w:val="none"/>
        </w:rPr>
        <w:t>根据《福建省生态功能区划》，本项目位于Ⅰ闽东闽中和闽北闽西生态区Ⅰ3闽东沿海海岸带与近岸海域生态亚区的福鼎-霞浦沿海城镇和集约化高优农业生态功能区（3101）</w:t>
      </w:r>
      <w:r>
        <w:rPr>
          <w:rFonts w:hint="default" w:ascii="Times New Roman" w:hAnsi="Times New Roman" w:cs="Times New Roman"/>
          <w:highlight w:val="none"/>
        </w:rPr>
        <w:t>(详见附图3</w:t>
      </w:r>
      <w:r>
        <w:rPr>
          <w:rFonts w:hint="default" w:ascii="Times New Roman" w:hAnsi="Times New Roman" w:cs="Times New Roman"/>
          <w:highlight w:val="none"/>
        </w:rPr>
        <w:t>)</w:t>
      </w:r>
      <w:r>
        <w:rPr>
          <w:rFonts w:hint="default" w:ascii="Times New Roman" w:hAnsi="Times New Roman" w:cs="Times New Roman"/>
          <w:highlight w:val="none"/>
        </w:rPr>
        <w:t>，该区域主要生态环境问题为乡镇企业废水、城镇生活污水排放和农业面源污染造成陆域和近岸海域水环境污染；茶果园开发、矿产开采造成水土流失和地质灾害；风景名胜区旅游与自然保护区的保护存在矛盾；生态环境敏感性表现为土壤侵蚀敏感与轻度敏感、酸雨轻度敏感与敏感、地质灾害敏感与高度敏感、部分地区生境敏感；主要生态系统服务功能为城镇生态环境、集约化高优农业生态环境、自然与人文景观保护；保护措施与发展方向：加快重要城镇生态环境规划和建设加强城乡污染的治理和控制；发展集约化高优生态农业，建设生态茶果园和有机、绿色食品基地，减少面源污染；做好茶果园水土流失治理和采矿区生态恢复工作；加大太姥山一杨家溪区域自然保护区和风景名胜区的毕态保育力度，合理发展生态旅游。</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根据《福鼎市生态功能区划》，本项目位于福鼎市</w:t>
      </w:r>
      <w:r>
        <w:rPr>
          <w:rFonts w:hint="default" w:ascii="Times New Roman" w:hAnsi="Times New Roman" w:cs="Times New Roman"/>
          <w:highlight w:val="none"/>
          <w:lang w:val="en-US" w:eastAsia="zh-CN"/>
        </w:rPr>
        <w:t>管阳镇</w:t>
      </w:r>
      <w:r>
        <w:rPr>
          <w:rFonts w:hint="default" w:ascii="Times New Roman" w:hAnsi="Times New Roman" w:cs="Times New Roman"/>
          <w:highlight w:val="none"/>
          <w:lang w:eastAsia="zh-CN"/>
        </w:rPr>
        <w:t>，该区域属于</w:t>
      </w:r>
      <w:r>
        <w:rPr>
          <w:rFonts w:hint="default" w:ascii="Times New Roman" w:hAnsi="Times New Roman" w:cs="Times New Roman"/>
          <w:highlight w:val="none"/>
        </w:rPr>
        <w:t>福鼎管阳水土保持和农业生态功能小区</w:t>
      </w:r>
      <w:r>
        <w:rPr>
          <w:rFonts w:hint="default" w:ascii="Times New Roman" w:hAnsi="Times New Roman" w:cs="Times New Roman"/>
          <w:highlight w:val="none"/>
          <w:lang w:eastAsia="zh-CN"/>
        </w:rPr>
        <w:t>(</w:t>
      </w:r>
      <w:r>
        <w:rPr>
          <w:rFonts w:hint="default" w:ascii="Times New Roman" w:hAnsi="Times New Roman" w:cs="Times New Roman"/>
          <w:highlight w:val="none"/>
        </w:rPr>
        <w:t>210398201</w:t>
      </w:r>
      <w:r>
        <w:rPr>
          <w:rFonts w:hint="default" w:ascii="Times New Roman" w:hAnsi="Times New Roman" w:cs="Times New Roman"/>
          <w:highlight w:val="none"/>
          <w:lang w:eastAsia="zh-CN"/>
        </w:rPr>
        <w:t>)</w:t>
      </w:r>
      <w:r>
        <w:rPr>
          <w:rFonts w:hint="default" w:ascii="Times New Roman" w:hAnsi="Times New Roman" w:cs="Times New Roman"/>
          <w:highlight w:val="none"/>
        </w:rPr>
        <w:t>（详见附图4）。</w:t>
      </w:r>
    </w:p>
    <w:p>
      <w:pPr>
        <w:tabs>
          <w:tab w:val="left" w:pos="0"/>
        </w:tabs>
        <w:bidi w:val="0"/>
        <w:rPr>
          <w:rFonts w:hint="default" w:ascii="Times New Roman" w:hAnsi="Times New Roman" w:eastAsia="宋体" w:cs="Times New Roman"/>
          <w:highlight w:val="none"/>
          <w:lang w:eastAsia="zh-CN"/>
        </w:rPr>
      </w:pPr>
      <w:r>
        <w:rPr>
          <w:rFonts w:hint="default" w:ascii="Times New Roman" w:hAnsi="Times New Roman" w:cs="Times New Roman"/>
          <w:highlight w:val="none"/>
        </w:rPr>
        <w:t>范围：管阳镇溪头溪流域，管阳镇亭边、唐阳、花亭、后溪、大山5个村</w:t>
      </w:r>
      <w:r>
        <w:rPr>
          <w:rFonts w:hint="default" w:ascii="Times New Roman" w:hAnsi="Times New Roman" w:cs="Times New Roman"/>
          <w:highlight w:val="none"/>
          <w:lang w:eastAsia="zh-CN"/>
        </w:rPr>
        <w:t>。</w:t>
      </w:r>
    </w:p>
    <w:p>
      <w:pPr>
        <w:tabs>
          <w:tab w:val="left" w:pos="0"/>
        </w:tabs>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面积</w:t>
      </w:r>
      <w:r>
        <w:rPr>
          <w:rFonts w:hint="default" w:ascii="Times New Roman" w:hAnsi="Times New Roman" w:cs="Times New Roman"/>
          <w:highlight w:val="none"/>
          <w:lang w:eastAsia="zh-CN"/>
        </w:rPr>
        <w:t>：</w:t>
      </w:r>
      <w:r>
        <w:rPr>
          <w:rFonts w:hint="default" w:ascii="Times New Roman" w:hAnsi="Times New Roman" w:cs="Times New Roman"/>
          <w:highlight w:val="none"/>
        </w:rPr>
        <w:t>144.3km</w:t>
      </w:r>
      <w:r>
        <w:rPr>
          <w:rFonts w:hint="default" w:ascii="Times New Roman" w:hAnsi="Times New Roman" w:cs="Times New Roman"/>
          <w:highlight w:val="none"/>
          <w:lang w:val="en-US" w:eastAsia="zh-CN"/>
        </w:rPr>
        <w:t>²。</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生态环境特征：</w:t>
      </w:r>
    </w:p>
    <w:p>
      <w:pPr>
        <w:ind w:firstLine="480"/>
        <w:rPr>
          <w:rFonts w:hint="default" w:ascii="Times New Roman" w:hAnsi="Times New Roman" w:cs="Times New Roman"/>
          <w:highlight w:val="none"/>
        </w:rPr>
      </w:pPr>
      <w:r>
        <w:rPr>
          <w:rFonts w:hint="default" w:ascii="Times New Roman" w:hAnsi="Times New Roman" w:cs="Times New Roman"/>
          <w:highlight w:val="none"/>
        </w:rPr>
        <w:t>本小区位于福鼎</w:t>
      </w:r>
      <w:r>
        <w:rPr>
          <w:rFonts w:hint="default" w:ascii="Times New Roman" w:hAnsi="Times New Roman" w:cs="Times New Roman"/>
          <w:highlight w:val="none"/>
          <w:lang w:val="en-US" w:eastAsia="zh-CN"/>
        </w:rPr>
        <w:t>西</w:t>
      </w:r>
      <w:r>
        <w:rPr>
          <w:rFonts w:hint="default" w:ascii="Times New Roman" w:hAnsi="Times New Roman" w:cs="Times New Roman"/>
          <w:highlight w:val="none"/>
        </w:rPr>
        <w:t>部的</w:t>
      </w:r>
      <w:r>
        <w:rPr>
          <w:rFonts w:hint="default" w:ascii="Times New Roman" w:hAnsi="Times New Roman" w:cs="Times New Roman"/>
          <w:highlight w:val="none"/>
          <w:lang w:val="en-US" w:eastAsia="zh-CN"/>
        </w:rPr>
        <w:t>管阳镇</w:t>
      </w:r>
      <w:r>
        <w:rPr>
          <w:rFonts w:hint="default" w:ascii="Times New Roman" w:hAnsi="Times New Roman" w:cs="Times New Roman"/>
          <w:highlight w:val="none"/>
        </w:rPr>
        <w:t>。本小区的大部分地区为中低山类地貌，海拔高度在500m以上，坡度＞30°，土壤主要为酸性岩黄红壤、酸性岩红壤和侵蚀红壤；</w:t>
      </w:r>
      <w:r>
        <w:rPr>
          <w:rFonts w:hint="default" w:ascii="Times New Roman" w:hAnsi="Times New Roman" w:cs="Times New Roman"/>
          <w:highlight w:val="none"/>
          <w:lang w:val="en-US" w:eastAsia="zh-CN"/>
        </w:rPr>
        <w:t>管阳镇</w:t>
      </w:r>
      <w:r>
        <w:rPr>
          <w:rFonts w:hint="default" w:ascii="Times New Roman" w:hAnsi="Times New Roman" w:cs="Times New Roman"/>
          <w:highlight w:val="none"/>
        </w:rPr>
        <w:t>地区主要属福鼎西</w:t>
      </w:r>
      <w:r>
        <w:rPr>
          <w:rFonts w:hint="default" w:ascii="Times New Roman" w:hAnsi="Times New Roman" w:cs="Times New Roman"/>
          <w:highlight w:val="none"/>
          <w:lang w:val="en-US" w:eastAsia="zh-CN"/>
        </w:rPr>
        <w:t>部</w:t>
      </w:r>
      <w:r>
        <w:rPr>
          <w:rFonts w:hint="default" w:ascii="Times New Roman" w:hAnsi="Times New Roman" w:cs="Times New Roman"/>
          <w:highlight w:val="none"/>
        </w:rPr>
        <w:t>植被区，植被资源丰富，保存较好，主要植被类型有：柳杉、湿地松、米槠、马尾松、油桐、茶、杉木、毛竹、针阔混交林，太姥山自然保护区位于该区域内(主要保护青冈栎、米槠、木荷、啄木鸟等动植物资源和中亚热带雨林)。</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主导功能：水土保持和农业生态环境。</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辅助功能：104国道视域景观</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生态保育和建设方向：</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⑴重点：水土保持和建设生态农业。</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rPr>
        <w:t>⑵其它相关的任务：对废弃矿山进行生态恢复，建设集镇污染物治理基础设施</w:t>
      </w:r>
    </w:p>
    <w:p>
      <w:pPr>
        <w:pStyle w:val="5"/>
        <w:rPr>
          <w:rFonts w:hint="default" w:ascii="Times New Roman" w:hAnsi="Times New Roman" w:cs="Times New Roman"/>
          <w:highlight w:val="none"/>
        </w:rPr>
      </w:pPr>
      <w:r>
        <w:rPr>
          <w:rFonts w:hint="default" w:ascii="Times New Roman" w:hAnsi="Times New Roman" w:cs="Times New Roman"/>
          <w:highlight w:val="none"/>
        </w:rPr>
        <w:t>植被现状调查</w:t>
      </w:r>
    </w:p>
    <w:p>
      <w:pPr>
        <w:ind w:firstLine="480"/>
        <w:rPr>
          <w:rFonts w:hint="default" w:ascii="Times New Roman" w:hAnsi="Times New Roman" w:cs="Times New Roman"/>
          <w:highlight w:val="none"/>
        </w:rPr>
      </w:pPr>
      <w:r>
        <w:rPr>
          <w:rFonts w:hint="default" w:ascii="Times New Roman" w:hAnsi="Times New Roman" w:cs="Times New Roman"/>
          <w:highlight w:val="none"/>
        </w:rPr>
        <w:t>一．项目沿线植被现状调查结果</w:t>
      </w:r>
    </w:p>
    <w:p>
      <w:pPr>
        <w:ind w:firstLine="480"/>
        <w:rPr>
          <w:rFonts w:hint="default" w:ascii="Times New Roman" w:hAnsi="Times New Roman" w:cs="Times New Roman"/>
          <w:highlight w:val="none"/>
        </w:rPr>
      </w:pPr>
      <w:r>
        <w:rPr>
          <w:rFonts w:hint="default" w:ascii="Times New Roman" w:hAnsi="Times New Roman" w:cs="Times New Roman"/>
          <w:highlight w:val="none"/>
        </w:rPr>
        <w:t>本项目区属于中亚热带常绿阔叶林植被带，项目沿线主要为区域内的原生植被。本评价采用线路调查法对输水管线两侧300m范围内植被进行调查。</w:t>
      </w:r>
    </w:p>
    <w:p>
      <w:pPr>
        <w:ind w:firstLine="480"/>
        <w:rPr>
          <w:rFonts w:hint="default" w:ascii="Times New Roman" w:hAnsi="Times New Roman" w:cs="Times New Roman"/>
          <w:highlight w:val="none"/>
        </w:rPr>
      </w:pPr>
      <w:r>
        <w:rPr>
          <w:rFonts w:hint="default" w:ascii="Times New Roman" w:hAnsi="Times New Roman" w:cs="Times New Roman"/>
          <w:highlight w:val="none"/>
        </w:rPr>
        <w:t>根据现场调查结果，本项目评价范围内的林地植被主要以毛竹林与农地等居多，灌草丛主要是芒萁、野葛、五节芒等。农地以种植茶叶为主。项目植被现状见</w:t>
      </w:r>
      <w:r>
        <w:rPr>
          <w:rFonts w:hint="default" w:ascii="Times New Roman" w:hAnsi="Times New Roman" w:cs="Times New Roman"/>
          <w:highlight w:val="none"/>
          <w:lang w:eastAsia="zh-CN"/>
        </w:rPr>
        <w:fldChar w:fldCharType="begin"/>
      </w:r>
      <w:r>
        <w:rPr>
          <w:rFonts w:hint="default" w:ascii="Times New Roman" w:hAnsi="Times New Roman" w:cs="Times New Roman"/>
          <w:highlight w:val="none"/>
          <w:lang w:eastAsia="zh-CN"/>
        </w:rPr>
        <w:instrText xml:space="preserve"> REF _Ref2055 \n \h </w:instrText>
      </w:r>
      <w:r>
        <w:rPr>
          <w:rFonts w:hint="default" w:ascii="Times New Roman" w:hAnsi="Times New Roman" w:cs="Times New Roman"/>
          <w:highlight w:val="none"/>
          <w:lang w:eastAsia="zh-CN"/>
        </w:rPr>
        <w:fldChar w:fldCharType="separate"/>
      </w:r>
      <w:r>
        <w:rPr>
          <w:rFonts w:hint="default" w:ascii="Times New Roman" w:hAnsi="Times New Roman" w:cs="Times New Roman"/>
          <w:highlight w:val="none"/>
          <w:lang w:eastAsia="zh-CN"/>
        </w:rPr>
        <w:t>图3.4-1</w:t>
      </w:r>
      <w:r>
        <w:rPr>
          <w:rFonts w:hint="default" w:ascii="Times New Roman" w:hAnsi="Times New Roman" w:cs="Times New Roman"/>
          <w:highlight w:val="none"/>
          <w:lang w:eastAsia="zh-CN"/>
        </w:rPr>
        <w:fldChar w:fldCharType="end"/>
      </w:r>
      <w:r>
        <w:rPr>
          <w:rFonts w:hint="default" w:ascii="Times New Roman" w:hAnsi="Times New Roman" w:cs="Times New Roman"/>
          <w:highlight w:val="none"/>
        </w:rPr>
        <w:t>。</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5"/>
        <w:gridCol w:w="4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eastAsia="宋体" w:cs="Times New Roman"/>
                <w:kern w:val="0"/>
                <w:szCs w:val="20"/>
                <w:highlight w:val="none"/>
                <w:lang w:eastAsia="zh-CN"/>
              </w:rPr>
            </w:pPr>
            <w:r>
              <w:rPr>
                <w:rFonts w:hint="default" w:ascii="Times New Roman" w:hAnsi="Times New Roman" w:eastAsia="宋体" w:cs="Times New Roman"/>
                <w:kern w:val="0"/>
                <w:szCs w:val="20"/>
                <w:highlight w:val="none"/>
                <w:lang w:eastAsia="zh-CN"/>
              </w:rPr>
              <w:drawing>
                <wp:inline distT="0" distB="0" distL="114300" distR="114300">
                  <wp:extent cx="2659380" cy="1995170"/>
                  <wp:effectExtent l="0" t="0" r="7620" b="5080"/>
                  <wp:docPr id="20" name="图片 20" descr="C:/Users/Administrator/AppData/Local/Temp/picturescale_20210416102048/output_20210416102105.jpgoutput_2021041610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AppData/Local/Temp/picturescale_20210416102048/output_20210416102105.jpgoutput_20210416102105"/>
                          <pic:cNvPicPr>
                            <a:picLocks noChangeAspect="1"/>
                          </pic:cNvPicPr>
                        </pic:nvPicPr>
                        <pic:blipFill>
                          <a:blip r:embed="rId118"/>
                          <a:stretch>
                            <a:fillRect/>
                          </a:stretch>
                        </pic:blipFill>
                        <pic:spPr>
                          <a:xfrm>
                            <a:off x="0" y="0"/>
                            <a:ext cx="2659380" cy="1995170"/>
                          </a:xfrm>
                          <a:prstGeom prst="rect">
                            <a:avLst/>
                          </a:prstGeom>
                        </pic:spPr>
                      </pic:pic>
                    </a:graphicData>
                  </a:graphic>
                </wp:inline>
              </w:drawing>
            </w:r>
          </w:p>
        </w:tc>
        <w:tc>
          <w:tcPr>
            <w:tcW w:w="2484"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eastAsia="宋体" w:cs="Times New Roman"/>
                <w:kern w:val="0"/>
                <w:szCs w:val="20"/>
                <w:highlight w:val="none"/>
                <w:lang w:eastAsia="zh-CN"/>
              </w:rPr>
            </w:pPr>
            <w:r>
              <w:rPr>
                <w:rFonts w:hint="default" w:ascii="Times New Roman" w:hAnsi="Times New Roman" w:eastAsia="宋体" w:cs="Times New Roman"/>
                <w:kern w:val="0"/>
                <w:szCs w:val="20"/>
                <w:highlight w:val="none"/>
                <w:lang w:eastAsia="zh-CN"/>
              </w:rPr>
              <w:drawing>
                <wp:inline distT="0" distB="0" distL="114300" distR="114300">
                  <wp:extent cx="2691765" cy="2018665"/>
                  <wp:effectExtent l="0" t="0" r="13335" b="635"/>
                  <wp:docPr id="21" name="图片 21" descr="C:/Users/Administrator/AppData/Local/Temp/picturescale_20210416102647/output_20210416102648.jpgoutput_2021041610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AppData/Local/Temp/picturescale_20210416102647/output_20210416102648.jpgoutput_20210416102648"/>
                          <pic:cNvPicPr>
                            <a:picLocks noChangeAspect="1"/>
                          </pic:cNvPicPr>
                        </pic:nvPicPr>
                        <pic:blipFill>
                          <a:blip r:embed="rId119"/>
                          <a:stretch>
                            <a:fillRect/>
                          </a:stretch>
                        </pic:blipFill>
                        <pic:spPr>
                          <a:xfrm>
                            <a:off x="0" y="0"/>
                            <a:ext cx="2691765" cy="20186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cs="Times New Roman"/>
                <w:kern w:val="0"/>
                <w:szCs w:val="20"/>
                <w:highlight w:val="none"/>
              </w:rPr>
            </w:pPr>
            <w:r>
              <w:rPr>
                <w:rFonts w:hint="default" w:ascii="Times New Roman" w:hAnsi="Times New Roman" w:cs="Times New Roman"/>
                <w:kern w:val="0"/>
                <w:szCs w:val="20"/>
                <w:highlight w:val="none"/>
                <w:lang w:eastAsia="zh-CN"/>
              </w:rPr>
              <w:t>管阳水厂</w:t>
            </w:r>
            <w:r>
              <w:rPr>
                <w:rFonts w:hint="default" w:ascii="Times New Roman" w:hAnsi="Times New Roman" w:cs="Times New Roman"/>
                <w:kern w:val="0"/>
                <w:szCs w:val="20"/>
                <w:highlight w:val="none"/>
                <w:lang w:val="en-US" w:eastAsia="zh-CN"/>
              </w:rPr>
              <w:t>场地</w:t>
            </w:r>
            <w:r>
              <w:rPr>
                <w:rFonts w:hint="default" w:ascii="Times New Roman" w:hAnsi="Times New Roman" w:cs="Times New Roman"/>
                <w:kern w:val="0"/>
                <w:szCs w:val="20"/>
                <w:highlight w:val="none"/>
              </w:rPr>
              <w:t>现状</w:t>
            </w:r>
          </w:p>
        </w:tc>
        <w:tc>
          <w:tcPr>
            <w:tcW w:w="2484"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eastAsia="宋体" w:cs="Times New Roman"/>
                <w:kern w:val="0"/>
                <w:szCs w:val="20"/>
                <w:highlight w:val="none"/>
                <w:lang w:eastAsia="zh-CN"/>
              </w:rPr>
            </w:pPr>
            <w:r>
              <w:rPr>
                <w:rFonts w:hint="default" w:ascii="Times New Roman" w:hAnsi="Times New Roman" w:cs="Times New Roman"/>
                <w:kern w:val="0"/>
                <w:szCs w:val="20"/>
                <w:highlight w:val="none"/>
                <w:lang w:eastAsia="zh-CN"/>
              </w:rPr>
              <w:t>西阳水厂</w:t>
            </w:r>
            <w:r>
              <w:rPr>
                <w:rFonts w:hint="default" w:ascii="Times New Roman" w:hAnsi="Times New Roman" w:cs="Times New Roman"/>
                <w:kern w:val="0"/>
                <w:szCs w:val="20"/>
                <w:highlight w:val="none"/>
                <w:lang w:val="en-US" w:eastAsia="zh-CN"/>
              </w:rPr>
              <w:t>场地</w:t>
            </w:r>
            <w:r>
              <w:rPr>
                <w:rFonts w:hint="default" w:ascii="Times New Roman" w:hAnsi="Times New Roman" w:cs="Times New Roman"/>
                <w:kern w:val="0"/>
                <w:szCs w:val="20"/>
                <w:highlight w:val="none"/>
                <w:lang w:eastAsia="zh-CN"/>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cs="Times New Roman"/>
                <w:kern w:val="0"/>
                <w:szCs w:val="20"/>
                <w:highlight w:val="none"/>
                <w:lang w:eastAsia="zh-CN"/>
              </w:rPr>
            </w:pPr>
            <w:r>
              <w:rPr>
                <w:rFonts w:hint="default" w:ascii="Times New Roman" w:hAnsi="Times New Roman" w:cs="Times New Roman"/>
                <w:kern w:val="0"/>
                <w:szCs w:val="20"/>
                <w:highlight w:val="none"/>
                <w:lang w:eastAsia="zh-CN"/>
              </w:rPr>
              <w:drawing>
                <wp:inline distT="0" distB="0" distL="114300" distR="114300">
                  <wp:extent cx="2662555" cy="1997075"/>
                  <wp:effectExtent l="0" t="0" r="4445" b="3175"/>
                  <wp:docPr id="22" name="图片 22" descr="夕阳进厂道路及厂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夕阳进厂道路及厂址"/>
                          <pic:cNvPicPr>
                            <a:picLocks noChangeAspect="1"/>
                          </pic:cNvPicPr>
                        </pic:nvPicPr>
                        <pic:blipFill>
                          <a:blip r:embed="rId120"/>
                          <a:stretch>
                            <a:fillRect/>
                          </a:stretch>
                        </pic:blipFill>
                        <pic:spPr>
                          <a:xfrm>
                            <a:off x="0" y="0"/>
                            <a:ext cx="2662555" cy="1997075"/>
                          </a:xfrm>
                          <a:prstGeom prst="rect">
                            <a:avLst/>
                          </a:prstGeom>
                        </pic:spPr>
                      </pic:pic>
                    </a:graphicData>
                  </a:graphic>
                </wp:inline>
              </w:drawing>
            </w:r>
          </w:p>
        </w:tc>
        <w:tc>
          <w:tcPr>
            <w:tcW w:w="2484"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cs="Times New Roman"/>
                <w:kern w:val="0"/>
                <w:szCs w:val="20"/>
                <w:highlight w:val="none"/>
                <w:lang w:eastAsia="zh-CN"/>
              </w:rPr>
            </w:pPr>
            <w:r>
              <w:rPr>
                <w:rFonts w:hint="default" w:ascii="Times New Roman" w:hAnsi="Times New Roman" w:cs="Times New Roman"/>
                <w:kern w:val="0"/>
                <w:szCs w:val="20"/>
                <w:highlight w:val="none"/>
                <w:lang w:eastAsia="zh-CN"/>
              </w:rPr>
              <w:drawing>
                <wp:inline distT="0" distB="0" distL="114300" distR="114300">
                  <wp:extent cx="2611755" cy="1958340"/>
                  <wp:effectExtent l="0" t="0" r="17145" b="3810"/>
                  <wp:docPr id="23" name="图片 23" descr="夕阳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夕阳西侧"/>
                          <pic:cNvPicPr>
                            <a:picLocks noChangeAspect="1"/>
                          </pic:cNvPicPr>
                        </pic:nvPicPr>
                        <pic:blipFill>
                          <a:blip r:embed="rId121"/>
                          <a:stretch>
                            <a:fillRect/>
                          </a:stretch>
                        </pic:blipFill>
                        <pic:spPr>
                          <a:xfrm>
                            <a:off x="0" y="0"/>
                            <a:ext cx="2611755" cy="1958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5"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cs="Times New Roman"/>
                <w:kern w:val="0"/>
                <w:szCs w:val="20"/>
                <w:highlight w:val="none"/>
                <w:lang w:val="en-US" w:eastAsia="zh-CN"/>
              </w:rPr>
            </w:pPr>
            <w:r>
              <w:rPr>
                <w:rFonts w:hint="default" w:ascii="Times New Roman" w:hAnsi="Times New Roman" w:cs="Times New Roman"/>
                <w:kern w:val="0"/>
                <w:szCs w:val="20"/>
                <w:highlight w:val="none"/>
                <w:lang w:val="en-US" w:eastAsia="zh-CN"/>
              </w:rPr>
              <w:t>管线沿线状况1</w:t>
            </w:r>
          </w:p>
        </w:tc>
        <w:tc>
          <w:tcPr>
            <w:tcW w:w="2484" w:type="pct"/>
            <w:shd w:val="clear" w:color="auto" w:fill="auto"/>
            <w:vAlign w:val="center"/>
          </w:tcPr>
          <w:p>
            <w:pPr>
              <w:pStyle w:val="19"/>
              <w:tabs>
                <w:tab w:val="left" w:pos="648"/>
                <w:tab w:val="clear" w:pos="0"/>
              </w:tabs>
              <w:ind w:left="0" w:leftChars="0" w:right="0" w:rightChars="0" w:firstLine="0" w:firstLineChars="0"/>
              <w:jc w:val="center"/>
              <w:rPr>
                <w:rFonts w:hint="default" w:ascii="Times New Roman" w:hAnsi="Times New Roman" w:cs="Times New Roman"/>
                <w:kern w:val="0"/>
                <w:szCs w:val="20"/>
                <w:highlight w:val="none"/>
                <w:lang w:eastAsia="zh-CN"/>
              </w:rPr>
            </w:pPr>
            <w:r>
              <w:rPr>
                <w:rFonts w:hint="default" w:ascii="Times New Roman" w:hAnsi="Times New Roman" w:cs="Times New Roman"/>
                <w:kern w:val="0"/>
                <w:szCs w:val="20"/>
                <w:highlight w:val="none"/>
                <w:lang w:val="en-US" w:eastAsia="zh-CN"/>
              </w:rPr>
              <w:t>管线沿线状况2</w:t>
            </w:r>
          </w:p>
        </w:tc>
      </w:tr>
    </w:tbl>
    <w:p>
      <w:pPr>
        <w:pStyle w:val="22"/>
        <w:bidi w:val="0"/>
        <w:rPr>
          <w:rFonts w:hint="default" w:ascii="Times New Roman" w:hAnsi="Times New Roman" w:cs="Times New Roman"/>
          <w:highlight w:val="none"/>
          <w:lang w:val="en-US" w:eastAsia="zh-CN"/>
        </w:rPr>
      </w:pPr>
      <w:bookmarkStart w:id="121" w:name="_Ref2055"/>
      <w:r>
        <w:rPr>
          <w:rFonts w:hint="default" w:ascii="Times New Roman" w:hAnsi="Times New Roman" w:cs="Times New Roman"/>
          <w:highlight w:val="none"/>
          <w:lang w:val="en-US" w:eastAsia="zh-CN"/>
        </w:rPr>
        <w:t>项目现状</w:t>
      </w:r>
      <w:bookmarkEnd w:id="121"/>
    </w:p>
    <w:p>
      <w:pPr>
        <w:numPr>
          <w:ilvl w:val="0"/>
          <w:numId w:val="4"/>
        </w:numPr>
        <w:ind w:firstLine="480"/>
        <w:rPr>
          <w:rFonts w:hint="default" w:ascii="Times New Roman" w:hAnsi="Times New Roman" w:cs="Times New Roman"/>
          <w:highlight w:val="none"/>
        </w:rPr>
      </w:pPr>
      <w:r>
        <w:rPr>
          <w:rFonts w:hint="default" w:ascii="Times New Roman" w:hAnsi="Times New Roman" w:cs="Times New Roman"/>
          <w:highlight w:val="none"/>
        </w:rPr>
        <w:t>沿线保护植物现状调查结果</w:t>
      </w:r>
    </w:p>
    <w:p>
      <w:pPr>
        <w:ind w:firstLine="480"/>
        <w:rPr>
          <w:rFonts w:hint="default" w:ascii="Times New Roman" w:hAnsi="Times New Roman" w:cs="Times New Roman"/>
          <w:highlight w:val="none"/>
        </w:rPr>
      </w:pPr>
      <w:r>
        <w:rPr>
          <w:rFonts w:hint="default" w:ascii="Times New Roman" w:hAnsi="Times New Roman" w:cs="Times New Roman"/>
          <w:highlight w:val="none"/>
        </w:rPr>
        <w:t>本项目</w:t>
      </w:r>
      <w:r>
        <w:rPr>
          <w:rFonts w:hint="default" w:ascii="Times New Roman" w:hAnsi="Times New Roman" w:cs="Times New Roman"/>
          <w:highlight w:val="none"/>
          <w:lang w:val="en-US" w:eastAsia="zh-CN"/>
        </w:rPr>
        <w:t>厂区与</w:t>
      </w:r>
      <w:r>
        <w:rPr>
          <w:rFonts w:hint="default" w:ascii="Times New Roman" w:hAnsi="Times New Roman" w:cs="Times New Roman"/>
          <w:highlight w:val="none"/>
        </w:rPr>
        <w:t>输水管线周边暂未发现名木古树和重点保护植物。</w:t>
      </w:r>
    </w:p>
    <w:p>
      <w:pPr>
        <w:pStyle w:val="5"/>
        <w:rPr>
          <w:rFonts w:hint="default" w:ascii="Times New Roman" w:hAnsi="Times New Roman" w:cs="Times New Roman"/>
          <w:color w:val="auto"/>
          <w:highlight w:val="none"/>
        </w:rPr>
      </w:pPr>
      <w:r>
        <w:rPr>
          <w:rFonts w:hint="default" w:ascii="Times New Roman" w:hAnsi="Times New Roman" w:cs="Times New Roman"/>
          <w:color w:val="auto"/>
          <w:highlight w:val="none"/>
        </w:rPr>
        <w:t>野生动物资源现状调查与评价</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通过查阅相关资料和实地走访调查，评价区范围内现存的野生动物资源以常见种和广布种为主，大型野生动物已十分罕见，</w:t>
      </w:r>
      <w:r>
        <w:rPr>
          <w:rFonts w:hint="default" w:ascii="Times New Roman" w:hAnsi="Times New Roman" w:cs="Times New Roman"/>
          <w:color w:val="auto"/>
          <w:highlight w:val="none"/>
          <w:lang w:eastAsia="zh-CN"/>
        </w:rPr>
        <w:t>调查期间未见</w:t>
      </w:r>
      <w:r>
        <w:rPr>
          <w:rFonts w:hint="default" w:ascii="Times New Roman" w:hAnsi="Times New Roman" w:cs="Times New Roman"/>
          <w:color w:val="auto"/>
          <w:highlight w:val="none"/>
        </w:rPr>
        <w:t>国家级和省级重点保护野生动物。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（1）鱼类</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本项目涉及的地表水体主要为</w:t>
      </w:r>
      <w:r>
        <w:rPr>
          <w:rFonts w:hint="default" w:ascii="Times New Roman" w:hAnsi="Times New Roman" w:cs="Times New Roman"/>
          <w:highlight w:val="none"/>
          <w:lang w:eastAsia="zh-CN"/>
        </w:rPr>
        <w:t>管阳溪</w:t>
      </w:r>
      <w:r>
        <w:rPr>
          <w:rFonts w:hint="default" w:ascii="Times New Roman" w:hAnsi="Times New Roman" w:cs="Times New Roman"/>
          <w:color w:val="auto"/>
          <w:highlight w:val="none"/>
        </w:rPr>
        <w:t>，其余水域均为山涧沟谷小溪及农田灌溉渠。根据现场走访调查，项目常见淡水鱼类有草鱼、青鱼、鲤鱼、鲢鱼、鲫鱼、黄颡鱼、厚唇鱼、侧条厚唇鱼、南方马口鱼、福建棒花鱼、长棒花鱼、黄鳝、鲶鱼、麦穗鱼等。</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（2）两栖爬行类</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两栖和爬行类主要有泽蛙、蟾蜍、棘胸蛙、雨蛙、沼蛙、青蛙、大绿蛙、蓝尾石龙子、壁虎、蝮蛇、五步蛇、水赤链蛇、金环蛇、银环蛇、中国水蛇、尖吻蝮、竹叶青、眼镜蛇等。</w:t>
      </w:r>
      <w:r>
        <w:rPr>
          <w:rFonts w:hint="default" w:ascii="Times New Roman" w:hAnsi="Times New Roman" w:cs="Times New Roman"/>
          <w:color w:val="auto"/>
          <w:highlight w:val="none"/>
          <w:lang w:eastAsia="zh-CN"/>
        </w:rPr>
        <w:t>主要</w:t>
      </w:r>
      <w:r>
        <w:rPr>
          <w:rFonts w:hint="default" w:ascii="Times New Roman" w:hAnsi="Times New Roman" w:cs="Times New Roman"/>
          <w:color w:val="auto"/>
          <w:highlight w:val="none"/>
        </w:rPr>
        <w:t>栖息于近山的旷野、水田中</w:t>
      </w:r>
      <w:r>
        <w:rPr>
          <w:rFonts w:hint="default"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（3）哺乳动物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拟建工程沿线常见哺乳动物主要有野猫、豪猪、鼹鼠、松鼠、黄鼬、野猪、山兔等。其中，松鼠、黄鼬为国家“三有”保护动物。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（4）鸟类</w:t>
      </w:r>
    </w:p>
    <w:p>
      <w:pPr>
        <w:ind w:firstLine="480"/>
        <w:rPr>
          <w:rFonts w:hint="default" w:ascii="Times New Roman" w:hAnsi="Times New Roman" w:cs="Times New Roman"/>
          <w:highlight w:val="none"/>
        </w:rPr>
      </w:pPr>
      <w:r>
        <w:rPr>
          <w:rFonts w:hint="default" w:ascii="Times New Roman" w:hAnsi="Times New Roman" w:cs="Times New Roman"/>
          <w:color w:val="auto"/>
          <w:highlight w:val="none"/>
        </w:rPr>
        <w:t>评价区范围内分布的鸟类主要有鹧鸪、竹鸡、雁、鹄、凫、黄雀、鸲鹆、家燕、山燕、棕背伯劳、乌鸦、白劲鸦、八哥、鹊、鹪鹩、灰喜鹊、白鶺鸰、黄莺、芦莺、麻雀、山麻雀、鸬鹚、鹈鸪、鸮、草鸮、鹞、鹁鸽、鸠、翡翠、啄木鸟、海鸥、珠颈斑鸠、白头翁、云雀、黄莺、芦莺、画眉等种类。主要栖息于店下镇附近的沙埕湾及其附近的溪流、水稻田和沼泽地带。</w:t>
      </w:r>
    </w:p>
    <w:p>
      <w:pPr>
        <w:pStyle w:val="5"/>
        <w:rPr>
          <w:rFonts w:hint="default" w:ascii="Times New Roman" w:hAnsi="Times New Roman" w:cs="Times New Roman"/>
          <w:highlight w:val="none"/>
        </w:rPr>
      </w:pPr>
      <w:r>
        <w:rPr>
          <w:rFonts w:hint="default" w:ascii="Times New Roman" w:hAnsi="Times New Roman" w:cs="Times New Roman"/>
          <w:highlight w:val="none"/>
        </w:rPr>
        <w:t>土壤现状调查</w:t>
      </w:r>
    </w:p>
    <w:p>
      <w:pPr>
        <w:ind w:firstLine="480"/>
        <w:rPr>
          <w:rFonts w:hint="default" w:ascii="Times New Roman" w:hAnsi="Times New Roman" w:cs="Times New Roman"/>
          <w:highlight w:val="none"/>
        </w:rPr>
      </w:pPr>
      <w:r>
        <w:rPr>
          <w:rFonts w:hint="default" w:ascii="Times New Roman" w:hAnsi="Times New Roman" w:cs="Times New Roman"/>
          <w:highlight w:val="none"/>
        </w:rPr>
        <w:t>项目区所在的山地丘陵区地形起伏，土壤类型比较复杂，其分布规律受到地形和利用方式不同所制约。项目区所在的</w:t>
      </w:r>
      <w:r>
        <w:rPr>
          <w:rFonts w:hint="default" w:ascii="Times New Roman" w:hAnsi="Times New Roman" w:cs="Times New Roman"/>
          <w:highlight w:val="none"/>
          <w:lang w:val="en-US" w:eastAsia="zh-CN"/>
        </w:rPr>
        <w:t>管阳镇</w:t>
      </w:r>
      <w:r>
        <w:rPr>
          <w:rFonts w:hint="default" w:ascii="Times New Roman" w:hAnsi="Times New Roman" w:cs="Times New Roman"/>
          <w:highlight w:val="none"/>
        </w:rPr>
        <w:t>海</w:t>
      </w:r>
      <w:r>
        <w:rPr>
          <w:rFonts w:hint="default" w:ascii="Times New Roman" w:hAnsi="Times New Roman" w:cs="Times New Roman"/>
          <w:highlight w:val="none"/>
        </w:rPr>
        <w:t>拔在500m以上的山区气候温和，雨量充沛，土壤为黄红壤和红壤，土层较厚，有机质含量较高，植被丰富，但农耕地面积不大；高丘类地貌地势坡度大，相对高差较大，谷地多呈“V”型，丘间多为农耕地，土层较厚，基岩裸露少，质地粘重。</w:t>
      </w:r>
    </w:p>
    <w:p>
      <w:pPr>
        <w:pStyle w:val="5"/>
        <w:bidi w:val="0"/>
        <w:rPr>
          <w:rFonts w:hint="default" w:ascii="Times New Roman" w:hAnsi="Times New Roman" w:cs="Times New Roman"/>
          <w:highlight w:val="none"/>
        </w:rPr>
      </w:pPr>
      <w:r>
        <w:rPr>
          <w:rFonts w:hint="default" w:ascii="Times New Roman" w:hAnsi="Times New Roman" w:cs="Times New Roman"/>
          <w:highlight w:val="none"/>
        </w:rPr>
        <w:t>土地利用现状</w:t>
      </w:r>
    </w:p>
    <w:p>
      <w:pPr>
        <w:tabs>
          <w:tab w:val="left" w:pos="0"/>
        </w:tabs>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管阳水厂位于</w:t>
      </w:r>
      <w:r>
        <w:rPr>
          <w:rFonts w:hint="default" w:ascii="Times New Roman" w:hAnsi="Times New Roman" w:cs="Times New Roman"/>
          <w:sz w:val="24"/>
          <w:szCs w:val="24"/>
          <w:highlight w:val="none"/>
        </w:rPr>
        <w:t>管阳客运站北侧</w:t>
      </w:r>
      <w:r>
        <w:rPr>
          <w:rFonts w:hint="default" w:ascii="Times New Roman" w:hAnsi="Times New Roman" w:cs="Times New Roman"/>
          <w:highlight w:val="none"/>
          <w:lang w:val="en-US" w:eastAsia="zh-CN"/>
        </w:rPr>
        <w:t>，水厂南侧靠104国道，东侧靠971县道，占地面积为9.5亩，管阳水厂地块原为园地。西阳水厂位于</w:t>
      </w:r>
      <w:r>
        <w:rPr>
          <w:rFonts w:hint="default" w:ascii="Times New Roman" w:hAnsi="Times New Roman" w:cs="Times New Roman"/>
          <w:sz w:val="24"/>
          <w:szCs w:val="24"/>
          <w:highlight w:val="none"/>
          <w:lang w:val="en-US" w:eastAsia="zh-CN"/>
        </w:rPr>
        <w:t>管阳镇</w:t>
      </w:r>
      <w:r>
        <w:rPr>
          <w:rFonts w:hint="default" w:ascii="Times New Roman" w:hAnsi="Times New Roman" w:cs="Times New Roman"/>
          <w:sz w:val="24"/>
          <w:szCs w:val="24"/>
          <w:highlight w:val="none"/>
        </w:rPr>
        <w:t>西阳村东北侧的山地</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占地面积为6.8亩，西阳水厂地块原为园地。</w:t>
      </w:r>
    </w:p>
    <w:p>
      <w:pPr>
        <w:pStyle w:val="5"/>
        <w:rPr>
          <w:rFonts w:hint="default" w:ascii="Times New Roman" w:hAnsi="Times New Roman" w:cs="Times New Roman"/>
          <w:highlight w:val="none"/>
        </w:rPr>
      </w:pPr>
      <w:r>
        <w:rPr>
          <w:rFonts w:hint="default" w:ascii="Times New Roman" w:hAnsi="Times New Roman" w:cs="Times New Roman"/>
          <w:highlight w:val="none"/>
        </w:rPr>
        <w:t>沿线农业现状调查</w:t>
      </w:r>
    </w:p>
    <w:p>
      <w:pPr>
        <w:rPr>
          <w:rFonts w:hint="default" w:ascii="Times New Roman" w:hAnsi="Times New Roman" w:cs="Times New Roman"/>
          <w:highlight w:val="none"/>
        </w:rPr>
      </w:pPr>
      <w:r>
        <w:rPr>
          <w:rFonts w:hint="default" w:ascii="Times New Roman" w:hAnsi="Times New Roman" w:cs="Times New Roman"/>
          <w:highlight w:val="none"/>
        </w:rPr>
        <w:t>通过实地走访调查，拟建工程沿线主要涉及一些茶园种植地，未涉及基本农田。</w:t>
      </w:r>
    </w:p>
    <w:p>
      <w:pPr>
        <w:rPr>
          <w:rFonts w:hint="default" w:ascii="Times New Roman" w:hAnsi="Times New Roman" w:cs="Times New Roman"/>
          <w:highlight w:val="none"/>
        </w:rPr>
        <w:sectPr>
          <w:pgSz w:w="11850" w:h="16783"/>
          <w:pgMar w:top="1417" w:right="1417" w:bottom="1417" w:left="1417" w:header="850" w:footer="992" w:gutter="0"/>
          <w:pgBorders>
            <w:top w:val="none" w:sz="0" w:space="0"/>
            <w:left w:val="none" w:sz="0" w:space="0"/>
            <w:bottom w:val="none" w:sz="0" w:space="0"/>
            <w:right w:val="none" w:sz="0" w:space="0"/>
          </w:pgBorders>
          <w:pgNumType w:fmt="decimal"/>
          <w:cols w:space="720" w:num="1"/>
          <w:rtlGutter w:val="0"/>
          <w:docGrid w:linePitch="1" w:charSpace="0"/>
        </w:sectPr>
      </w:pPr>
    </w:p>
    <w:p>
      <w:pPr>
        <w:pStyle w:val="2"/>
        <w:tabs>
          <w:tab w:val="left" w:pos="0"/>
        </w:tabs>
        <w:rPr>
          <w:rFonts w:hint="default" w:ascii="Times New Roman" w:hAnsi="Times New Roman" w:cs="Times New Roman"/>
          <w:highlight w:val="none"/>
          <w:lang w:val="en-US"/>
        </w:rPr>
      </w:pPr>
      <w:bookmarkStart w:id="122" w:name="_Toc1604"/>
      <w:bookmarkStart w:id="123" w:name="_Toc25828"/>
      <w:r>
        <w:rPr>
          <w:rFonts w:hint="default" w:ascii="Times New Roman" w:hAnsi="Times New Roman" w:cs="Times New Roman"/>
          <w:highlight w:val="none"/>
          <w:lang w:val="en-US"/>
        </w:rPr>
        <w:t>环境影响预测与评价</w:t>
      </w:r>
      <w:bookmarkEnd w:id="122"/>
      <w:bookmarkEnd w:id="123"/>
    </w:p>
    <w:p>
      <w:pPr>
        <w:pStyle w:val="3"/>
        <w:tabs>
          <w:tab w:val="left" w:pos="425"/>
          <w:tab w:val="clear" w:pos="0"/>
        </w:tabs>
        <w:spacing w:before="120" w:after="120"/>
        <w:rPr>
          <w:rFonts w:hint="default" w:ascii="Times New Roman" w:hAnsi="Times New Roman" w:cs="Times New Roman"/>
          <w:highlight w:val="none"/>
        </w:rPr>
      </w:pPr>
      <w:bookmarkStart w:id="124" w:name="_Toc21548"/>
      <w:bookmarkStart w:id="125" w:name="_Toc4603"/>
      <w:r>
        <w:rPr>
          <w:rFonts w:hint="default" w:ascii="Times New Roman" w:hAnsi="Times New Roman" w:cs="Times New Roman"/>
          <w:highlight w:val="none"/>
        </w:rPr>
        <w:t>生态环境影响评价</w:t>
      </w:r>
      <w:bookmarkEnd w:id="124"/>
      <w:bookmarkEnd w:id="125"/>
    </w:p>
    <w:p>
      <w:pPr>
        <w:ind w:firstLine="480"/>
        <w:rPr>
          <w:rFonts w:hint="default" w:ascii="Times New Roman" w:hAnsi="Times New Roman" w:cs="Times New Roman"/>
          <w:highlight w:val="none"/>
        </w:rPr>
      </w:pPr>
      <w:r>
        <w:rPr>
          <w:rFonts w:hint="default" w:ascii="Times New Roman" w:hAnsi="Times New Roman" w:cs="Times New Roman"/>
          <w:highlight w:val="none"/>
        </w:rPr>
        <w:t>本项目施工期对生态环境的影响和破坏途径主要是工程占用使耕地减少，植被覆盖率降低，同时也破坏土壤结构和肥力，工程活动打破了自然原有的生态平衡，对沿线生物的生存产生不利的影响等。</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对植被影响分析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本项目用地面积</w:t>
      </w:r>
      <w:r>
        <w:rPr>
          <w:rFonts w:hint="default" w:ascii="Times New Roman" w:hAnsi="Times New Roman" w:cs="Times New Roman"/>
          <w:highlight w:val="none"/>
          <w:lang w:val="en-US"/>
        </w:rPr>
        <w:t>10823</w:t>
      </w:r>
      <w:r>
        <w:rPr>
          <w:rFonts w:hint="default" w:ascii="Times New Roman" w:hAnsi="Times New Roman" w:cs="Times New Roman"/>
          <w:highlight w:val="none"/>
        </w:rPr>
        <w:t>m</w:t>
      </w:r>
      <w:r>
        <w:rPr>
          <w:rFonts w:hint="default" w:ascii="Times New Roman" w:hAnsi="Times New Roman" w:cs="Times New Roman"/>
          <w:highlight w:val="none"/>
          <w:vertAlign w:val="superscript"/>
        </w:rPr>
        <w:t>2</w:t>
      </w:r>
      <w:r>
        <w:rPr>
          <w:rFonts w:hint="default" w:ascii="Times New Roman" w:hAnsi="Times New Roman" w:cs="Times New Roman"/>
          <w:highlight w:val="none"/>
        </w:rPr>
        <w:t>，占地类型为园地，占地不涉及基本农田、生态公益林、饮用水源保护区、风景名胜区等。根据现场调查结果，</w:t>
      </w:r>
      <w:r>
        <w:rPr>
          <w:rFonts w:hint="default" w:ascii="Times New Roman" w:hAnsi="Times New Roman" w:cs="Times New Roman"/>
          <w:highlight w:val="none"/>
          <w:lang w:val="en-US"/>
        </w:rPr>
        <w:t>水厂</w:t>
      </w:r>
      <w:r>
        <w:rPr>
          <w:rFonts w:hint="default" w:ascii="Times New Roman" w:hAnsi="Times New Roman" w:cs="Times New Roman"/>
          <w:highlight w:val="none"/>
        </w:rPr>
        <w:t>占地范围内的植物物种以茶树为主，管线主要沿道路敷设，植被为灌草丛，灌草丛中主要是芒萁、野葛、五节芒等。，这些植物都是当地普通的、周边常见的植物，未发现特有种以及窄域分布种，因此项目的建设对区域植物多样性的影响甚微。本项目</w:t>
      </w:r>
      <w:r>
        <w:rPr>
          <w:rFonts w:hint="default" w:ascii="Times New Roman" w:hAnsi="Times New Roman" w:cs="Times New Roman"/>
          <w:highlight w:val="none"/>
          <w:lang w:eastAsia="zh-CN"/>
        </w:rPr>
        <w:t>主要</w:t>
      </w:r>
      <w:r>
        <w:rPr>
          <w:rFonts w:hint="default" w:ascii="Times New Roman" w:hAnsi="Times New Roman" w:cs="Times New Roman"/>
          <w:highlight w:val="none"/>
        </w:rPr>
        <w:t>为临时占地，后期通过临时用地的恢复，可以一定程度上弥补损失的生物量，不会对生态系统产生明显的影响。</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对陆栖野生动物的影响分析</w:t>
      </w:r>
    </w:p>
    <w:p>
      <w:pPr>
        <w:bidi w:val="0"/>
        <w:rPr>
          <w:rFonts w:hint="default" w:ascii="Times New Roman" w:hAnsi="Times New Roman" w:cs="Times New Roman"/>
          <w:highlight w:val="none"/>
        </w:rPr>
      </w:pPr>
      <w:r>
        <w:rPr>
          <w:rFonts w:hint="default" w:ascii="Times New Roman" w:hAnsi="Times New Roman" w:cs="Times New Roman"/>
          <w:highlight w:val="none"/>
        </w:rPr>
        <w:t>本项目施工期对厂区及沿管线动物的影响主要体现在施工人员生产、生活活动对动物的惊扰，特别是对两栖类动物小生境的破坏等。</w:t>
      </w:r>
    </w:p>
    <w:p>
      <w:pPr>
        <w:bidi w:val="0"/>
        <w:rPr>
          <w:rFonts w:hint="default" w:ascii="Times New Roman" w:hAnsi="Times New Roman" w:cs="Times New Roman"/>
          <w:highlight w:val="none"/>
        </w:rPr>
      </w:pPr>
      <w:r>
        <w:rPr>
          <w:rFonts w:hint="default" w:ascii="Times New Roman" w:hAnsi="Times New Roman" w:cs="Times New Roman"/>
          <w:highlight w:val="none"/>
        </w:rPr>
        <w:t>（1）对两栖爬行类动物的影响</w:t>
      </w:r>
    </w:p>
    <w:p>
      <w:pPr>
        <w:bidi w:val="0"/>
        <w:rPr>
          <w:rFonts w:hint="default" w:ascii="Times New Roman" w:hAnsi="Times New Roman" w:cs="Times New Roman"/>
          <w:highlight w:val="none"/>
        </w:rPr>
      </w:pPr>
      <w:r>
        <w:rPr>
          <w:rFonts w:hint="default" w:ascii="Times New Roman" w:hAnsi="Times New Roman" w:cs="Times New Roman"/>
          <w:highlight w:val="none"/>
        </w:rPr>
        <w:t>本项目沿线两栖爬行类动物主要栖息于园地、溪流及附近的草丛。在施工工程中，施工场地周边上述生境将受到破坏，迫使项目占地区及工程影响区两栖爬行类动物迁往它处，但对整个区域种类数量都不会构成大的影响。工程结束后，项目周边两栖爬行类动物数量将得到恢复。</w:t>
      </w:r>
    </w:p>
    <w:p>
      <w:pPr>
        <w:bidi w:val="0"/>
        <w:rPr>
          <w:rFonts w:hint="default" w:ascii="Times New Roman" w:hAnsi="Times New Roman" w:cs="Times New Roman"/>
          <w:highlight w:val="none"/>
        </w:rPr>
      </w:pPr>
      <w:r>
        <w:rPr>
          <w:rFonts w:hint="default" w:ascii="Times New Roman" w:hAnsi="Times New Roman" w:cs="Times New Roman"/>
          <w:highlight w:val="none"/>
        </w:rPr>
        <w:t>（2）对鸟类的影响</w:t>
      </w:r>
    </w:p>
    <w:p>
      <w:pPr>
        <w:bidi w:val="0"/>
        <w:rPr>
          <w:rFonts w:hint="default" w:ascii="Times New Roman" w:hAnsi="Times New Roman" w:cs="Times New Roman"/>
          <w:highlight w:val="none"/>
        </w:rPr>
      </w:pPr>
      <w:r>
        <w:rPr>
          <w:rFonts w:hint="default" w:ascii="Times New Roman" w:hAnsi="Times New Roman" w:cs="Times New Roman"/>
          <w:highlight w:val="none"/>
        </w:rPr>
        <w:t>施工期间人为活动的增加，施工机械噪音和爆破噪声会惊扰区域内的鸟类。不过，影响区内的鸟类会通过迁移主动躲避工程施工对其栖息和觅食的影响。鉴于噪声会影响鸟类的繁殖率，因此在拟建工程施工中应采取一定的降噪、减震措施。</w:t>
      </w:r>
    </w:p>
    <w:p>
      <w:pPr>
        <w:bidi w:val="0"/>
        <w:rPr>
          <w:rFonts w:hint="default" w:ascii="Times New Roman" w:hAnsi="Times New Roman" w:cs="Times New Roman"/>
          <w:highlight w:val="none"/>
        </w:rPr>
      </w:pPr>
      <w:r>
        <w:rPr>
          <w:rFonts w:hint="default" w:ascii="Times New Roman" w:hAnsi="Times New Roman" w:cs="Times New Roman"/>
          <w:highlight w:val="none"/>
        </w:rPr>
        <w:t>（3）对哺乳类的影响</w:t>
      </w:r>
    </w:p>
    <w:p>
      <w:pPr>
        <w:bidi w:val="0"/>
        <w:rPr>
          <w:rFonts w:hint="default" w:ascii="Times New Roman" w:hAnsi="Times New Roman" w:cs="Times New Roman"/>
          <w:highlight w:val="none"/>
        </w:rPr>
      </w:pPr>
      <w:r>
        <w:rPr>
          <w:rFonts w:hint="default" w:ascii="Times New Roman" w:hAnsi="Times New Roman" w:cs="Times New Roman"/>
          <w:highlight w:val="none"/>
        </w:rPr>
        <w:t>本项目施工对哺乳类的影响主要体现在对栖息地、觅食场所的破坏，包括对施工区植被的破坏，各种施工人员以及施工机械的干扰等，使评价区及其周边环境发生改变。根据现状调查结果，本区哺乳类多为活动能力较强的种类，这些动物将在施工期间迁移至附近干扰较小的区域。施工结束后，随着植被的恢复，生态环境的好转，人为干扰逐渐减少，许多外迁的哺乳动物将会陆续回到原来的栖息地。因此，项目施工对哺乳类动物的影响较小。</w:t>
      </w:r>
    </w:p>
    <w:p>
      <w:pPr>
        <w:bidi w:val="0"/>
        <w:rPr>
          <w:rFonts w:hint="default" w:ascii="Times New Roman" w:hAnsi="Times New Roman" w:cs="Times New Roman"/>
          <w:highlight w:val="none"/>
        </w:rPr>
      </w:pPr>
      <w:r>
        <w:rPr>
          <w:rFonts w:hint="default" w:ascii="Times New Roman" w:hAnsi="Times New Roman" w:cs="Times New Roman"/>
          <w:highlight w:val="none"/>
        </w:rPr>
        <w:t>值得注意的是，施工队伍人员复杂，动物保护意识良莠不齐，施工人员随意丢弃的生活垃圾也可能被鸟类误食，对其产生危害，应加强施工队伍的环保培训，增强其环保意识，生活垃圾集中处理。</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对农业生态的影响分析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（1）对土地利用的影响</w:t>
      </w:r>
    </w:p>
    <w:p>
      <w:pPr>
        <w:ind w:firstLine="480"/>
        <w:rPr>
          <w:rFonts w:hint="default" w:ascii="Times New Roman" w:hAnsi="Times New Roman" w:cs="Times New Roman"/>
          <w:highlight w:val="none"/>
        </w:rPr>
      </w:pPr>
      <w:r>
        <w:rPr>
          <w:rFonts w:hint="default" w:ascii="Times New Roman" w:hAnsi="Times New Roman" w:cs="Times New Roman"/>
          <w:highlight w:val="none"/>
        </w:rPr>
        <w:t>本工程水厂占地为永久用地，管线占地临时用地，且不占用基本保护农田。为了尽量减少因工程占地对农业土地利用和农民生活质量短期内的不利影响，建设部门应严格执行国家有关“土地复垦”的规定，在施工结束时对各类临时占地切实做好避让措施。在采取相应的措施后，本项目对土地利用的影响不大。</w:t>
      </w:r>
    </w:p>
    <w:p>
      <w:pPr>
        <w:ind w:firstLine="480"/>
        <w:rPr>
          <w:rFonts w:hint="default" w:ascii="Times New Roman" w:hAnsi="Times New Roman" w:cs="Times New Roman"/>
          <w:highlight w:val="none"/>
        </w:rPr>
      </w:pPr>
      <w:r>
        <w:rPr>
          <w:rFonts w:hint="default" w:ascii="Times New Roman" w:hAnsi="Times New Roman" w:cs="Times New Roman"/>
          <w:highlight w:val="none"/>
        </w:rPr>
        <w:t>（2）工程临时占地与施工活动对农业生态的影响</w:t>
      </w:r>
    </w:p>
    <w:p>
      <w:pPr>
        <w:ind w:firstLine="480"/>
        <w:rPr>
          <w:rFonts w:hint="default" w:ascii="Times New Roman" w:hAnsi="Times New Roman" w:cs="Times New Roman"/>
          <w:highlight w:val="none"/>
        </w:rPr>
      </w:pPr>
      <w:r>
        <w:rPr>
          <w:rFonts w:hint="default" w:ascii="Times New Roman" w:hAnsi="Times New Roman" w:cs="Times New Roman"/>
          <w:highlight w:val="none"/>
        </w:rPr>
        <w:t>工程临时占地如施工场地、临时表土堆场等以及车辆辗压、施工人员踩踏等都将影响临时占地区农作物的当季产量。本工程临时用地中不包含耕地、园地等农用地，建设单位应严格执行国家有关“土地复垦”的规定，在施工结束时对各类临时用地及时复垦，种植乔灌草类进行植被恢复。</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施工期对土壤环境的影响分析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本工程剥离的表土层临时堆置于表土临时堆置区，并覆以薄膜；待施工后期用于绿化建设。</w:t>
      </w:r>
      <w:r>
        <w:rPr>
          <w:rFonts w:hint="default" w:ascii="Times New Roman" w:hAnsi="Times New Roman" w:cs="Times New Roman"/>
          <w:highlight w:val="none"/>
          <w:lang w:eastAsia="zh-CN"/>
        </w:rPr>
        <w:t>堆场布置情况详见工程分析章节。</w:t>
      </w:r>
      <w:r>
        <w:rPr>
          <w:rFonts w:hint="default" w:ascii="Times New Roman" w:hAnsi="Times New Roman" w:cs="Times New Roman"/>
          <w:highlight w:val="none"/>
        </w:rPr>
        <w:t>此外，施工场地和临时堆土场等临时用地由于机械压碾会造成土壤紧实度增加，不利于植物根部生长，建议对临时占地表层土壤应以予翻松，要求深翻表土30～40cm。</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对生态系统完整性和稳定性影响</w:t>
      </w:r>
    </w:p>
    <w:p>
      <w:pPr>
        <w:ind w:firstLine="480"/>
        <w:rPr>
          <w:rFonts w:hint="default" w:ascii="Times New Roman" w:hAnsi="Times New Roman" w:cs="Times New Roman"/>
          <w:highlight w:val="none"/>
        </w:rPr>
      </w:pPr>
      <w:r>
        <w:rPr>
          <w:rFonts w:hint="default" w:ascii="Times New Roman" w:hAnsi="Times New Roman" w:cs="Times New Roman"/>
          <w:highlight w:val="none"/>
        </w:rPr>
        <w:t>根据现状调查，本工程主要为临时用地，区域内的植被主要为一些当地常见的植被，以马尾松林、杂竹林为主。区域内林地树种组成较为单一，群落结构简单，因此项目建设不会造成沿线植被类型分布状况和森林植物群落结构的改变，不会对林地生态系统结构完整性和完整性产生大的影响。</w:t>
      </w:r>
    </w:p>
    <w:p>
      <w:pPr>
        <w:ind w:firstLine="480"/>
        <w:rPr>
          <w:rFonts w:hint="default" w:ascii="Times New Roman" w:hAnsi="Times New Roman" w:cs="Times New Roman"/>
          <w:highlight w:val="none"/>
        </w:rPr>
      </w:pPr>
      <w:r>
        <w:rPr>
          <w:rFonts w:hint="default" w:ascii="Times New Roman" w:hAnsi="Times New Roman" w:cs="Times New Roman"/>
          <w:highlight w:val="none"/>
        </w:rPr>
        <w:t>对于农田生态系统来说，水厂占地种植有茶叶，而茶叶在当地广泛种植，为经济作物。管线工程的临时占地，种植有茶叶和黄栀子，不会引起主要农作物种植品种和面积的改变，因此农田生态系统的结构不会破坏。农田生态系统的持续生产能力不会下降，系统的运行连续性不会破坏。</w:t>
      </w:r>
    </w:p>
    <w:p>
      <w:pPr>
        <w:ind w:firstLine="480"/>
        <w:rPr>
          <w:rFonts w:hint="default" w:ascii="Times New Roman" w:hAnsi="Times New Roman" w:cs="Times New Roman"/>
          <w:highlight w:val="none"/>
        </w:rPr>
      </w:pPr>
      <w:r>
        <w:rPr>
          <w:rFonts w:hint="default" w:ascii="Times New Roman" w:hAnsi="Times New Roman" w:cs="Times New Roman"/>
          <w:highlight w:val="none"/>
        </w:rPr>
        <w:t>综上所述，本区域内绝大部分的覆被面积和植被类型没有发生变化，亦即对本区域生态环境起控制作用的组分未发生变动，生境的异质性没有发生大的改变。因此，本项目建设不会改变现有生态系统的完整性和功能的持续性。</w:t>
      </w:r>
    </w:p>
    <w:p>
      <w:pPr>
        <w:pStyle w:val="3"/>
        <w:spacing w:before="120" w:after="120"/>
        <w:rPr>
          <w:rFonts w:hint="default" w:ascii="Times New Roman" w:hAnsi="Times New Roman" w:cs="Times New Roman"/>
          <w:highlight w:val="none"/>
        </w:rPr>
      </w:pPr>
      <w:bookmarkStart w:id="126" w:name="_Toc23101"/>
      <w:bookmarkStart w:id="127" w:name="_Toc16781"/>
      <w:r>
        <w:rPr>
          <w:rFonts w:hint="default" w:ascii="Times New Roman" w:hAnsi="Times New Roman" w:cs="Times New Roman"/>
          <w:highlight w:val="none"/>
        </w:rPr>
        <w:t>大气环境预测影响分析</w:t>
      </w:r>
      <w:bookmarkEnd w:id="126"/>
      <w:bookmarkEnd w:id="127"/>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施工期大气环境影响分析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拟建项目施工期的大气污染物主要是来自施工活动产生的扬尘及施工机械排放的尾气。</w:t>
      </w:r>
    </w:p>
    <w:p>
      <w:pPr>
        <w:pStyle w:val="5"/>
        <w:rPr>
          <w:rFonts w:hint="default" w:ascii="Times New Roman" w:hAnsi="Times New Roman" w:cs="Times New Roman"/>
          <w:highlight w:val="none"/>
        </w:rPr>
      </w:pPr>
      <w:r>
        <w:rPr>
          <w:rFonts w:hint="default" w:ascii="Times New Roman" w:hAnsi="Times New Roman" w:cs="Times New Roman"/>
          <w:highlight w:val="none"/>
        </w:rPr>
        <w:t>施工运输车辆产生TSP影响分析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在施工期，施工车辆行驶和运载物料的装卸将给沿线带来TSP污染，尤其在未铺设的道路上行驶和一般的情况下产生污染影响及范围较大。</w:t>
      </w:r>
    </w:p>
    <w:p>
      <w:pPr>
        <w:ind w:firstLine="480"/>
        <w:rPr>
          <w:rFonts w:hint="default" w:ascii="Times New Roman" w:hAnsi="Times New Roman" w:cs="Times New Roman"/>
          <w:highlight w:val="none"/>
        </w:rPr>
      </w:pPr>
      <w:r>
        <w:rPr>
          <w:rFonts w:hint="default" w:ascii="Times New Roman" w:hAnsi="Times New Roman" w:cs="Times New Roman"/>
          <w:highlight w:val="none"/>
        </w:rPr>
        <w:t>参照类似道路施工期间对运输车辆来往引起的扬尘的监测，灰土运输车辆来往引起的扬尘是最严重的扬尘污染，在距路边下风向50m处TSP浓度＞10mg/m</w:t>
      </w:r>
      <w:r>
        <w:rPr>
          <w:rFonts w:hint="default" w:ascii="Times New Roman" w:hAnsi="Times New Roman" w:cs="Times New Roman"/>
          <w:highlight w:val="none"/>
          <w:vertAlign w:val="superscript"/>
        </w:rPr>
        <w:t>3</w:t>
      </w:r>
      <w:r>
        <w:rPr>
          <w:rFonts w:hint="default" w:ascii="Times New Roman" w:hAnsi="Times New Roman" w:cs="Times New Roman"/>
          <w:highlight w:val="none"/>
        </w:rPr>
        <w:t>；距路边150m处TSP浓度＞4mg/m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p>
      <w:pPr>
        <w:ind w:firstLine="480"/>
        <w:rPr>
          <w:rFonts w:hint="default" w:ascii="Times New Roman" w:hAnsi="Times New Roman" w:cs="Times New Roman"/>
          <w:highlight w:val="none"/>
        </w:rPr>
      </w:pPr>
      <w:r>
        <w:rPr>
          <w:rFonts w:hint="default" w:ascii="Times New Roman" w:hAnsi="Times New Roman" w:cs="Times New Roman"/>
          <w:highlight w:val="none"/>
        </w:rPr>
        <w:t>施工过程可通过定时对路面洒水，能有效地抑制TSP的泛起，特别是离路边越近，洒水降尘效果越明显，距离路边越远的地方由于TSP浓度本身不高，所以效果不如路边明显，详见下表。</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施工路段洒水降尘试验结果   单位：mg/m</w:t>
      </w:r>
      <w:r>
        <w:rPr>
          <w:rFonts w:hint="default" w:ascii="Times New Roman" w:hAnsi="Times New Roman" w:cs="Times New Roman"/>
          <w:highlight w:val="none"/>
          <w:vertAlign w:val="superscript"/>
        </w:rPr>
        <w:t>3</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1327"/>
        <w:gridCol w:w="1327"/>
        <w:gridCol w:w="1328"/>
        <w:gridCol w:w="1328"/>
        <w:gridCol w:w="1328"/>
        <w:gridCol w:w="13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4" w:type="dxa"/>
            <w:gridSpan w:val="2"/>
            <w:tcBorders>
              <w:top w:val="single" w:color="auto" w:sz="12" w:space="0"/>
              <w:left w:val="nil"/>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与路边距离</w:t>
            </w:r>
          </w:p>
        </w:tc>
        <w:tc>
          <w:tcPr>
            <w:tcW w:w="1327" w:type="dxa"/>
            <w:tcBorders>
              <w:top w:val="single" w:color="auto" w:sz="12"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0m</w:t>
            </w:r>
          </w:p>
        </w:tc>
        <w:tc>
          <w:tcPr>
            <w:tcW w:w="1328" w:type="dxa"/>
            <w:tcBorders>
              <w:top w:val="single" w:color="auto" w:sz="12"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20m</w:t>
            </w:r>
          </w:p>
        </w:tc>
        <w:tc>
          <w:tcPr>
            <w:tcW w:w="1328" w:type="dxa"/>
            <w:tcBorders>
              <w:top w:val="single" w:color="auto" w:sz="12"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50m</w:t>
            </w:r>
          </w:p>
        </w:tc>
        <w:tc>
          <w:tcPr>
            <w:tcW w:w="1328" w:type="dxa"/>
            <w:tcBorders>
              <w:top w:val="single" w:color="auto" w:sz="12"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100m</w:t>
            </w:r>
          </w:p>
        </w:tc>
        <w:tc>
          <w:tcPr>
            <w:tcW w:w="1325" w:type="dxa"/>
            <w:tcBorders>
              <w:top w:val="single" w:color="auto" w:sz="12" w:space="0"/>
              <w:left w:val="single" w:color="auto" w:sz="4" w:space="0"/>
              <w:bottom w:val="single" w:color="auto" w:sz="4" w:space="0"/>
              <w:right w:val="nil"/>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150m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7" w:type="dxa"/>
            <w:vMerge w:val="restart"/>
            <w:tcBorders>
              <w:top w:val="single" w:color="auto" w:sz="4" w:space="0"/>
              <w:left w:val="nil"/>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TSP</w:t>
            </w:r>
          </w:p>
        </w:tc>
        <w:tc>
          <w:tcPr>
            <w:tcW w:w="1327" w:type="dxa"/>
            <w:tcBorders>
              <w:top w:val="single" w:color="auto" w:sz="4"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不洒水</w:t>
            </w:r>
          </w:p>
        </w:tc>
        <w:tc>
          <w:tcPr>
            <w:tcW w:w="1327" w:type="dxa"/>
            <w:tcBorders>
              <w:top w:val="single" w:color="auto" w:sz="4"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11.03</w:t>
            </w:r>
          </w:p>
        </w:tc>
        <w:tc>
          <w:tcPr>
            <w:tcW w:w="1328" w:type="dxa"/>
            <w:tcBorders>
              <w:top w:val="single" w:color="auto" w:sz="4"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2.89</w:t>
            </w:r>
          </w:p>
        </w:tc>
        <w:tc>
          <w:tcPr>
            <w:tcW w:w="1328" w:type="dxa"/>
            <w:tcBorders>
              <w:top w:val="single" w:color="auto" w:sz="4"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1.15</w:t>
            </w:r>
          </w:p>
        </w:tc>
        <w:tc>
          <w:tcPr>
            <w:tcW w:w="1328" w:type="dxa"/>
            <w:tcBorders>
              <w:top w:val="single" w:color="auto" w:sz="4" w:space="0"/>
              <w:left w:val="single" w:color="auto" w:sz="4" w:space="0"/>
              <w:bottom w:val="single" w:color="auto" w:sz="4"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0.86</w:t>
            </w:r>
          </w:p>
        </w:tc>
        <w:tc>
          <w:tcPr>
            <w:tcW w:w="1325" w:type="dxa"/>
            <w:tcBorders>
              <w:top w:val="single" w:color="auto" w:sz="4" w:space="0"/>
              <w:left w:val="single" w:color="auto" w:sz="4" w:space="0"/>
              <w:bottom w:val="single" w:color="auto" w:sz="4" w:space="0"/>
              <w:right w:val="nil"/>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7" w:type="dxa"/>
            <w:vMerge w:val="continue"/>
            <w:tcBorders>
              <w:top w:val="single" w:color="auto" w:sz="4" w:space="0"/>
              <w:left w:val="nil"/>
              <w:bottom w:val="single" w:color="auto" w:sz="12" w:space="0"/>
              <w:right w:val="single" w:color="auto" w:sz="4" w:space="0"/>
            </w:tcBorders>
            <w:vAlign w:val="center"/>
          </w:tcPr>
          <w:p>
            <w:pPr>
              <w:pStyle w:val="19"/>
              <w:rPr>
                <w:rFonts w:hint="default" w:ascii="Times New Roman" w:hAnsi="Times New Roman" w:cs="Times New Roman"/>
                <w:highlight w:val="none"/>
              </w:rPr>
            </w:pPr>
          </w:p>
        </w:tc>
        <w:tc>
          <w:tcPr>
            <w:tcW w:w="1327" w:type="dxa"/>
            <w:tcBorders>
              <w:top w:val="single" w:color="auto" w:sz="4" w:space="0"/>
              <w:left w:val="single" w:color="auto" w:sz="4" w:space="0"/>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洒水</w:t>
            </w:r>
          </w:p>
        </w:tc>
        <w:tc>
          <w:tcPr>
            <w:tcW w:w="1327" w:type="dxa"/>
            <w:tcBorders>
              <w:top w:val="single" w:color="auto" w:sz="4" w:space="0"/>
              <w:left w:val="single" w:color="auto" w:sz="4" w:space="0"/>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2.11</w:t>
            </w:r>
          </w:p>
        </w:tc>
        <w:tc>
          <w:tcPr>
            <w:tcW w:w="1328" w:type="dxa"/>
            <w:tcBorders>
              <w:top w:val="single" w:color="auto" w:sz="4" w:space="0"/>
              <w:left w:val="single" w:color="auto" w:sz="4" w:space="0"/>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1.40</w:t>
            </w:r>
          </w:p>
        </w:tc>
        <w:tc>
          <w:tcPr>
            <w:tcW w:w="1328" w:type="dxa"/>
            <w:tcBorders>
              <w:top w:val="single" w:color="auto" w:sz="4" w:space="0"/>
              <w:left w:val="single" w:color="auto" w:sz="4" w:space="0"/>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0.68</w:t>
            </w:r>
          </w:p>
        </w:tc>
        <w:tc>
          <w:tcPr>
            <w:tcW w:w="1328" w:type="dxa"/>
            <w:tcBorders>
              <w:top w:val="single" w:color="auto" w:sz="4" w:space="0"/>
              <w:left w:val="single" w:color="auto" w:sz="4" w:space="0"/>
              <w:bottom w:val="single" w:color="auto" w:sz="12" w:space="0"/>
              <w:right w:val="single" w:color="auto" w:sz="4" w:space="0"/>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0.60</w:t>
            </w:r>
          </w:p>
        </w:tc>
        <w:tc>
          <w:tcPr>
            <w:tcW w:w="1325" w:type="dxa"/>
            <w:tcBorders>
              <w:top w:val="single" w:color="auto" w:sz="4" w:space="0"/>
              <w:left w:val="single" w:color="auto" w:sz="4" w:space="0"/>
              <w:bottom w:val="single" w:color="auto" w:sz="12" w:space="0"/>
              <w:right w:val="nil"/>
            </w:tcBorders>
            <w:vAlign w:val="center"/>
          </w:tcPr>
          <w:p>
            <w:pPr>
              <w:pStyle w:val="19"/>
              <w:rPr>
                <w:rFonts w:hint="default" w:ascii="Times New Roman" w:hAnsi="Times New Roman" w:cs="Times New Roman"/>
                <w:highlight w:val="none"/>
              </w:rPr>
            </w:pPr>
            <w:r>
              <w:rPr>
                <w:rFonts w:hint="default" w:ascii="Times New Roman" w:hAnsi="Times New Roman" w:cs="Times New Roman"/>
                <w:highlight w:val="none"/>
              </w:rPr>
              <w:t>0.29</w:t>
            </w:r>
          </w:p>
        </w:tc>
      </w:tr>
    </w:tbl>
    <w:p>
      <w:pPr>
        <w:tabs>
          <w:tab w:val="left" w:pos="1980"/>
          <w:tab w:val="left" w:pos="3825"/>
          <w:tab w:val="left" w:pos="4680"/>
        </w:tabs>
        <w:spacing w:before="120" w:beforeLines="50"/>
        <w:ind w:firstLine="480"/>
        <w:rPr>
          <w:rFonts w:hint="default" w:ascii="Times New Roman" w:hAnsi="Times New Roman" w:cs="Times New Roman"/>
          <w:highlight w:val="none"/>
        </w:rPr>
      </w:pPr>
      <w:r>
        <w:rPr>
          <w:rFonts w:hint="default" w:ascii="Times New Roman" w:hAnsi="Times New Roman" w:cs="Times New Roman"/>
          <w:highlight w:val="none"/>
        </w:rPr>
        <w:t>为了保证周边环境空气质量达标，施工期在施工时应定时进行路面洒水，</w:t>
      </w:r>
      <w:r>
        <w:rPr>
          <w:rFonts w:hint="default" w:ascii="Times New Roman" w:hAnsi="Times New Roman" w:cs="Times New Roman"/>
          <w:snapToGrid w:val="0"/>
          <w:highlight w:val="none"/>
        </w:rPr>
        <w:t>进出施工场地的土石方、物料等运输车辆，在运输过程中应采用密闭车斗，并保证土石方、物料不遗撒外漏。若无密闭车斗，土石方、物料、垃圾的装载高度不得超过车辆槽帮上沿，车斗应用苫布遮盖严实。苫布边缘至少要遮住槽帮上沿以下15cm，保证土石方、物料、垃圾等不露出。运输车辆应优先选择离村庄住户远的路线，可选择村外围现有道路，避免从村内部穿过；严格控制车速，禁止超速超载等易加重扬尘污染行为。严格执行施工期的各项防尘措施，车辆运输路线两侧的环境空气影响将得到有效的控制。</w:t>
      </w:r>
    </w:p>
    <w:p>
      <w:pPr>
        <w:pStyle w:val="5"/>
        <w:rPr>
          <w:rFonts w:hint="default" w:ascii="Times New Roman" w:hAnsi="Times New Roman" w:cs="Times New Roman"/>
          <w:highlight w:val="none"/>
        </w:rPr>
      </w:pPr>
      <w:r>
        <w:rPr>
          <w:rFonts w:hint="default" w:ascii="Times New Roman" w:hAnsi="Times New Roman" w:cs="Times New Roman"/>
          <w:highlight w:val="none"/>
        </w:rPr>
        <w:t>施工作业扬尘影响分析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本工程施工期土石搬运、物料装卸将产生扰动扬尘、风吹扬尘和逸散尘，施工场地和露天堆场裸露表面也将产生风吹扬尘。</w:t>
      </w:r>
    </w:p>
    <w:p>
      <w:pPr>
        <w:ind w:firstLine="480"/>
        <w:rPr>
          <w:rFonts w:hint="default" w:ascii="Times New Roman" w:hAnsi="Times New Roman" w:cs="Times New Roman"/>
          <w:color w:val="FF0000"/>
          <w:highlight w:val="none"/>
        </w:rPr>
      </w:pPr>
      <w:r>
        <w:rPr>
          <w:rFonts w:hint="default" w:ascii="Times New Roman" w:hAnsi="Times New Roman" w:cs="Times New Roman"/>
          <w:highlight w:val="none"/>
        </w:rPr>
        <w:t>北京市环境科学研究院对四个市政工程（两个有围档，两个无围档）的施工现场扬尘情况进行了调查测定</w:t>
      </w:r>
      <w:r>
        <w:rPr>
          <w:rFonts w:hint="eastAsia" w:ascii="Times New Roman" w:hAnsi="Times New Roman" w:cs="Times New Roman"/>
          <w:highlight w:val="none"/>
          <w:lang w:eastAsia="zh-CN"/>
        </w:rPr>
        <w:t>，</w:t>
      </w:r>
      <w:r>
        <w:rPr>
          <w:rFonts w:hint="default" w:ascii="Times New Roman" w:hAnsi="Times New Roman" w:cs="Times New Roman"/>
          <w:highlight w:val="none"/>
        </w:rPr>
        <w:t>根据对工程两侧敏感点分布情况调查</w:t>
      </w:r>
      <w:r>
        <w:rPr>
          <w:rFonts w:hint="default" w:ascii="Times New Roman" w:hAnsi="Times New Roman" w:cs="Times New Roman"/>
          <w:color w:val="auto"/>
          <w:highlight w:val="none"/>
        </w:rPr>
        <w:t>，本项目取水工程周边无敏感目标；供水管道入城区域沿线分布有较多的居民，</w:t>
      </w:r>
      <w:r>
        <w:rPr>
          <w:rFonts w:hint="default" w:ascii="Times New Roman" w:hAnsi="Times New Roman" w:cs="Times New Roman"/>
          <w:highlight w:val="none"/>
        </w:rPr>
        <w:t>且均从这些居住区穿越，为了减少粉尘对周边居民的影响，在开挖施工过程中洒水作业应保持一定的湿度；对施工场地内松散、干涸的表土，也应该经常洒水防治粉尘一般每天洒水2~3次，若遇到大风或干燥天气可适当增加洒水次数；回填土方时，在表层土质干燥时应适当洒水，防止粉尘飞扬。在采取各项环保措施后，施工扬尘对项目周边村落的影响可大大减轻。</w:t>
      </w:r>
    </w:p>
    <w:p>
      <w:pPr>
        <w:pStyle w:val="5"/>
        <w:rPr>
          <w:rFonts w:hint="default" w:ascii="Times New Roman" w:hAnsi="Times New Roman" w:cs="Times New Roman"/>
          <w:highlight w:val="none"/>
        </w:rPr>
      </w:pPr>
      <w:r>
        <w:rPr>
          <w:rFonts w:hint="default" w:ascii="Times New Roman" w:hAnsi="Times New Roman" w:cs="Times New Roman"/>
          <w:highlight w:val="none"/>
        </w:rPr>
        <w:t>堆场扬尘影响分析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施工阶段扬尘的另一个主要来源是露天临时堆场和裸露场地的风力扬尘。由于施工需要，一些建筑材料需要露天堆放，一些施工作业点的表层土壤在经过人工开挖后，临时弃土露天堆放，在气候干燥且有风的情况下会产生大量扬尘。</w:t>
      </w:r>
    </w:p>
    <w:p>
      <w:pPr>
        <w:ind w:firstLine="480"/>
        <w:rPr>
          <w:rFonts w:hint="default" w:ascii="Times New Roman" w:hAnsi="Times New Roman" w:cs="Times New Roman"/>
          <w:highlight w:val="none"/>
        </w:rPr>
      </w:pPr>
      <w:r>
        <w:rPr>
          <w:rFonts w:hint="default" w:ascii="Times New Roman" w:hAnsi="Times New Roman" w:cs="Times New Roman"/>
          <w:highlight w:val="none"/>
        </w:rPr>
        <w:t>堆放在露天料场的散状粉尘在自然风力作用下不断向大气释放尘粒。在大气中运动的尘粒，由于粒径分布不同以及受到大气流场脉动性、均匀性影响，呈现出不同的运动状态：粒径小的，随着气流的脉动悬浮在空中，成为飘尘；粒径较大的，则在风力作用下飞扬，在空中跃移一定距离后回到地面，其运动轨迹呈抛物线状；同时与地面碰撞，发生激溅，并沿地面滑移。由此可知，不同尘粒的运动对大气扬尘的贡献不同，其中跃移粒子由沉降速度决定而最终回到地面，成为地面降尘的主要部分；</w:t>
      </w:r>
    </w:p>
    <w:p>
      <w:pPr>
        <w:pStyle w:val="5"/>
        <w:rPr>
          <w:rFonts w:hint="default" w:ascii="Times New Roman" w:hAnsi="Times New Roman" w:cs="Times New Roman"/>
          <w:highlight w:val="none"/>
        </w:rPr>
      </w:pPr>
      <w:r>
        <w:rPr>
          <w:rFonts w:hint="default" w:ascii="Times New Roman" w:hAnsi="Times New Roman" w:cs="Times New Roman"/>
          <w:highlight w:val="none"/>
        </w:rPr>
        <w:t>施工机械尾气影响分析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项目施工期采用的燃油机械会产生含有少量烟尘、CO、NO</w:t>
      </w:r>
      <w:r>
        <w:rPr>
          <w:rFonts w:hint="default" w:ascii="Times New Roman" w:hAnsi="Times New Roman" w:cs="Times New Roman"/>
          <w:highlight w:val="none"/>
          <w:vertAlign w:val="subscript"/>
        </w:rPr>
        <w:t>2</w:t>
      </w:r>
      <w:r>
        <w:rPr>
          <w:rFonts w:hint="default" w:ascii="Times New Roman" w:hAnsi="Times New Roman" w:cs="Times New Roman"/>
          <w:highlight w:val="none"/>
        </w:rPr>
        <w:t>、THC（烃类）等污染物废气。施工机械在施工现场范围内活动，尾气呈面源污染形式，尾气扩散范围有限，车辆为非连续行驶状态，施工采用分段进行，且每段施工时间有限，污染物排放时间和排放量相对较少，所以不会对周围环境空气有明显的影响。</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lang w:eastAsia="zh-CN"/>
        </w:rPr>
        <w:t>运行期</w:t>
      </w:r>
      <w:r>
        <w:rPr>
          <w:rFonts w:hint="default" w:ascii="Times New Roman" w:hAnsi="Times New Roman" w:cs="Times New Roman"/>
          <w:highlight w:val="none"/>
        </w:rPr>
        <w:t>大气环境影响分析</w:t>
      </w:r>
    </w:p>
    <w:p>
      <w:pPr>
        <w:spacing w:line="384" w:lineRule="auto"/>
        <w:ind w:firstLine="480"/>
        <w:rPr>
          <w:rFonts w:hint="default" w:ascii="Times New Roman" w:hAnsi="Times New Roman" w:cs="Times New Roman"/>
          <w:sz w:val="24"/>
          <w:highlight w:val="none"/>
        </w:rPr>
      </w:pP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运行期</w:t>
      </w:r>
      <w:r>
        <w:rPr>
          <w:rFonts w:hint="default" w:ascii="Times New Roman" w:hAnsi="Times New Roman" w:cs="Times New Roman"/>
          <w:sz w:val="24"/>
          <w:highlight w:val="none"/>
        </w:rPr>
        <w:t>无废气产生，因此</w:t>
      </w:r>
      <w:r>
        <w:rPr>
          <w:rFonts w:hint="default" w:ascii="Times New Roman" w:hAnsi="Times New Roman" w:cs="Times New Roman"/>
          <w:sz w:val="24"/>
          <w:highlight w:val="none"/>
          <w:lang w:eastAsia="zh-CN"/>
        </w:rPr>
        <w:t>运行期</w:t>
      </w:r>
      <w:r>
        <w:rPr>
          <w:rFonts w:hint="default" w:ascii="Times New Roman" w:hAnsi="Times New Roman" w:cs="Times New Roman"/>
          <w:sz w:val="24"/>
          <w:highlight w:val="none"/>
        </w:rPr>
        <w:t>对大气环境基本无影响。</w:t>
      </w:r>
    </w:p>
    <w:p>
      <w:pPr>
        <w:pStyle w:val="3"/>
        <w:spacing w:before="120" w:after="120"/>
        <w:rPr>
          <w:rFonts w:hint="default" w:ascii="Times New Roman" w:hAnsi="Times New Roman" w:cs="Times New Roman"/>
          <w:highlight w:val="none"/>
        </w:rPr>
      </w:pPr>
      <w:bookmarkStart w:id="128" w:name="_Toc18850"/>
      <w:bookmarkStart w:id="129" w:name="_Toc13697"/>
      <w:r>
        <w:rPr>
          <w:rFonts w:hint="default" w:ascii="Times New Roman" w:hAnsi="Times New Roman" w:cs="Times New Roman"/>
          <w:highlight w:val="none"/>
        </w:rPr>
        <w:t>地表水环境影响分析</w:t>
      </w:r>
      <w:bookmarkEnd w:id="128"/>
      <w:bookmarkEnd w:id="129"/>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rPr>
        <w:t>施工期地表水环境影响分析</w:t>
      </w:r>
    </w:p>
    <w:p>
      <w:pPr>
        <w:pStyle w:val="5"/>
        <w:rPr>
          <w:rFonts w:hint="default" w:ascii="Times New Roman" w:hAnsi="Times New Roman" w:cs="Times New Roman"/>
          <w:highlight w:val="none"/>
        </w:rPr>
      </w:pPr>
      <w:r>
        <w:rPr>
          <w:rFonts w:hint="default" w:ascii="Times New Roman" w:hAnsi="Times New Roman" w:cs="Times New Roman"/>
          <w:highlight w:val="none"/>
        </w:rPr>
        <w:t>生活污水</w:t>
      </w:r>
    </w:p>
    <w:p>
      <w:pPr>
        <w:ind w:firstLine="480"/>
        <w:rPr>
          <w:rFonts w:hint="default" w:ascii="Times New Roman" w:hAnsi="Times New Roman" w:cs="Times New Roman"/>
          <w:highlight w:val="none"/>
        </w:rPr>
      </w:pPr>
      <w:r>
        <w:rPr>
          <w:rFonts w:hint="default" w:ascii="Times New Roman" w:hAnsi="Times New Roman" w:cs="Times New Roman"/>
          <w:highlight w:val="none"/>
        </w:rPr>
        <w:t>施工期生活污水产生量约为0.84t/d，项目施工临时场地不设住宿营地，施工人员租住在附近村庄。施工过程中施工人员用水通过周边企事业单位及村庄解决，因此生活污水进入周边生活设施污水排放系统，纳入当地排污系统集中处置，并且员工均聘用当地居民，因此对周边水环境产生影响较小。</w:t>
      </w:r>
    </w:p>
    <w:p>
      <w:pPr>
        <w:pStyle w:val="5"/>
        <w:rPr>
          <w:rFonts w:hint="default" w:ascii="Times New Roman" w:hAnsi="Times New Roman" w:cs="Times New Roman"/>
          <w:highlight w:val="none"/>
        </w:rPr>
      </w:pPr>
      <w:r>
        <w:rPr>
          <w:rFonts w:hint="default" w:ascii="Times New Roman" w:hAnsi="Times New Roman" w:cs="Times New Roman"/>
          <w:highlight w:val="none"/>
        </w:rPr>
        <w:t>生产废水</w:t>
      </w:r>
    </w:p>
    <w:p>
      <w:pPr>
        <w:ind w:firstLine="480"/>
        <w:rPr>
          <w:rFonts w:hint="default" w:ascii="Times New Roman" w:hAnsi="Times New Roman" w:cs="Times New Roman"/>
          <w:highlight w:val="none"/>
        </w:rPr>
      </w:pPr>
      <w:r>
        <w:rPr>
          <w:rFonts w:hint="default" w:ascii="Times New Roman" w:hAnsi="Times New Roman" w:cs="Times New Roman"/>
          <w:highlight w:val="none"/>
        </w:rPr>
        <w:t>施工期生产废水包括土石方填筑和混凝土养护废水、施工产生泥浆水等，主要含SS等。</w:t>
      </w:r>
    </w:p>
    <w:p>
      <w:pPr>
        <w:ind w:firstLine="480"/>
        <w:rPr>
          <w:rFonts w:hint="default" w:ascii="Times New Roman" w:hAnsi="Times New Roman" w:cs="Times New Roman"/>
          <w:highlight w:val="none"/>
        </w:rPr>
      </w:pPr>
      <w:r>
        <w:rPr>
          <w:rFonts w:hint="default" w:ascii="Times New Roman" w:hAnsi="Times New Roman" w:cs="Times New Roman"/>
          <w:highlight w:val="none"/>
        </w:rPr>
        <w:t>混凝土浇筑养护用水大多被吸收或蒸发，故其废水排放污染可忽略不计；泥浆水、主要污染物是含有高浓度的泥沙，施工期间产生的废水经临时排水渠引流至施工场地设置的沉淀池，经沉淀后循环回用或作为场地抑尘洒水用水，不外排，因此对周边水环境产生影响较小。</w:t>
      </w:r>
    </w:p>
    <w:p>
      <w:pPr>
        <w:pStyle w:val="4"/>
        <w:spacing w:before="120" w:after="120"/>
        <w:rPr>
          <w:rFonts w:hint="default" w:ascii="Times New Roman" w:hAnsi="Times New Roman" w:cs="Times New Roman"/>
          <w:highlight w:val="none"/>
        </w:rPr>
      </w:pPr>
      <w:r>
        <w:rPr>
          <w:rFonts w:hint="default" w:ascii="Times New Roman" w:hAnsi="Times New Roman" w:cs="Times New Roman"/>
          <w:highlight w:val="none"/>
          <w:lang w:val="en-US" w:eastAsia="zh-CN"/>
        </w:rPr>
        <w:t>运行</w:t>
      </w:r>
      <w:r>
        <w:rPr>
          <w:rFonts w:hint="default" w:ascii="Times New Roman" w:hAnsi="Times New Roman" w:cs="Times New Roman"/>
          <w:highlight w:val="none"/>
        </w:rPr>
        <w:t>期地表水文要素环境影响分析</w:t>
      </w:r>
    </w:p>
    <w:p>
      <w:pPr>
        <w:ind w:firstLine="480"/>
        <w:rPr>
          <w:rFonts w:hint="default" w:ascii="Times New Roman" w:hAnsi="Times New Roman" w:cs="Times New Roman"/>
          <w:szCs w:val="24"/>
          <w:highlight w:val="none"/>
        </w:rPr>
      </w:pPr>
      <w:r>
        <w:rPr>
          <w:rFonts w:hint="default" w:ascii="Times New Roman" w:hAnsi="Times New Roman" w:cs="Times New Roman"/>
          <w:highlight w:val="none"/>
          <w:lang w:val="en-US"/>
        </w:rPr>
        <w:t>本项目管阳水厂从上安水库取水3300m³/d(0.038m³/s)；西阳水厂主要从</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取水（</w:t>
      </w:r>
      <w:r>
        <w:rPr>
          <w:rFonts w:hint="default" w:ascii="Times New Roman" w:hAnsi="Times New Roman" w:cs="Times New Roman"/>
          <w:highlight w:val="none"/>
          <w:lang w:val="en-US"/>
        </w:rPr>
        <w:t>天竹水库作为补充</w:t>
      </w:r>
      <w:r>
        <w:rPr>
          <w:rFonts w:hint="default" w:ascii="Times New Roman" w:hAnsi="Times New Roman" w:cs="Times New Roman"/>
          <w:spacing w:val="-11"/>
          <w:szCs w:val="24"/>
          <w:highlight w:val="none"/>
        </w:rPr>
        <w:t>），西阳水厂取水3850</w:t>
      </w:r>
      <w:r>
        <w:rPr>
          <w:rFonts w:hint="default" w:ascii="Times New Roman" w:hAnsi="Times New Roman" w:cs="Times New Roman"/>
          <w:highlight w:val="none"/>
          <w:lang w:val="en-US"/>
        </w:rPr>
        <w:t xml:space="preserve"> m³/d(0.045m³/s)</w:t>
      </w:r>
      <w:r>
        <w:rPr>
          <w:rFonts w:hint="default" w:ascii="Times New Roman" w:hAnsi="Times New Roman" w:cs="Times New Roman"/>
          <w:spacing w:val="-11"/>
          <w:szCs w:val="24"/>
          <w:highlight w:val="none"/>
        </w:rPr>
        <w:t>。</w:t>
      </w:r>
      <w:r>
        <w:rPr>
          <w:rFonts w:hint="default" w:ascii="Times New Roman" w:hAnsi="Times New Roman" w:cs="Times New Roman"/>
          <w:szCs w:val="24"/>
          <w:highlight w:val="none"/>
        </w:rPr>
        <w:t>本项目取水工程取水水源</w:t>
      </w:r>
      <w:r>
        <w:rPr>
          <w:rFonts w:hint="default" w:ascii="Times New Roman" w:hAnsi="Times New Roman" w:cs="Times New Roman"/>
          <w:highlight w:val="none"/>
        </w:rPr>
        <w:t>上安水库、天竹水库和</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下游最终均汇入管阳溪，因此</w:t>
      </w:r>
      <w:r>
        <w:rPr>
          <w:rFonts w:hint="default" w:ascii="Times New Roman" w:hAnsi="Times New Roman" w:cs="Times New Roman"/>
          <w:highlight w:val="none"/>
        </w:rPr>
        <w:t>取水工程运行后将对管阳溪</w:t>
      </w:r>
      <w:r>
        <w:rPr>
          <w:rFonts w:hint="default" w:ascii="Times New Roman" w:hAnsi="Times New Roman" w:cs="Times New Roman"/>
          <w:spacing w:val="-11"/>
          <w:szCs w:val="24"/>
          <w:highlight w:val="none"/>
        </w:rPr>
        <w:t>水文情势</w:t>
      </w:r>
      <w:r>
        <w:rPr>
          <w:rFonts w:hint="default" w:ascii="Times New Roman" w:hAnsi="Times New Roman" w:cs="Times New Roman"/>
          <w:szCs w:val="24"/>
          <w:highlight w:val="none"/>
        </w:rPr>
        <w:t>发生变化，如水位、水深、流量等水文情势较天然河段发生一定变化。</w:t>
      </w:r>
    </w:p>
    <w:p>
      <w:pPr>
        <w:pStyle w:val="5"/>
        <w:rPr>
          <w:rFonts w:hint="default" w:ascii="Times New Roman" w:hAnsi="Times New Roman" w:cs="Times New Roman" w:eastAsiaTheme="minorEastAsia"/>
          <w:bCs/>
          <w:snapToGrid w:val="0"/>
          <w:szCs w:val="24"/>
          <w:highlight w:val="none"/>
        </w:rPr>
      </w:pPr>
      <w:r>
        <w:rPr>
          <w:rFonts w:hint="default" w:ascii="Times New Roman" w:hAnsi="Times New Roman" w:cs="Times New Roman"/>
          <w:szCs w:val="24"/>
          <w:highlight w:val="none"/>
          <w:lang w:val="en-US"/>
        </w:rPr>
        <w:t>水源介绍</w:t>
      </w:r>
    </w:p>
    <w:p>
      <w:pPr>
        <w:ind w:firstLine="476"/>
        <w:rPr>
          <w:rFonts w:hint="default" w:ascii="Times New Roman" w:hAnsi="Times New Roman" w:cs="Times New Roman"/>
          <w:spacing w:val="-1"/>
          <w:szCs w:val="24"/>
          <w:highlight w:val="none"/>
        </w:rPr>
      </w:pPr>
      <w:bookmarkStart w:id="130" w:name="_Hlk69394915"/>
      <w:r>
        <w:rPr>
          <w:rFonts w:hint="default" w:ascii="Times New Roman" w:hAnsi="Times New Roman" w:cs="Times New Roman"/>
          <w:spacing w:val="-1"/>
          <w:szCs w:val="24"/>
          <w:highlight w:val="none"/>
        </w:rPr>
        <w:t>（1）上安水库</w:t>
      </w:r>
    </w:p>
    <w:p>
      <w:pPr>
        <w:ind w:firstLine="476"/>
        <w:rPr>
          <w:rFonts w:hint="default" w:ascii="Times New Roman" w:hAnsi="Times New Roman" w:cs="Times New Roman"/>
          <w:szCs w:val="24"/>
          <w:highlight w:val="none"/>
        </w:rPr>
      </w:pPr>
      <w:r>
        <w:rPr>
          <w:rFonts w:hint="default" w:ascii="Times New Roman" w:hAnsi="Times New Roman" w:cs="Times New Roman"/>
          <w:spacing w:val="-1"/>
          <w:szCs w:val="24"/>
          <w:highlight w:val="none"/>
        </w:rPr>
        <w:t>上安水库坝址位于福鼎市管阳镇池后村附近，地理位置为北纬</w:t>
      </w:r>
      <w:r>
        <w:rPr>
          <w:rFonts w:hint="default" w:ascii="Times New Roman" w:hAnsi="Times New Roman" w:eastAsia="Times New Roman" w:cs="Times New Roman"/>
          <w:spacing w:val="-1"/>
          <w:szCs w:val="24"/>
          <w:highlight w:val="none"/>
        </w:rPr>
        <w:t>27°15′16″</w:t>
      </w:r>
      <w:r>
        <w:rPr>
          <w:rFonts w:hint="default" w:ascii="Times New Roman" w:hAnsi="Times New Roman" w:cs="Times New Roman"/>
          <w:spacing w:val="-1"/>
          <w:szCs w:val="24"/>
          <w:highlight w:val="none"/>
        </w:rPr>
        <w:t>，东经</w:t>
      </w:r>
      <w:r>
        <w:rPr>
          <w:rFonts w:hint="default" w:ascii="Times New Roman" w:hAnsi="Times New Roman" w:eastAsia="Times New Roman" w:cs="Times New Roman"/>
          <w:spacing w:val="-1"/>
          <w:szCs w:val="24"/>
          <w:highlight w:val="none"/>
        </w:rPr>
        <w:t>120°00′55″</w:t>
      </w:r>
      <w:r>
        <w:rPr>
          <w:rFonts w:hint="default" w:ascii="Times New Roman" w:hAnsi="Times New Roman" w:eastAsia="Times New Roman" w:cs="Times New Roman"/>
          <w:szCs w:val="24"/>
          <w:highlight w:val="none"/>
        </w:rPr>
        <w:t xml:space="preserve"> </w:t>
      </w:r>
      <w:r>
        <w:rPr>
          <w:rFonts w:hint="default" w:ascii="Times New Roman" w:hAnsi="Times New Roman" w:cs="Times New Roman"/>
          <w:spacing w:val="-1"/>
          <w:szCs w:val="24"/>
          <w:highlight w:val="none"/>
        </w:rPr>
        <w:t>，所在河道为福鼎市管阳溪流域上安小支流。水库坝址以上控制流域面积</w:t>
      </w:r>
      <w:r>
        <w:rPr>
          <w:rFonts w:hint="default" w:ascii="Times New Roman" w:hAnsi="Times New Roman" w:eastAsia="Times New Roman" w:cs="Times New Roman"/>
          <w:spacing w:val="-1"/>
          <w:szCs w:val="24"/>
          <w:highlight w:val="none"/>
        </w:rPr>
        <w:t>2.221km</w:t>
      </w:r>
      <w:r>
        <w:rPr>
          <w:rFonts w:hint="default" w:ascii="Times New Roman" w:hAnsi="Times New Roman" w:eastAsia="Times New Roman" w:cs="Times New Roman"/>
          <w:spacing w:val="-1"/>
          <w:position w:val="7"/>
          <w:sz w:val="17"/>
          <w:szCs w:val="17"/>
          <w:highlight w:val="none"/>
        </w:rPr>
        <w:t>2</w:t>
      </w:r>
      <w:r>
        <w:rPr>
          <w:rFonts w:hint="default" w:ascii="Times New Roman" w:hAnsi="Times New Roman" w:eastAsia="Times New Roman" w:cs="Times New Roman"/>
          <w:spacing w:val="-5"/>
          <w:position w:val="7"/>
          <w:sz w:val="17"/>
          <w:szCs w:val="17"/>
          <w:highlight w:val="none"/>
        </w:rPr>
        <w:t xml:space="preserve"> </w:t>
      </w:r>
      <w:r>
        <w:rPr>
          <w:rFonts w:hint="default" w:ascii="Times New Roman" w:hAnsi="Times New Roman" w:cs="Times New Roman"/>
          <w:spacing w:val="-1"/>
          <w:szCs w:val="24"/>
          <w:highlight w:val="none"/>
        </w:rPr>
        <w:t>，总库容</w:t>
      </w:r>
      <w:r>
        <w:rPr>
          <w:rFonts w:hint="default" w:ascii="Times New Roman" w:hAnsi="Times New Roman" w:eastAsia="Times New Roman" w:cs="Times New Roman"/>
          <w:spacing w:val="-1"/>
          <w:szCs w:val="24"/>
          <w:highlight w:val="none"/>
        </w:rPr>
        <w:t>39.14</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，是一座以城乡生活供水和农业灌溉功能的小</w:t>
      </w:r>
      <w:r>
        <w:rPr>
          <w:rFonts w:hint="default" w:ascii="Times New Roman" w:hAnsi="Times New Roman" w:eastAsia="Times New Roman" w:cs="Times New Roman"/>
          <w:spacing w:val="-1"/>
          <w:szCs w:val="24"/>
          <w:highlight w:val="none"/>
        </w:rPr>
        <w:t>(</w:t>
      </w:r>
      <w:r>
        <w:rPr>
          <w:rFonts w:hint="default" w:ascii="Times New Roman" w:hAnsi="Times New Roman" w:cs="Times New Roman"/>
          <w:spacing w:val="-1"/>
          <w:szCs w:val="24"/>
          <w:highlight w:val="none"/>
        </w:rPr>
        <w:t>二</w:t>
      </w:r>
      <w:r>
        <w:rPr>
          <w:rFonts w:hint="default" w:ascii="Times New Roman" w:hAnsi="Times New Roman" w:eastAsia="Times New Roman" w:cs="Times New Roman"/>
          <w:spacing w:val="-1"/>
          <w:szCs w:val="24"/>
          <w:highlight w:val="none"/>
        </w:rPr>
        <w:t>)</w:t>
      </w:r>
      <w:r>
        <w:rPr>
          <w:rFonts w:hint="default" w:ascii="Times New Roman" w:hAnsi="Times New Roman" w:cs="Times New Roman"/>
          <w:spacing w:val="-1"/>
          <w:szCs w:val="24"/>
          <w:highlight w:val="none"/>
        </w:rPr>
        <w:t>型水库。大坝为均质土坝，校核洪水位</w:t>
      </w:r>
      <w:r>
        <w:rPr>
          <w:rFonts w:hint="default" w:ascii="Times New Roman" w:hAnsi="Times New Roman" w:eastAsia="Times New Roman" w:cs="Times New Roman"/>
          <w:spacing w:val="-1"/>
          <w:szCs w:val="24"/>
          <w:highlight w:val="none"/>
        </w:rPr>
        <w:t>612.17m</w:t>
      </w:r>
      <w:r>
        <w:rPr>
          <w:rFonts w:hint="default" w:ascii="Times New Roman" w:hAnsi="Times New Roman" w:cs="Times New Roman"/>
          <w:spacing w:val="-1"/>
          <w:szCs w:val="24"/>
          <w:highlight w:val="none"/>
        </w:rPr>
        <w:t>，设计洪水位</w:t>
      </w:r>
      <w:r>
        <w:rPr>
          <w:rFonts w:hint="default" w:ascii="Times New Roman" w:hAnsi="Times New Roman" w:eastAsia="Times New Roman" w:cs="Times New Roman"/>
          <w:spacing w:val="-1"/>
          <w:szCs w:val="24"/>
          <w:highlight w:val="none"/>
        </w:rPr>
        <w:t>611.37m</w:t>
      </w:r>
      <w:r>
        <w:rPr>
          <w:rFonts w:hint="default" w:ascii="Times New Roman" w:hAnsi="Times New Roman" w:cs="Times New Roman"/>
          <w:spacing w:val="-1"/>
          <w:szCs w:val="24"/>
          <w:highlight w:val="none"/>
        </w:rPr>
        <w:t>，正常蓄水位</w:t>
      </w:r>
      <w:r>
        <w:rPr>
          <w:rFonts w:hint="default" w:ascii="Times New Roman" w:hAnsi="Times New Roman" w:eastAsia="Times New Roman" w:cs="Times New Roman"/>
          <w:spacing w:val="-1"/>
          <w:szCs w:val="24"/>
          <w:highlight w:val="none"/>
        </w:rPr>
        <w:t>609.27m</w:t>
      </w:r>
      <w:r>
        <w:rPr>
          <w:rFonts w:hint="default" w:ascii="Times New Roman" w:hAnsi="Times New Roman" w:cs="Times New Roman"/>
          <w:spacing w:val="-1"/>
          <w:szCs w:val="24"/>
          <w:highlight w:val="none"/>
        </w:rPr>
        <w:t>，死水位</w:t>
      </w:r>
      <w:r>
        <w:rPr>
          <w:rFonts w:hint="default" w:ascii="Times New Roman" w:hAnsi="Times New Roman" w:eastAsia="Times New Roman" w:cs="Times New Roman"/>
          <w:spacing w:val="-1"/>
          <w:szCs w:val="24"/>
          <w:highlight w:val="none"/>
        </w:rPr>
        <w:t>598.71</w:t>
      </w:r>
      <w:r>
        <w:rPr>
          <w:rFonts w:hint="default" w:ascii="Times New Roman" w:hAnsi="Times New Roman" w:eastAsia="Times New Roman" w:cs="Times New Roman"/>
          <w:spacing w:val="42"/>
          <w:w w:val="101"/>
          <w:szCs w:val="24"/>
          <w:highlight w:val="none"/>
        </w:rPr>
        <w:t xml:space="preserve"> </w:t>
      </w:r>
      <w:r>
        <w:rPr>
          <w:rFonts w:hint="default" w:ascii="Times New Roman" w:hAnsi="Times New Roman" w:eastAsia="Times New Roman" w:cs="Times New Roman"/>
          <w:spacing w:val="-1"/>
          <w:szCs w:val="24"/>
          <w:highlight w:val="none"/>
        </w:rPr>
        <w:t>m</w:t>
      </w:r>
      <w:r>
        <w:rPr>
          <w:rFonts w:hint="default" w:ascii="Times New Roman" w:hAnsi="Times New Roman" w:cs="Times New Roman"/>
          <w:spacing w:val="-1"/>
          <w:szCs w:val="24"/>
          <w:highlight w:val="none"/>
        </w:rPr>
        <w:t>。调节库容为</w:t>
      </w:r>
      <w:r>
        <w:rPr>
          <w:rFonts w:hint="default" w:ascii="Times New Roman" w:hAnsi="Times New Roman" w:eastAsia="Times New Roman" w:cs="Times New Roman"/>
          <w:spacing w:val="-1"/>
          <w:szCs w:val="24"/>
          <w:highlight w:val="none"/>
        </w:rPr>
        <w:t>26.25</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，死库容为</w:t>
      </w:r>
      <w:r>
        <w:rPr>
          <w:rFonts w:hint="default" w:ascii="Times New Roman" w:hAnsi="Times New Roman" w:eastAsia="Times New Roman" w:cs="Times New Roman"/>
          <w:spacing w:val="-1"/>
          <w:szCs w:val="24"/>
          <w:highlight w:val="none"/>
        </w:rPr>
        <w:t>2.88</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。枢纽工程由大坝、溢洪道、</w:t>
      </w:r>
      <w:r>
        <w:rPr>
          <w:rFonts w:hint="default" w:ascii="Times New Roman" w:hAnsi="Times New Roman" w:cs="Times New Roman"/>
          <w:spacing w:val="-100"/>
          <w:szCs w:val="24"/>
          <w:highlight w:val="none"/>
        </w:rPr>
        <w:t xml:space="preserve"> </w:t>
      </w:r>
      <w:r>
        <w:rPr>
          <w:rFonts w:hint="default" w:ascii="Times New Roman" w:hAnsi="Times New Roman" w:cs="Times New Roman"/>
          <w:szCs w:val="24"/>
          <w:highlight w:val="none"/>
        </w:rPr>
        <w:t>输水涵洞等组成。工程等级为Ⅴ等，大坝等主要建筑物为</w:t>
      </w:r>
      <w:r>
        <w:rPr>
          <w:rFonts w:hint="default" w:ascii="Times New Roman" w:hAnsi="Times New Roman" w:eastAsia="Times New Roman" w:cs="Times New Roman"/>
          <w:szCs w:val="24"/>
          <w:highlight w:val="none"/>
        </w:rPr>
        <w:t>5</w:t>
      </w:r>
      <w:r>
        <w:rPr>
          <w:rFonts w:hint="default" w:ascii="Times New Roman" w:hAnsi="Times New Roman" w:cs="Times New Roman"/>
          <w:szCs w:val="24"/>
          <w:highlight w:val="none"/>
        </w:rPr>
        <w:t>级。</w:t>
      </w:r>
      <w:bookmarkEnd w:id="130"/>
    </w:p>
    <w:p>
      <w:pPr>
        <w:ind w:firstLine="480"/>
        <w:rPr>
          <w:rFonts w:hint="default" w:ascii="Times New Roman" w:hAnsi="Times New Roman" w:cs="Times New Roman"/>
          <w:szCs w:val="24"/>
          <w:highlight w:val="none"/>
        </w:rPr>
      </w:pPr>
      <w:r>
        <w:rPr>
          <w:rFonts w:hint="default" w:ascii="Times New Roman" w:hAnsi="Times New Roman" w:cs="Times New Roman"/>
          <w:szCs w:val="24"/>
          <w:highlight w:val="none"/>
        </w:rPr>
        <w:t>（2）天竹水库</w:t>
      </w:r>
    </w:p>
    <w:p>
      <w:pPr>
        <w:ind w:firstLine="480"/>
        <w:rPr>
          <w:rFonts w:hint="default" w:ascii="Times New Roman" w:hAnsi="Times New Roman" w:cs="Times New Roman"/>
          <w:szCs w:val="24"/>
          <w:highlight w:val="none"/>
        </w:rPr>
      </w:pPr>
      <w:r>
        <w:rPr>
          <w:rFonts w:hint="default" w:ascii="Times New Roman" w:hAnsi="Times New Roman" w:cs="Times New Roman"/>
          <w:szCs w:val="24"/>
          <w:highlight w:val="none"/>
        </w:rPr>
        <w:t>天竹水库位于福鼎市管阳镇天竹村，属于管阳溪流域，所在河流属山丘性溪流，坝 址以上控制流域面积为1.44km</w:t>
      </w:r>
      <w:r>
        <w:rPr>
          <w:rFonts w:hint="default" w:ascii="Times New Roman" w:hAnsi="Times New Roman" w:cs="Times New Roman"/>
          <w:szCs w:val="24"/>
          <w:highlight w:val="none"/>
          <w:vertAlign w:val="superscript"/>
        </w:rPr>
        <w:t>2</w:t>
      </w:r>
      <w:r>
        <w:rPr>
          <w:rFonts w:hint="default" w:ascii="Times New Roman" w:hAnsi="Times New Roman" w:cs="Times New Roman"/>
          <w:szCs w:val="24"/>
          <w:highlight w:val="none"/>
        </w:rPr>
        <w:t>，总库容17万 m³，兴利库容 12万m³，死库容1.5万m³。校核洪水位 648.05m，正常蓄水位 645.80m，死水位 631.20m。大坝为粘土斜墙堆石坝，是一座具有生活供水和农业灌溉功能的小（二）型水库。水库枢纽工程为大坝、 溢洪道、输水涵洞等建筑物组成。</w:t>
      </w:r>
    </w:p>
    <w:p>
      <w:pPr>
        <w:spacing w:line="204" w:lineRule="auto"/>
        <w:ind w:firstLine="480"/>
        <w:rPr>
          <w:rFonts w:hint="default" w:ascii="Times New Roman" w:hAnsi="Times New Roman" w:cs="Times New Roman"/>
          <w:szCs w:val="24"/>
          <w:highlight w:val="none"/>
        </w:rPr>
      </w:pPr>
      <w:r>
        <w:rPr>
          <w:rFonts w:hint="default" w:ascii="Times New Roman" w:hAnsi="Times New Roman" w:cs="Times New Roman"/>
          <w:highlight w:val="none"/>
        </w:rPr>
        <w:t>（3）</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介绍</w:t>
      </w:r>
    </w:p>
    <w:p>
      <w:pPr>
        <w:spacing w:before="199" w:line="305" w:lineRule="auto"/>
        <w:ind w:left="128" w:right="8" w:firstLine="460"/>
        <w:rPr>
          <w:rFonts w:hint="default" w:ascii="Times New Roman" w:hAnsi="Times New Roman" w:cs="Times New Roman"/>
          <w:spacing w:val="-2"/>
          <w:szCs w:val="24"/>
          <w:highlight w:val="none"/>
        </w:rPr>
      </w:pPr>
      <w:r>
        <w:rPr>
          <w:rFonts w:hint="default" w:ascii="Times New Roman" w:hAnsi="Times New Roman" w:cs="Times New Roman"/>
          <w:spacing w:val="-5"/>
          <w:szCs w:val="24"/>
          <w:highlight w:val="none"/>
        </w:rPr>
        <w:t>龙井溪取水口位于管阳镇西阳村北侧，属于管阳溪的支流，取水方式为拦河坝取水，</w:t>
      </w:r>
      <w:r>
        <w:rPr>
          <w:rFonts w:hint="default" w:ascii="Times New Roman" w:hAnsi="Times New Roman" w:cs="Times New Roman"/>
          <w:spacing w:val="-90"/>
          <w:szCs w:val="24"/>
          <w:highlight w:val="none"/>
        </w:rPr>
        <w:t xml:space="preserve"> </w:t>
      </w:r>
      <w:r>
        <w:rPr>
          <w:rFonts w:hint="default" w:ascii="Times New Roman" w:hAnsi="Times New Roman" w:cs="Times New Roman"/>
          <w:spacing w:val="-1"/>
          <w:szCs w:val="24"/>
          <w:highlight w:val="none"/>
        </w:rPr>
        <w:t>坝址以上流域面积为</w:t>
      </w:r>
      <w:r>
        <w:rPr>
          <w:rFonts w:hint="default" w:ascii="Times New Roman" w:hAnsi="Times New Roman" w:eastAsia="Times New Roman" w:cs="Times New Roman"/>
          <w:spacing w:val="-1"/>
          <w:szCs w:val="24"/>
          <w:highlight w:val="none"/>
        </w:rPr>
        <w:t>4.4km</w:t>
      </w:r>
      <w:r>
        <w:rPr>
          <w:rFonts w:hint="default" w:ascii="Times New Roman" w:hAnsi="Times New Roman" w:eastAsia="Times New Roman" w:cs="Times New Roman"/>
          <w:spacing w:val="-1"/>
          <w:position w:val="7"/>
          <w:sz w:val="17"/>
          <w:szCs w:val="17"/>
          <w:highlight w:val="none"/>
        </w:rPr>
        <w:t>2</w:t>
      </w:r>
      <w:r>
        <w:rPr>
          <w:rFonts w:hint="default" w:ascii="Times New Roman" w:hAnsi="Times New Roman" w:eastAsia="Times New Roman" w:cs="Times New Roman"/>
          <w:spacing w:val="-5"/>
          <w:position w:val="7"/>
          <w:sz w:val="17"/>
          <w:szCs w:val="17"/>
          <w:highlight w:val="none"/>
        </w:rPr>
        <w:t xml:space="preserve"> </w:t>
      </w:r>
      <w:r>
        <w:rPr>
          <w:rFonts w:hint="default" w:ascii="Times New Roman" w:hAnsi="Times New Roman" w:cs="Times New Roman"/>
          <w:spacing w:val="-1"/>
          <w:szCs w:val="24"/>
          <w:highlight w:val="none"/>
        </w:rPr>
        <w:t>，主河道长</w:t>
      </w:r>
      <w:r>
        <w:rPr>
          <w:rFonts w:hint="default" w:ascii="Times New Roman" w:hAnsi="Times New Roman" w:eastAsia="Times New Roman" w:cs="Times New Roman"/>
          <w:spacing w:val="-1"/>
          <w:szCs w:val="24"/>
          <w:highlight w:val="none"/>
        </w:rPr>
        <w:t>4km</w:t>
      </w:r>
      <w:r>
        <w:rPr>
          <w:rFonts w:hint="default" w:ascii="Times New Roman" w:hAnsi="Times New Roman" w:cs="Times New Roman"/>
          <w:spacing w:val="-1"/>
          <w:szCs w:val="24"/>
          <w:highlight w:val="none"/>
        </w:rPr>
        <w:t>，多年平均径流量</w:t>
      </w:r>
      <w:r>
        <w:rPr>
          <w:rFonts w:hint="default" w:ascii="Times New Roman" w:hAnsi="Times New Roman" w:eastAsia="Times New Roman" w:cs="Times New Roman"/>
          <w:spacing w:val="-1"/>
          <w:szCs w:val="24"/>
          <w:highlight w:val="none"/>
        </w:rPr>
        <w:t>602.33</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，多年平均流</w:t>
      </w:r>
      <w:r>
        <w:rPr>
          <w:rFonts w:hint="default" w:ascii="Times New Roman" w:hAnsi="Times New Roman" w:cs="Times New Roman"/>
          <w:spacing w:val="100"/>
          <w:szCs w:val="24"/>
          <w:highlight w:val="none"/>
        </w:rPr>
        <w:t xml:space="preserve"> </w:t>
      </w:r>
      <w:r>
        <w:rPr>
          <w:rFonts w:hint="default" w:ascii="Times New Roman" w:hAnsi="Times New Roman" w:cs="Times New Roman"/>
          <w:spacing w:val="-2"/>
          <w:szCs w:val="24"/>
          <w:highlight w:val="none"/>
        </w:rPr>
        <w:t>量</w:t>
      </w:r>
      <w:r>
        <w:rPr>
          <w:rFonts w:hint="default" w:ascii="Times New Roman" w:hAnsi="Times New Roman" w:eastAsia="Times New Roman" w:cs="Times New Roman"/>
          <w:spacing w:val="-2"/>
          <w:szCs w:val="24"/>
          <w:highlight w:val="none"/>
        </w:rPr>
        <w:t>0.191m³/s</w:t>
      </w:r>
      <w:r>
        <w:rPr>
          <w:rFonts w:hint="default" w:ascii="Times New Roman" w:hAnsi="Times New Roman" w:eastAsia="Times New Roman" w:cs="Times New Roman"/>
          <w:spacing w:val="-26"/>
          <w:szCs w:val="24"/>
          <w:highlight w:val="none"/>
        </w:rPr>
        <w:t xml:space="preserve"> </w:t>
      </w:r>
      <w:r>
        <w:rPr>
          <w:rFonts w:hint="default" w:ascii="Times New Roman" w:hAnsi="Times New Roman" w:cs="Times New Roman"/>
          <w:spacing w:val="-2"/>
          <w:szCs w:val="24"/>
          <w:highlight w:val="none"/>
        </w:rPr>
        <w:t>。</w:t>
      </w:r>
    </w:p>
    <w:p>
      <w:pPr>
        <w:pStyle w:val="5"/>
        <w:rPr>
          <w:rFonts w:hint="default" w:ascii="Times New Roman" w:hAnsi="Times New Roman" w:cs="Times New Roman"/>
          <w:highlight w:val="none"/>
        </w:rPr>
      </w:pPr>
      <w:r>
        <w:rPr>
          <w:rFonts w:hint="default" w:ascii="Times New Roman" w:hAnsi="Times New Roman" w:cs="Times New Roman"/>
          <w:highlight w:val="none"/>
        </w:rPr>
        <w:t>供水情况预测</w:t>
      </w:r>
    </w:p>
    <w:p>
      <w:pPr>
        <w:ind w:firstLine="480"/>
        <w:rPr>
          <w:rFonts w:hint="default" w:ascii="Times New Roman" w:hAnsi="Times New Roman" w:cs="Times New Roman"/>
          <w:highlight w:val="none"/>
        </w:rPr>
      </w:pPr>
      <w:r>
        <w:rPr>
          <w:rFonts w:hint="default" w:ascii="Times New Roman" w:hAnsi="Times New Roman" w:cs="Times New Roman"/>
          <w:highlight w:val="none"/>
        </w:rPr>
        <w:t>（1）上安水库和</w:t>
      </w:r>
      <w:r>
        <w:rPr>
          <w:rFonts w:hint="default" w:ascii="Times New Roman" w:hAnsi="Times New Roman" w:cs="Times New Roman"/>
          <w:highlight w:val="none"/>
          <w:lang w:val="en-US" w:eastAsia="zh-CN"/>
        </w:rPr>
        <w:t>天竹</w:t>
      </w:r>
      <w:r>
        <w:rPr>
          <w:rFonts w:hint="default" w:ascii="Times New Roman" w:hAnsi="Times New Roman" w:cs="Times New Roman"/>
          <w:highlight w:val="none"/>
        </w:rPr>
        <w:t>水库</w:t>
      </w:r>
    </w:p>
    <w:p>
      <w:pPr>
        <w:ind w:firstLine="480"/>
        <w:rPr>
          <w:rFonts w:hint="default" w:ascii="Times New Roman" w:hAnsi="Times New Roman" w:cs="Times New Roman"/>
          <w:highlight w:val="none"/>
        </w:rPr>
      </w:pPr>
      <w:r>
        <w:rPr>
          <w:rFonts w:hint="default" w:ascii="Times New Roman" w:hAnsi="Times New Roman" w:cs="Times New Roman"/>
          <w:highlight w:val="none"/>
        </w:rPr>
        <w:t>①来水量</w:t>
      </w:r>
    </w:p>
    <w:p>
      <w:pPr>
        <w:ind w:firstLine="480"/>
        <w:rPr>
          <w:rFonts w:hint="default" w:ascii="Times New Roman" w:hAnsi="Times New Roman" w:cs="Times New Roman"/>
          <w:spacing w:val="-2"/>
          <w:highlight w:val="none"/>
        </w:rPr>
      </w:pPr>
      <w:r>
        <w:rPr>
          <w:rFonts w:hint="default" w:ascii="Times New Roman" w:hAnsi="Times New Roman" w:cs="Times New Roman"/>
          <w:highlight w:val="none"/>
          <w:lang w:val="en-US" w:eastAsia="zh-CN"/>
        </w:rPr>
        <w:t>上安</w:t>
      </w:r>
      <w:r>
        <w:rPr>
          <w:rFonts w:hint="default" w:ascii="Times New Roman" w:hAnsi="Times New Roman" w:cs="Times New Roman"/>
          <w:highlight w:val="none"/>
        </w:rPr>
        <w:t>水库坝址位于福鼎市管阳镇池后村附近，水库坝址以上控制流域面积</w:t>
      </w:r>
      <w:r>
        <w:rPr>
          <w:rFonts w:hint="default" w:ascii="Times New Roman" w:hAnsi="Times New Roman" w:eastAsia="Times New Roman" w:cs="Times New Roman"/>
          <w:spacing w:val="-3"/>
          <w:highlight w:val="none"/>
        </w:rPr>
        <w:t>2.211km</w:t>
      </w:r>
      <w:r>
        <w:rPr>
          <w:rFonts w:hint="default" w:ascii="Times New Roman" w:hAnsi="Times New Roman" w:eastAsia="Times New Roman" w:cs="Times New Roman"/>
          <w:spacing w:val="-3"/>
          <w:position w:val="7"/>
          <w:sz w:val="17"/>
          <w:szCs w:val="17"/>
          <w:highlight w:val="none"/>
        </w:rPr>
        <w:t>2</w:t>
      </w:r>
      <w:r>
        <w:rPr>
          <w:rFonts w:hint="default" w:ascii="Times New Roman" w:hAnsi="Times New Roman" w:cs="Times New Roman"/>
          <w:spacing w:val="-3"/>
          <w:highlight w:val="none"/>
        </w:rPr>
        <w:t>。</w:t>
      </w:r>
      <w:r>
        <w:rPr>
          <w:rFonts w:hint="default" w:ascii="Times New Roman" w:hAnsi="Times New Roman" w:cs="Times New Roman"/>
          <w:spacing w:val="-104"/>
          <w:highlight w:val="none"/>
        </w:rPr>
        <w:t xml:space="preserve"> </w:t>
      </w:r>
      <w:r>
        <w:rPr>
          <w:rFonts w:hint="default" w:ascii="Times New Roman" w:hAnsi="Times New Roman" w:cs="Times New Roman"/>
          <w:spacing w:val="-3"/>
          <w:highlight w:val="none"/>
        </w:rPr>
        <w:t>高滩水文站以上流域多年平均面雨量为</w:t>
      </w:r>
      <w:r>
        <w:rPr>
          <w:rFonts w:hint="default" w:ascii="Times New Roman" w:hAnsi="Times New Roman" w:eastAsia="Times New Roman" w:cs="Times New Roman"/>
          <w:spacing w:val="-3"/>
          <w:highlight w:val="none"/>
        </w:rPr>
        <w:t>1726mm</w:t>
      </w:r>
      <w:r>
        <w:rPr>
          <w:rFonts w:hint="default" w:ascii="Times New Roman" w:hAnsi="Times New Roman" w:cs="Times New Roman"/>
          <w:spacing w:val="-3"/>
          <w:highlight w:val="none"/>
        </w:rPr>
        <w:t>。</w:t>
      </w:r>
      <w:r>
        <w:rPr>
          <w:rFonts w:hint="default" w:ascii="Times New Roman" w:hAnsi="Times New Roman" w:cs="Times New Roman"/>
          <w:spacing w:val="-101"/>
          <w:highlight w:val="none"/>
        </w:rPr>
        <w:t xml:space="preserve"> </w:t>
      </w:r>
      <w:r>
        <w:rPr>
          <w:rFonts w:hint="default" w:ascii="Times New Roman" w:hAnsi="Times New Roman" w:cs="Times New Roman"/>
          <w:spacing w:val="-3"/>
          <w:highlight w:val="none"/>
          <w:lang w:eastAsia="zh-CN"/>
        </w:rPr>
        <w:t>上安水库</w:t>
      </w:r>
      <w:r>
        <w:rPr>
          <w:rFonts w:hint="default" w:ascii="Times New Roman" w:hAnsi="Times New Roman" w:cs="Times New Roman"/>
          <w:spacing w:val="-3"/>
          <w:highlight w:val="none"/>
        </w:rPr>
        <w:t>多年平均降雨量</w:t>
      </w:r>
      <w:r>
        <w:rPr>
          <w:rFonts w:hint="default" w:ascii="Times New Roman" w:hAnsi="Times New Roman" w:cs="Times New Roman"/>
          <w:spacing w:val="71"/>
          <w:highlight w:val="none"/>
        </w:rPr>
        <w:t xml:space="preserve"> </w:t>
      </w:r>
      <w:r>
        <w:rPr>
          <w:rFonts w:hint="default" w:ascii="Times New Roman" w:hAnsi="Times New Roman" w:cs="Times New Roman"/>
          <w:spacing w:val="-2"/>
          <w:highlight w:val="none"/>
        </w:rPr>
        <w:t>分别为</w:t>
      </w:r>
      <w:r>
        <w:rPr>
          <w:rFonts w:hint="default" w:ascii="Times New Roman" w:hAnsi="Times New Roman" w:eastAsia="Times New Roman" w:cs="Times New Roman"/>
          <w:spacing w:val="-2"/>
          <w:highlight w:val="none"/>
        </w:rPr>
        <w:t>2197.6mm</w:t>
      </w:r>
      <w:r>
        <w:rPr>
          <w:rFonts w:hint="default" w:ascii="Times New Roman" w:hAnsi="Times New Roman" w:cs="Times New Roman"/>
          <w:spacing w:val="-2"/>
          <w:highlight w:val="none"/>
        </w:rPr>
        <w:t>，天竹水库多年平均降雨量分别为</w:t>
      </w:r>
      <w:r>
        <w:rPr>
          <w:rFonts w:hint="default" w:ascii="Times New Roman" w:hAnsi="Times New Roman" w:eastAsia="Times New Roman" w:cs="Times New Roman"/>
          <w:spacing w:val="-2"/>
          <w:highlight w:val="none"/>
        </w:rPr>
        <w:t>1850mm</w:t>
      </w:r>
      <w:r>
        <w:rPr>
          <w:rFonts w:hint="default" w:ascii="Times New Roman" w:hAnsi="Times New Roman" w:cs="Times New Roman"/>
          <w:spacing w:val="-2"/>
          <w:highlight w:val="none"/>
        </w:rPr>
        <w:t>。水库坝址径流根据高滩水</w:t>
      </w:r>
      <w:r>
        <w:rPr>
          <w:rFonts w:hint="default" w:ascii="Times New Roman" w:hAnsi="Times New Roman" w:cs="Times New Roman"/>
          <w:spacing w:val="-35"/>
          <w:highlight w:val="none"/>
        </w:rPr>
        <w:t xml:space="preserve"> </w:t>
      </w:r>
      <w:r>
        <w:rPr>
          <w:rFonts w:hint="default" w:ascii="Times New Roman" w:hAnsi="Times New Roman" w:cs="Times New Roman"/>
          <w:highlight w:val="none"/>
        </w:rPr>
        <w:t>文站参证站径流系列按面积比，并参照坝址所在地的年面雨量进行逐年修正。经计算，</w:t>
      </w:r>
      <w:r>
        <w:rPr>
          <w:rFonts w:hint="default" w:ascii="Times New Roman" w:hAnsi="Times New Roman" w:cs="Times New Roman"/>
          <w:spacing w:val="-87"/>
          <w:highlight w:val="none"/>
        </w:rPr>
        <w:t xml:space="preserve"> </w:t>
      </w:r>
      <w:r>
        <w:rPr>
          <w:rFonts w:hint="default" w:ascii="Times New Roman" w:hAnsi="Times New Roman" w:cs="Times New Roman"/>
          <w:highlight w:val="none"/>
          <w:lang w:eastAsia="zh-CN"/>
        </w:rPr>
        <w:t>上安水库</w:t>
      </w:r>
      <w:r>
        <w:rPr>
          <w:rFonts w:hint="default" w:ascii="Times New Roman" w:hAnsi="Times New Roman" w:cs="Times New Roman"/>
          <w:highlight w:val="none"/>
        </w:rPr>
        <w:t>在特枯年份（</w:t>
      </w:r>
      <w:r>
        <w:rPr>
          <w:rFonts w:hint="default" w:ascii="Times New Roman" w:hAnsi="Times New Roman" w:eastAsia="Times New Roman" w:cs="Times New Roman"/>
          <w:highlight w:val="none"/>
        </w:rPr>
        <w:t>P=95%</w:t>
      </w:r>
      <w:r>
        <w:rPr>
          <w:rFonts w:hint="default" w:ascii="Times New Roman" w:hAnsi="Times New Roman" w:cs="Times New Roman"/>
          <w:highlight w:val="none"/>
        </w:rPr>
        <w:t>）的情况下，径流量为</w:t>
      </w:r>
      <w:r>
        <w:rPr>
          <w:rFonts w:hint="default" w:ascii="Times New Roman" w:hAnsi="Times New Roman" w:eastAsia="Times New Roman" w:cs="Times New Roman"/>
          <w:highlight w:val="none"/>
        </w:rPr>
        <w:t>202.64</w:t>
      </w:r>
      <w:r>
        <w:rPr>
          <w:rFonts w:hint="default" w:ascii="Times New Roman" w:hAnsi="Times New Roman" w:cs="Times New Roman"/>
          <w:highlight w:val="none"/>
        </w:rPr>
        <w:t>万</w:t>
      </w:r>
      <w:r>
        <w:rPr>
          <w:rFonts w:hint="default" w:ascii="Times New Roman" w:hAnsi="Times New Roman" w:eastAsia="Times New Roman" w:cs="Times New Roman"/>
          <w:highlight w:val="none"/>
        </w:rPr>
        <w:t>m³</w:t>
      </w:r>
      <w:r>
        <w:rPr>
          <w:rFonts w:hint="default" w:ascii="Times New Roman" w:hAnsi="Times New Roman" w:cs="Times New Roman"/>
          <w:highlight w:val="none"/>
        </w:rPr>
        <w:t>，年平均径流量为</w:t>
      </w:r>
      <w:r>
        <w:rPr>
          <w:rFonts w:hint="default" w:ascii="Times New Roman" w:hAnsi="Times New Roman" w:eastAsia="Times New Roman" w:cs="Times New Roman"/>
          <w:highlight w:val="none"/>
        </w:rPr>
        <w:t>0.064m³/s</w:t>
      </w:r>
      <w:r>
        <w:rPr>
          <w:rFonts w:hint="default" w:ascii="Times New Roman" w:hAnsi="Times New Roman" w:cs="Times New Roman"/>
          <w:highlight w:val="none"/>
        </w:rPr>
        <w:t>，天竹水库在特枯年份（</w:t>
      </w:r>
      <w:r>
        <w:rPr>
          <w:rFonts w:hint="default" w:ascii="Times New Roman" w:hAnsi="Times New Roman" w:eastAsia="Times New Roman" w:cs="Times New Roman"/>
          <w:highlight w:val="none"/>
        </w:rPr>
        <w:t>P=95%</w:t>
      </w:r>
      <w:r>
        <w:rPr>
          <w:rFonts w:hint="default" w:ascii="Times New Roman" w:hAnsi="Times New Roman" w:cs="Times New Roman"/>
          <w:highlight w:val="none"/>
        </w:rPr>
        <w:t>）的情况下，径流量为</w:t>
      </w:r>
      <w:r>
        <w:rPr>
          <w:rFonts w:hint="default" w:ascii="Times New Roman" w:hAnsi="Times New Roman" w:eastAsia="Times New Roman" w:cs="Times New Roman"/>
          <w:highlight w:val="none"/>
        </w:rPr>
        <w:t>110.60</w:t>
      </w:r>
      <w:r>
        <w:rPr>
          <w:rFonts w:hint="default" w:ascii="Times New Roman" w:hAnsi="Times New Roman" w:cs="Times New Roman"/>
          <w:highlight w:val="none"/>
        </w:rPr>
        <w:t>万</w:t>
      </w:r>
      <w:r>
        <w:rPr>
          <w:rFonts w:hint="default" w:ascii="Times New Roman" w:hAnsi="Times New Roman" w:eastAsia="Times New Roman" w:cs="Times New Roman"/>
          <w:highlight w:val="none"/>
        </w:rPr>
        <w:t>m³</w:t>
      </w:r>
      <w:r>
        <w:rPr>
          <w:rFonts w:hint="default" w:ascii="Times New Roman" w:hAnsi="Times New Roman" w:cs="Times New Roman"/>
          <w:highlight w:val="none"/>
        </w:rPr>
        <w:t>，年平均径</w:t>
      </w:r>
      <w:r>
        <w:rPr>
          <w:rFonts w:hint="default" w:ascii="Times New Roman" w:hAnsi="Times New Roman" w:cs="Times New Roman"/>
          <w:spacing w:val="-2"/>
          <w:highlight w:val="none"/>
        </w:rPr>
        <w:t>流量为</w:t>
      </w:r>
      <w:r>
        <w:rPr>
          <w:rFonts w:hint="default" w:ascii="Times New Roman" w:hAnsi="Times New Roman" w:eastAsia="Times New Roman" w:cs="Times New Roman"/>
          <w:spacing w:val="-2"/>
          <w:highlight w:val="none"/>
        </w:rPr>
        <w:t>0.035m³/s</w:t>
      </w:r>
      <w:r>
        <w:rPr>
          <w:rFonts w:hint="default" w:ascii="Times New Roman" w:hAnsi="Times New Roman" w:eastAsia="Times New Roman" w:cs="Times New Roman"/>
          <w:spacing w:val="-25"/>
          <w:highlight w:val="none"/>
        </w:rPr>
        <w:t xml:space="preserve"> </w:t>
      </w:r>
      <w:r>
        <w:rPr>
          <w:rFonts w:hint="default" w:ascii="Times New Roman" w:hAnsi="Times New Roman" w:cs="Times New Roman"/>
          <w:spacing w:val="-2"/>
          <w:highlight w:val="none"/>
        </w:rPr>
        <w:t>。</w:t>
      </w:r>
    </w:p>
    <w:p>
      <w:pPr>
        <w:pStyle w:val="21"/>
        <w:bidi w:val="0"/>
        <w:rPr>
          <w:rFonts w:hint="default" w:ascii="Times New Roman" w:hAnsi="Times New Roman" w:cs="Times New Roman"/>
          <w:highlight w:val="none"/>
        </w:rPr>
      </w:pPr>
      <w:r>
        <w:rPr>
          <w:rFonts w:hint="default" w:ascii="Times New Roman" w:hAnsi="Times New Roman" w:cs="Times New Roman"/>
          <w:highlight w:val="none"/>
          <w:lang w:eastAsia="zh-CN"/>
        </w:rPr>
        <w:t>上安水库</w:t>
      </w:r>
      <w:r>
        <w:rPr>
          <w:rFonts w:hint="default" w:ascii="Times New Roman" w:hAnsi="Times New Roman" w:cs="Times New Roman"/>
          <w:highlight w:val="none"/>
        </w:rPr>
        <w:t>流域典型年来水量  单位：万m³</w:t>
      </w:r>
    </w:p>
    <w:tbl>
      <w:tblPr>
        <w:tblStyle w:val="31"/>
        <w:tblW w:w="9297" w:type="dxa"/>
        <w:tblInd w:w="1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686"/>
        <w:gridCol w:w="735"/>
        <w:gridCol w:w="750"/>
        <w:gridCol w:w="750"/>
        <w:gridCol w:w="630"/>
        <w:gridCol w:w="736"/>
        <w:gridCol w:w="631"/>
        <w:gridCol w:w="751"/>
        <w:gridCol w:w="751"/>
        <w:gridCol w:w="736"/>
        <w:gridCol w:w="646"/>
        <w:gridCol w:w="736"/>
        <w:gridCol w:w="75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68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频率</w:t>
            </w:r>
          </w:p>
        </w:tc>
        <w:tc>
          <w:tcPr>
            <w:tcW w:w="73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4</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pacing w:val="-3"/>
                <w:szCs w:val="21"/>
                <w:highlight w:val="none"/>
              </w:rPr>
              <w:t>月</w:t>
            </w:r>
          </w:p>
        </w:tc>
        <w:tc>
          <w:tcPr>
            <w:tcW w:w="75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5</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75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6</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63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zCs w:val="21"/>
                <w:highlight w:val="none"/>
              </w:rPr>
              <w:t>7</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8"/>
                <w:szCs w:val="21"/>
                <w:highlight w:val="none"/>
              </w:rPr>
              <w:t>8</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8"/>
                <w:szCs w:val="21"/>
                <w:highlight w:val="none"/>
              </w:rPr>
              <w:t>月</w:t>
            </w:r>
          </w:p>
        </w:tc>
        <w:tc>
          <w:tcPr>
            <w:tcW w:w="63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9</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75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10</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75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11</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12</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64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w w:val="97"/>
                <w:szCs w:val="21"/>
                <w:highlight w:val="none"/>
              </w:rPr>
              <w:t>1</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9"/>
                <w:w w:val="97"/>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2</w:t>
            </w:r>
            <w:r>
              <w:rPr>
                <w:rFonts w:hint="default" w:ascii="Times New Roman" w:hAnsi="Times New Roman" w:eastAsia="Times New Roman" w:cs="Times New Roman"/>
                <w:snapToGrid w:val="0"/>
                <w:color w:val="000000"/>
                <w:spacing w:val="16"/>
                <w:w w:val="101"/>
                <w:szCs w:val="21"/>
                <w:highlight w:val="none"/>
              </w:rPr>
              <w:t xml:space="preserve"> </w:t>
            </w:r>
            <w:r>
              <w:rPr>
                <w:rFonts w:hint="default" w:ascii="Times New Roman" w:hAnsi="Times New Roman" w:cs="Times New Roman" w:eastAsiaTheme="minorEastAsia"/>
                <w:snapToGrid w:val="0"/>
                <w:color w:val="000000"/>
                <w:spacing w:val="-4"/>
                <w:szCs w:val="21"/>
                <w:highlight w:val="none"/>
              </w:rPr>
              <w:t>月</w:t>
            </w:r>
          </w:p>
        </w:tc>
        <w:tc>
          <w:tcPr>
            <w:tcW w:w="759"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3</w:t>
            </w:r>
            <w:r>
              <w:rPr>
                <w:rFonts w:hint="default" w:ascii="Times New Roman" w:hAnsi="Times New Roman" w:eastAsia="Times New Roman" w:cs="Times New Roman"/>
                <w:snapToGrid w:val="0"/>
                <w:color w:val="000000"/>
                <w:spacing w:val="16"/>
                <w:w w:val="101"/>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3" w:hRule="atLeast"/>
        </w:trPr>
        <w:tc>
          <w:tcPr>
            <w:tcW w:w="68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95%</w:t>
            </w:r>
          </w:p>
        </w:tc>
        <w:tc>
          <w:tcPr>
            <w:tcW w:w="735"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43.51</w:t>
            </w:r>
          </w:p>
        </w:tc>
        <w:tc>
          <w:tcPr>
            <w:tcW w:w="75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47.65</w:t>
            </w:r>
          </w:p>
        </w:tc>
        <w:tc>
          <w:tcPr>
            <w:tcW w:w="75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39.34</w:t>
            </w:r>
          </w:p>
        </w:tc>
        <w:tc>
          <w:tcPr>
            <w:tcW w:w="63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6.76</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18.36</w:t>
            </w:r>
          </w:p>
        </w:tc>
        <w:tc>
          <w:tcPr>
            <w:tcW w:w="63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7.11</w:t>
            </w:r>
          </w:p>
        </w:tc>
        <w:tc>
          <w:tcPr>
            <w:tcW w:w="75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99"/>
                <w:szCs w:val="21"/>
                <w:highlight w:val="none"/>
              </w:rPr>
              <w:t>1.46</w:t>
            </w:r>
          </w:p>
        </w:tc>
        <w:tc>
          <w:tcPr>
            <w:tcW w:w="75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9.64</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4.92</w:t>
            </w:r>
          </w:p>
        </w:tc>
        <w:tc>
          <w:tcPr>
            <w:tcW w:w="64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2.01</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11.28</w:t>
            </w:r>
          </w:p>
        </w:tc>
        <w:tc>
          <w:tcPr>
            <w:tcW w:w="759"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10.61</w:t>
            </w:r>
          </w:p>
        </w:tc>
      </w:tr>
    </w:tbl>
    <w:p>
      <w:pPr>
        <w:pStyle w:val="21"/>
        <w:bidi w:val="0"/>
        <w:rPr>
          <w:rFonts w:hint="default" w:ascii="Times New Roman" w:hAnsi="Times New Roman" w:cs="Times New Roman"/>
          <w:highlight w:val="none"/>
        </w:rPr>
      </w:pPr>
      <w:r>
        <w:rPr>
          <w:rFonts w:hint="default" w:ascii="Times New Roman" w:hAnsi="Times New Roman" w:cs="Times New Roman"/>
          <w:highlight w:val="none"/>
        </w:rPr>
        <w:t>天竹水库流域典型年来水量  单位：万m³</w:t>
      </w:r>
    </w:p>
    <w:tbl>
      <w:tblPr>
        <w:tblStyle w:val="31"/>
        <w:tblW w:w="9297" w:type="dxa"/>
        <w:tblInd w:w="1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686"/>
        <w:gridCol w:w="735"/>
        <w:gridCol w:w="750"/>
        <w:gridCol w:w="750"/>
        <w:gridCol w:w="630"/>
        <w:gridCol w:w="736"/>
        <w:gridCol w:w="631"/>
        <w:gridCol w:w="751"/>
        <w:gridCol w:w="751"/>
        <w:gridCol w:w="736"/>
        <w:gridCol w:w="646"/>
        <w:gridCol w:w="736"/>
        <w:gridCol w:w="75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68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频率</w:t>
            </w:r>
          </w:p>
        </w:tc>
        <w:tc>
          <w:tcPr>
            <w:tcW w:w="73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4</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pacing w:val="-3"/>
                <w:szCs w:val="21"/>
                <w:highlight w:val="none"/>
              </w:rPr>
              <w:t>月</w:t>
            </w:r>
          </w:p>
        </w:tc>
        <w:tc>
          <w:tcPr>
            <w:tcW w:w="75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5</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75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6</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630"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zCs w:val="21"/>
                <w:highlight w:val="none"/>
              </w:rPr>
              <w:t>7</w:t>
            </w:r>
            <w:r>
              <w:rPr>
                <w:rFonts w:hint="default" w:ascii="Times New Roman" w:hAnsi="Times New Roman" w:eastAsia="Times New Roman" w:cs="Times New Roman"/>
                <w:snapToGrid w:val="0"/>
                <w:color w:val="000000"/>
                <w:spacing w:val="15"/>
                <w:szCs w:val="21"/>
                <w:highlight w:val="none"/>
              </w:rPr>
              <w:t xml:space="preserve"> </w:t>
            </w:r>
            <w:r>
              <w:rPr>
                <w:rFonts w:hint="default" w:ascii="Times New Roman" w:hAnsi="Times New Roman" w:cs="Times New Roman" w:eastAsiaTheme="minorEastAsia"/>
                <w:snapToGrid w:val="0"/>
                <w:color w:val="000000"/>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8"/>
                <w:szCs w:val="21"/>
                <w:highlight w:val="none"/>
              </w:rPr>
              <w:t>8</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8"/>
                <w:szCs w:val="21"/>
                <w:highlight w:val="none"/>
              </w:rPr>
              <w:t>月</w:t>
            </w:r>
          </w:p>
        </w:tc>
        <w:tc>
          <w:tcPr>
            <w:tcW w:w="63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9</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75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10</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751"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11</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12</w:t>
            </w:r>
            <w:r>
              <w:rPr>
                <w:rFonts w:hint="default" w:ascii="Times New Roman" w:hAnsi="Times New Roman" w:eastAsia="Times New Roman" w:cs="Times New Roman"/>
                <w:snapToGrid w:val="0"/>
                <w:color w:val="000000"/>
                <w:spacing w:val="15"/>
                <w:w w:val="101"/>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64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w w:val="97"/>
                <w:szCs w:val="21"/>
                <w:highlight w:val="none"/>
              </w:rPr>
              <w:t>1</w:t>
            </w:r>
            <w:r>
              <w:rPr>
                <w:rFonts w:hint="default" w:ascii="Times New Roman" w:hAnsi="Times New Roman" w:eastAsia="Times New Roman" w:cs="Times New Roman"/>
                <w:snapToGrid w:val="0"/>
                <w:color w:val="000000"/>
                <w:spacing w:val="16"/>
                <w:szCs w:val="21"/>
                <w:highlight w:val="none"/>
              </w:rPr>
              <w:t xml:space="preserve"> </w:t>
            </w:r>
            <w:r>
              <w:rPr>
                <w:rFonts w:hint="default" w:ascii="Times New Roman" w:hAnsi="Times New Roman" w:cs="Times New Roman" w:eastAsiaTheme="minorEastAsia"/>
                <w:snapToGrid w:val="0"/>
                <w:color w:val="000000"/>
                <w:spacing w:val="-9"/>
                <w:w w:val="97"/>
                <w:szCs w:val="21"/>
                <w:highlight w:val="none"/>
              </w:rPr>
              <w:t>月</w:t>
            </w:r>
          </w:p>
        </w:tc>
        <w:tc>
          <w:tcPr>
            <w:tcW w:w="736"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2</w:t>
            </w:r>
            <w:r>
              <w:rPr>
                <w:rFonts w:hint="default" w:ascii="Times New Roman" w:hAnsi="Times New Roman" w:eastAsia="Times New Roman" w:cs="Times New Roman"/>
                <w:snapToGrid w:val="0"/>
                <w:color w:val="000000"/>
                <w:spacing w:val="16"/>
                <w:w w:val="101"/>
                <w:szCs w:val="21"/>
                <w:highlight w:val="none"/>
              </w:rPr>
              <w:t xml:space="preserve"> </w:t>
            </w:r>
            <w:r>
              <w:rPr>
                <w:rFonts w:hint="default" w:ascii="Times New Roman" w:hAnsi="Times New Roman" w:cs="Times New Roman" w:eastAsiaTheme="minorEastAsia"/>
                <w:snapToGrid w:val="0"/>
                <w:color w:val="000000"/>
                <w:spacing w:val="-4"/>
                <w:szCs w:val="21"/>
                <w:highlight w:val="none"/>
              </w:rPr>
              <w:t>月</w:t>
            </w:r>
          </w:p>
        </w:tc>
        <w:tc>
          <w:tcPr>
            <w:tcW w:w="759"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3</w:t>
            </w:r>
            <w:r>
              <w:rPr>
                <w:rFonts w:hint="default" w:ascii="Times New Roman" w:hAnsi="Times New Roman" w:eastAsia="Times New Roman" w:cs="Times New Roman"/>
                <w:snapToGrid w:val="0"/>
                <w:color w:val="000000"/>
                <w:spacing w:val="16"/>
                <w:w w:val="101"/>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3" w:hRule="atLeast"/>
        </w:trPr>
        <w:tc>
          <w:tcPr>
            <w:tcW w:w="68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95%</w:t>
            </w:r>
          </w:p>
        </w:tc>
        <w:tc>
          <w:tcPr>
            <w:tcW w:w="735"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23.75</w:t>
            </w:r>
          </w:p>
        </w:tc>
        <w:tc>
          <w:tcPr>
            <w:tcW w:w="75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26.01</w:t>
            </w:r>
          </w:p>
        </w:tc>
        <w:tc>
          <w:tcPr>
            <w:tcW w:w="75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21.47</w:t>
            </w:r>
          </w:p>
        </w:tc>
        <w:tc>
          <w:tcPr>
            <w:tcW w:w="63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3.69</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4"/>
                <w:szCs w:val="21"/>
                <w:highlight w:val="none"/>
              </w:rPr>
              <w:t>10.02</w:t>
            </w:r>
          </w:p>
        </w:tc>
        <w:tc>
          <w:tcPr>
            <w:tcW w:w="63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3.88</w:t>
            </w:r>
          </w:p>
        </w:tc>
        <w:tc>
          <w:tcPr>
            <w:tcW w:w="75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0.80</w:t>
            </w:r>
          </w:p>
        </w:tc>
        <w:tc>
          <w:tcPr>
            <w:tcW w:w="751"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5.26</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64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1.10</w:t>
            </w:r>
          </w:p>
        </w:tc>
        <w:tc>
          <w:tcPr>
            <w:tcW w:w="736"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6.15</w:t>
            </w:r>
          </w:p>
        </w:tc>
        <w:tc>
          <w:tcPr>
            <w:tcW w:w="759"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5.79</w:t>
            </w:r>
          </w:p>
        </w:tc>
      </w:tr>
    </w:tbl>
    <w:p>
      <w:pPr>
        <w:bidi w:val="0"/>
        <w:rPr>
          <w:rFonts w:hint="default" w:ascii="Times New Roman" w:hAnsi="Times New Roman" w:cs="Times New Roman"/>
          <w:highlight w:val="none"/>
        </w:rPr>
      </w:pPr>
    </w:p>
    <w:p>
      <w:pPr>
        <w:bidi w:val="0"/>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highlight w:val="none"/>
          <w:lang w:val="en-US"/>
        </w:rPr>
        <w:drawing>
          <wp:inline distT="0" distB="0" distL="0" distR="0">
            <wp:extent cx="5270500" cy="3614420"/>
            <wp:effectExtent l="0" t="0" r="635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270500" cy="3614420"/>
                    </a:xfrm>
                    <a:prstGeom prst="rect">
                      <a:avLst/>
                    </a:prstGeom>
                    <a:noFill/>
                  </pic:spPr>
                </pic:pic>
              </a:graphicData>
            </a:graphic>
          </wp:inline>
        </w:drawing>
      </w:r>
    </w:p>
    <w:p>
      <w:pPr>
        <w:pStyle w:val="22"/>
        <w:numPr>
          <w:ilvl w:val="6"/>
          <w:numId w:val="0"/>
        </w:numPr>
        <w:bidi w:val="0"/>
        <w:ind w:left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图4.3-1  </w:t>
      </w:r>
      <w:r>
        <w:rPr>
          <w:rFonts w:hint="default" w:ascii="Times New Roman" w:hAnsi="Times New Roman" w:cs="Times New Roman"/>
          <w:highlight w:val="none"/>
        </w:rPr>
        <w:t>取水水库典型年来水量</w:t>
      </w:r>
    </w:p>
    <w:p>
      <w:pPr>
        <w:bidi w:val="0"/>
        <w:rPr>
          <w:rFonts w:hint="default" w:ascii="Times New Roman" w:hAnsi="Times New Roman" w:cs="Times New Roman"/>
          <w:highlight w:val="none"/>
        </w:rPr>
      </w:pPr>
      <w:r>
        <w:rPr>
          <w:rFonts w:hint="default" w:ascii="Times New Roman" w:hAnsi="Times New Roman" w:cs="Times New Roman"/>
          <w:highlight w:val="none"/>
        </w:rPr>
        <w:t>②水库渗漏蒸发等损失计算</w:t>
      </w:r>
    </w:p>
    <w:p>
      <w:pPr>
        <w:bidi w:val="0"/>
        <w:rPr>
          <w:rFonts w:hint="default" w:ascii="Times New Roman" w:hAnsi="Times New Roman" w:cs="Times New Roman"/>
          <w:highlight w:val="none"/>
        </w:rPr>
      </w:pPr>
      <w:r>
        <w:rPr>
          <w:rFonts w:hint="default" w:ascii="Times New Roman" w:hAnsi="Times New Roman" w:cs="Times New Roman"/>
          <w:highlight w:val="none"/>
        </w:rPr>
        <w:t>水量损失含蒸发和渗漏损失，由于牵涉因素较多，与气象、水文、地质等有关，情况较复杂，难以确切定量计算，往往以概算的方法推求，一般由经验公式求得。参考《水利工程实用水文水利计算》（长江流域规划办公室水文处编制、水利出版社出版）介绍方法，分别概算推求。</w:t>
      </w:r>
    </w:p>
    <w:p>
      <w:pPr>
        <w:ind w:firstLine="480"/>
        <w:rPr>
          <w:rFonts w:hint="default" w:ascii="Times New Roman" w:hAnsi="Times New Roman" w:cs="Times New Roman"/>
          <w:highlight w:val="none"/>
        </w:rPr>
      </w:pPr>
      <w:r>
        <w:rPr>
          <w:rFonts w:hint="default" w:ascii="Times New Roman" w:hAnsi="Times New Roman" w:cs="Times New Roman"/>
          <w:highlight w:val="none"/>
        </w:rPr>
        <w:t>水库蒸发损失主要为库区陆面变成水面引起的蒸发增量，即为蒸发损失，渗漏损失主要表现为坝体和闸门漏水、坝基及坝的两翼渗水、库底向较低的透水层的渗流，以及周边向库外渗水等几方面。渗漏量的大小与库区、坝址的水文地质条件以及坝的施工质量有关。由于难以用理论公式计算，一般根据库区、坝址的水文地质情况，选用经验指标进行概算。本次以水库年渗漏量占水库蓄水库容的比例概算。</w:t>
      </w:r>
    </w:p>
    <w:p>
      <w:pPr>
        <w:ind w:firstLine="472"/>
        <w:rPr>
          <w:rFonts w:hint="default" w:ascii="Times New Roman" w:hAnsi="Times New Roman" w:cs="Times New Roman"/>
          <w:szCs w:val="24"/>
          <w:highlight w:val="none"/>
        </w:rPr>
      </w:pPr>
      <w:r>
        <w:rPr>
          <w:rFonts w:hint="default" w:ascii="Times New Roman" w:hAnsi="Times New Roman" w:cs="Times New Roman"/>
          <w:spacing w:val="-2"/>
          <w:szCs w:val="24"/>
          <w:highlight w:val="none"/>
        </w:rPr>
        <w:t>本次水源水库</w:t>
      </w:r>
      <w:r>
        <w:rPr>
          <w:rFonts w:hint="default" w:ascii="Times New Roman" w:hAnsi="Times New Roman" w:cs="Times New Roman"/>
          <w:spacing w:val="-2"/>
          <w:szCs w:val="24"/>
          <w:highlight w:val="none"/>
          <w:lang w:eastAsia="zh-CN"/>
        </w:rPr>
        <w:t>上安水库</w:t>
      </w:r>
      <w:r>
        <w:rPr>
          <w:rFonts w:hint="default" w:ascii="Times New Roman" w:hAnsi="Times New Roman" w:cs="Times New Roman"/>
          <w:spacing w:val="-2"/>
          <w:szCs w:val="24"/>
          <w:highlight w:val="none"/>
        </w:rPr>
        <w:t>和天竹水库水量损失主要有渗漏损失、蒸发损失。蒸发损失</w:t>
      </w:r>
      <w:r>
        <w:rPr>
          <w:rFonts w:hint="default" w:ascii="Times New Roman" w:hAnsi="Times New Roman" w:cs="Times New Roman"/>
          <w:spacing w:val="-66"/>
          <w:szCs w:val="24"/>
          <w:highlight w:val="none"/>
        </w:rPr>
        <w:t xml:space="preserve"> </w:t>
      </w:r>
      <w:r>
        <w:rPr>
          <w:rFonts w:hint="default" w:ascii="Times New Roman" w:hAnsi="Times New Roman" w:cs="Times New Roman"/>
          <w:spacing w:val="-2"/>
          <w:szCs w:val="24"/>
          <w:highlight w:val="none"/>
        </w:rPr>
        <w:t>为库区由陆面变水面引增的损失，</w:t>
      </w:r>
      <w:r>
        <w:rPr>
          <w:rFonts w:hint="default" w:ascii="Times New Roman" w:hAnsi="Times New Roman" w:cs="Times New Roman"/>
          <w:spacing w:val="-82"/>
          <w:szCs w:val="24"/>
          <w:highlight w:val="none"/>
        </w:rPr>
        <w:t xml:space="preserve"> </w:t>
      </w:r>
      <w:r>
        <w:rPr>
          <w:rFonts w:hint="default" w:ascii="Times New Roman" w:hAnsi="Times New Roman" w:cs="Times New Roman"/>
          <w:spacing w:val="-2"/>
          <w:szCs w:val="24"/>
          <w:highlight w:val="none"/>
        </w:rPr>
        <w:t>由于水库水面面积比较小，蒸发损失很小。渗漏损失</w:t>
      </w:r>
      <w:r>
        <w:rPr>
          <w:rFonts w:hint="default" w:ascii="Times New Roman" w:hAnsi="Times New Roman" w:cs="Times New Roman"/>
          <w:spacing w:val="-100"/>
          <w:szCs w:val="24"/>
          <w:highlight w:val="none"/>
        </w:rPr>
        <w:t xml:space="preserve"> </w:t>
      </w:r>
      <w:r>
        <w:rPr>
          <w:rFonts w:hint="default" w:ascii="Times New Roman" w:hAnsi="Times New Roman" w:cs="Times New Roman"/>
          <w:spacing w:val="-1"/>
          <w:szCs w:val="24"/>
          <w:highlight w:val="none"/>
        </w:rPr>
        <w:t>主要从库岸、坝基等渗漏，本次蒸发渗漏损失按来水量</w:t>
      </w:r>
      <w:r>
        <w:rPr>
          <w:rFonts w:hint="default" w:ascii="Times New Roman" w:hAnsi="Times New Roman" w:eastAsia="Times New Roman" w:cs="Times New Roman"/>
          <w:spacing w:val="-1"/>
          <w:szCs w:val="24"/>
          <w:highlight w:val="none"/>
        </w:rPr>
        <w:t>3%</w:t>
      </w:r>
      <w:r>
        <w:rPr>
          <w:rFonts w:hint="default" w:ascii="Times New Roman" w:hAnsi="Times New Roman" w:cs="Times New Roman"/>
          <w:spacing w:val="-1"/>
          <w:szCs w:val="24"/>
          <w:highlight w:val="none"/>
        </w:rPr>
        <w:t>计，</w:t>
      </w:r>
      <w:r>
        <w:rPr>
          <w:rFonts w:hint="default" w:ascii="Times New Roman" w:hAnsi="Times New Roman" w:cs="Times New Roman"/>
          <w:spacing w:val="-1"/>
          <w:szCs w:val="24"/>
          <w:highlight w:val="none"/>
          <w:lang w:eastAsia="zh-CN"/>
        </w:rPr>
        <w:t>上安水库</w:t>
      </w:r>
      <w:r>
        <w:rPr>
          <w:rFonts w:hint="default" w:ascii="Times New Roman" w:hAnsi="Times New Roman" w:cs="Times New Roman"/>
          <w:spacing w:val="-1"/>
          <w:szCs w:val="24"/>
          <w:highlight w:val="none"/>
        </w:rPr>
        <w:t>全年渗漏损失</w:t>
      </w:r>
      <w:r>
        <w:rPr>
          <w:rFonts w:hint="default" w:ascii="Times New Roman" w:hAnsi="Times New Roman" w:cs="Times New Roman"/>
          <w:spacing w:val="9"/>
          <w:szCs w:val="24"/>
          <w:highlight w:val="none"/>
        </w:rPr>
        <w:t>水</w:t>
      </w:r>
      <w:r>
        <w:rPr>
          <w:rFonts w:hint="default" w:ascii="Times New Roman" w:hAnsi="Times New Roman" w:cs="Times New Roman"/>
          <w:spacing w:val="9"/>
          <w:szCs w:val="24"/>
          <w:highlight w:val="none"/>
          <w:lang w:val="en-US" w:eastAsia="zh-CN"/>
        </w:rPr>
        <w:t xml:space="preserve"> </w:t>
      </w:r>
      <w:r>
        <w:rPr>
          <w:rFonts w:hint="default" w:ascii="Times New Roman" w:hAnsi="Times New Roman" w:cs="Times New Roman"/>
          <w:spacing w:val="9"/>
          <w:szCs w:val="24"/>
          <w:highlight w:val="none"/>
        </w:rPr>
        <w:t>量</w:t>
      </w:r>
      <w:r>
        <w:rPr>
          <w:rFonts w:hint="default" w:ascii="Times New Roman" w:hAnsi="Times New Roman" w:eastAsia="Times New Roman" w:cs="Times New Roman"/>
          <w:spacing w:val="9"/>
          <w:szCs w:val="24"/>
          <w:highlight w:val="none"/>
        </w:rPr>
        <w:t>6.08</w:t>
      </w:r>
      <w:r>
        <w:rPr>
          <w:rFonts w:hint="default" w:ascii="Times New Roman" w:hAnsi="Times New Roman" w:cs="Times New Roman"/>
          <w:spacing w:val="9"/>
          <w:szCs w:val="24"/>
          <w:highlight w:val="none"/>
        </w:rPr>
        <w:t>万</w:t>
      </w:r>
      <w:r>
        <w:rPr>
          <w:rFonts w:hint="default" w:ascii="Times New Roman" w:hAnsi="Times New Roman" w:eastAsia="Times New Roman" w:cs="Times New Roman"/>
          <w:spacing w:val="9"/>
          <w:szCs w:val="24"/>
          <w:highlight w:val="none"/>
        </w:rPr>
        <w:t>m³</w:t>
      </w:r>
      <w:r>
        <w:rPr>
          <w:rFonts w:hint="default" w:ascii="Times New Roman" w:hAnsi="Times New Roman" w:cs="Times New Roman" w:eastAsiaTheme="minorEastAsia"/>
          <w:spacing w:val="9"/>
          <w:szCs w:val="24"/>
          <w:highlight w:val="none"/>
        </w:rPr>
        <w:t>，天竹水库全年渗漏损失水量3.32万m</w:t>
      </w:r>
      <w:r>
        <w:rPr>
          <w:rFonts w:hint="default" w:ascii="Times New Roman" w:hAnsi="Times New Roman" w:cs="Times New Roman" w:eastAsiaTheme="minorEastAsia"/>
          <w:spacing w:val="9"/>
          <w:szCs w:val="24"/>
          <w:highlight w:val="none"/>
          <w:vertAlign w:val="superscript"/>
        </w:rPr>
        <w:t>3</w:t>
      </w:r>
      <w:r>
        <w:rPr>
          <w:rFonts w:hint="default" w:ascii="Times New Roman" w:hAnsi="Times New Roman" w:cs="Times New Roman"/>
          <w:spacing w:val="9"/>
          <w:szCs w:val="24"/>
          <w:highlight w:val="none"/>
        </w:rPr>
        <w:t>。</w:t>
      </w:r>
    </w:p>
    <w:p>
      <w:pPr>
        <w:tabs>
          <w:tab w:val="left" w:pos="0"/>
        </w:tabs>
        <w:ind w:firstLine="516"/>
        <w:rPr>
          <w:rFonts w:hint="default" w:ascii="Times New Roman" w:hAnsi="Times New Roman" w:cs="Times New Roman"/>
          <w:highlight w:val="none"/>
        </w:rPr>
      </w:pPr>
      <w:r>
        <w:rPr>
          <w:rFonts w:hint="default" w:ascii="Times New Roman" w:hAnsi="Times New Roman" w:cs="Times New Roman"/>
          <w:spacing w:val="9"/>
          <w:highlight w:val="none"/>
        </w:rPr>
        <w:t>③下游生态需水量</w:t>
      </w:r>
    </w:p>
    <w:p>
      <w:pPr>
        <w:ind w:firstLine="468"/>
        <w:rPr>
          <w:rFonts w:hint="default" w:ascii="Times New Roman" w:hAnsi="Times New Roman" w:cs="Times New Roman"/>
          <w:spacing w:val="-3"/>
          <w:highlight w:val="none"/>
        </w:rPr>
      </w:pPr>
      <w:r>
        <w:rPr>
          <w:rFonts w:hint="default" w:ascii="Times New Roman" w:hAnsi="Times New Roman" w:cs="Times New Roman"/>
          <w:spacing w:val="-3"/>
          <w:highlight w:val="none"/>
        </w:rPr>
        <w:t>为保证下游河道的生态用水，维持下游河道的</w:t>
      </w:r>
      <w:r>
        <w:rPr>
          <w:rFonts w:hint="default" w:ascii="Times New Roman" w:hAnsi="Times New Roman" w:cs="Times New Roman"/>
          <w:spacing w:val="-1"/>
          <w:highlight w:val="none"/>
        </w:rPr>
        <w:t>基本生态功能，水库必须预留足够的水量。</w:t>
      </w:r>
      <w:r>
        <w:rPr>
          <w:rFonts w:hint="default" w:ascii="Times New Roman" w:hAnsi="Times New Roman" w:cs="Times New Roman"/>
          <w:highlight w:val="none"/>
        </w:rPr>
        <w:t>对于下游生态需水量的确定，根据《水利水电建设项目水资源论证导则》</w:t>
      </w:r>
      <w:r>
        <w:rPr>
          <w:rFonts w:hint="default" w:ascii="Times New Roman" w:hAnsi="Times New Roman" w:cs="Times New Roman"/>
          <w:spacing w:val="-1"/>
          <w:highlight w:val="none"/>
        </w:rPr>
        <w:t>（</w:t>
      </w:r>
      <w:r>
        <w:rPr>
          <w:rFonts w:hint="default" w:ascii="Times New Roman" w:hAnsi="Times New Roman" w:eastAsia="Times New Roman" w:cs="Times New Roman"/>
          <w:spacing w:val="-1"/>
          <w:highlight w:val="none"/>
        </w:rPr>
        <w:t>SL525-2011</w:t>
      </w:r>
      <w:r>
        <w:rPr>
          <w:rFonts w:hint="default" w:ascii="Times New Roman" w:hAnsi="Times New Roman" w:cs="Times New Roman"/>
          <w:spacing w:val="-1"/>
          <w:highlight w:val="none"/>
        </w:rPr>
        <w:t>）规定，生态流量按照多年平均流量的</w:t>
      </w:r>
      <w:r>
        <w:rPr>
          <w:rFonts w:hint="default" w:ascii="Times New Roman" w:hAnsi="Times New Roman" w:eastAsia="Times New Roman" w:cs="Times New Roman"/>
          <w:spacing w:val="-1"/>
          <w:highlight w:val="none"/>
        </w:rPr>
        <w:t>10%</w:t>
      </w:r>
      <w:r>
        <w:rPr>
          <w:rFonts w:hint="default" w:ascii="Times New Roman" w:hAnsi="Times New Roman" w:cs="Times New Roman"/>
          <w:spacing w:val="-1"/>
          <w:highlight w:val="none"/>
        </w:rPr>
        <w:t>确定。</w:t>
      </w:r>
      <w:r>
        <w:rPr>
          <w:rFonts w:hint="default" w:ascii="Times New Roman" w:hAnsi="Times New Roman" w:cs="Times New Roman"/>
          <w:spacing w:val="-1"/>
          <w:szCs w:val="24"/>
          <w:highlight w:val="none"/>
        </w:rPr>
        <w:t>即</w:t>
      </w:r>
      <w:r>
        <w:rPr>
          <w:rFonts w:hint="default" w:ascii="Times New Roman" w:hAnsi="Times New Roman" w:cs="Times New Roman"/>
          <w:spacing w:val="-1"/>
          <w:szCs w:val="24"/>
          <w:highlight w:val="none"/>
          <w:lang w:eastAsia="zh-CN"/>
        </w:rPr>
        <w:t>上安水库</w:t>
      </w:r>
      <w:r>
        <w:rPr>
          <w:rFonts w:hint="default" w:ascii="Times New Roman" w:hAnsi="Times New Roman" w:cs="Times New Roman"/>
          <w:spacing w:val="-1"/>
          <w:szCs w:val="24"/>
          <w:highlight w:val="none"/>
        </w:rPr>
        <w:t>为</w:t>
      </w:r>
      <w:r>
        <w:rPr>
          <w:rFonts w:hint="default" w:ascii="Times New Roman" w:hAnsi="Times New Roman" w:eastAsia="Times New Roman" w:cs="Times New Roman"/>
          <w:spacing w:val="-1"/>
          <w:szCs w:val="24"/>
          <w:highlight w:val="none"/>
        </w:rPr>
        <w:t>0.01m³/s</w:t>
      </w:r>
      <w:r>
        <w:rPr>
          <w:rFonts w:hint="default" w:ascii="Times New Roman" w:hAnsi="Times New Roman" w:cs="Times New Roman"/>
          <w:spacing w:val="-1"/>
          <w:szCs w:val="24"/>
          <w:highlight w:val="none"/>
        </w:rPr>
        <w:t>，即每日生态用水量为</w:t>
      </w:r>
      <w:r>
        <w:rPr>
          <w:rFonts w:hint="default" w:ascii="Times New Roman" w:hAnsi="Times New Roman" w:eastAsia="Times New Roman" w:cs="Times New Roman"/>
          <w:spacing w:val="-1"/>
          <w:szCs w:val="24"/>
          <w:highlight w:val="none"/>
        </w:rPr>
        <w:t>864m³</w:t>
      </w:r>
      <w:r>
        <w:rPr>
          <w:rFonts w:hint="default" w:ascii="Times New Roman" w:hAnsi="Times New Roman" w:cs="Times New Roman"/>
          <w:spacing w:val="-1"/>
          <w:szCs w:val="24"/>
          <w:highlight w:val="none"/>
        </w:rPr>
        <w:t>，年需水量为</w:t>
      </w:r>
      <w:r>
        <w:rPr>
          <w:rFonts w:hint="default" w:ascii="Times New Roman" w:hAnsi="Times New Roman" w:eastAsia="Times New Roman" w:cs="Times New Roman"/>
          <w:spacing w:val="-1"/>
          <w:szCs w:val="24"/>
          <w:highlight w:val="none"/>
        </w:rPr>
        <w:t>31.5</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，天竹水库为</w:t>
      </w:r>
      <w:r>
        <w:rPr>
          <w:rFonts w:hint="default" w:ascii="Times New Roman" w:hAnsi="Times New Roman" w:eastAsia="Times New Roman" w:cs="Times New Roman"/>
          <w:spacing w:val="-1"/>
          <w:szCs w:val="24"/>
          <w:highlight w:val="none"/>
        </w:rPr>
        <w:t>0.007m³/s</w:t>
      </w:r>
      <w:r>
        <w:rPr>
          <w:rFonts w:hint="default" w:ascii="Times New Roman" w:hAnsi="Times New Roman" w:cs="Times New Roman"/>
          <w:spacing w:val="-1"/>
          <w:szCs w:val="24"/>
          <w:highlight w:val="none"/>
        </w:rPr>
        <w:t>，即每日生态</w:t>
      </w:r>
      <w:r>
        <w:rPr>
          <w:rFonts w:hint="default" w:ascii="Times New Roman" w:hAnsi="Times New Roman" w:cs="Times New Roman"/>
          <w:spacing w:val="-3"/>
          <w:szCs w:val="24"/>
          <w:highlight w:val="none"/>
        </w:rPr>
        <w:t>用水量为</w:t>
      </w:r>
      <w:r>
        <w:rPr>
          <w:rFonts w:hint="default" w:ascii="Times New Roman" w:hAnsi="Times New Roman" w:eastAsia="Times New Roman" w:cs="Times New Roman"/>
          <w:spacing w:val="-3"/>
          <w:szCs w:val="24"/>
          <w:highlight w:val="none"/>
        </w:rPr>
        <w:t>604.8m³</w:t>
      </w:r>
      <w:r>
        <w:rPr>
          <w:rFonts w:hint="default" w:ascii="Times New Roman" w:hAnsi="Times New Roman" w:cs="Times New Roman"/>
          <w:spacing w:val="-3"/>
          <w:szCs w:val="24"/>
          <w:highlight w:val="none"/>
        </w:rPr>
        <w:t>，年需水量为</w:t>
      </w:r>
      <w:r>
        <w:rPr>
          <w:rFonts w:hint="default" w:ascii="Times New Roman" w:hAnsi="Times New Roman" w:eastAsia="Times New Roman" w:cs="Times New Roman"/>
          <w:spacing w:val="-3"/>
          <w:szCs w:val="24"/>
          <w:highlight w:val="none"/>
        </w:rPr>
        <w:t>22.1</w:t>
      </w:r>
      <w:r>
        <w:rPr>
          <w:rFonts w:hint="default" w:ascii="Times New Roman" w:hAnsi="Times New Roman" w:cs="Times New Roman"/>
          <w:spacing w:val="-3"/>
          <w:szCs w:val="24"/>
          <w:highlight w:val="none"/>
        </w:rPr>
        <w:t>万</w:t>
      </w:r>
      <w:r>
        <w:rPr>
          <w:rFonts w:hint="default" w:ascii="Times New Roman" w:hAnsi="Times New Roman" w:eastAsia="Times New Roman" w:cs="Times New Roman"/>
          <w:spacing w:val="-3"/>
          <w:szCs w:val="24"/>
          <w:highlight w:val="none"/>
        </w:rPr>
        <w:t>m³</w:t>
      </w:r>
      <w:r>
        <w:rPr>
          <w:rFonts w:hint="default" w:ascii="Times New Roman" w:hAnsi="Times New Roman" w:cs="Times New Roman"/>
          <w:spacing w:val="-3"/>
          <w:szCs w:val="24"/>
          <w:highlight w:val="none"/>
        </w:rPr>
        <w:t>。</w:t>
      </w:r>
    </w:p>
    <w:p>
      <w:pPr>
        <w:ind w:firstLine="480"/>
        <w:rPr>
          <w:rFonts w:hint="default" w:ascii="Times New Roman" w:hAnsi="Times New Roman" w:cs="Times New Roman"/>
          <w:highlight w:val="none"/>
        </w:rPr>
      </w:pPr>
      <w:r>
        <w:rPr>
          <w:rFonts w:hint="default" w:ascii="Times New Roman" w:hAnsi="Times New Roman" w:cs="Times New Roman"/>
          <w:highlight w:val="none"/>
        </w:rPr>
        <w:t>④农业需水量</w:t>
      </w:r>
    </w:p>
    <w:p>
      <w:pPr>
        <w:ind w:firstLine="472"/>
        <w:rPr>
          <w:rFonts w:hint="default" w:ascii="Times New Roman" w:hAnsi="Times New Roman" w:cs="Times New Roman"/>
          <w:spacing w:val="-1"/>
          <w:szCs w:val="24"/>
          <w:highlight w:val="none"/>
        </w:rPr>
      </w:pPr>
      <w:r>
        <w:rPr>
          <w:rFonts w:hint="default" w:ascii="Times New Roman" w:hAnsi="Times New Roman" w:cs="Times New Roman"/>
          <w:spacing w:val="-2"/>
          <w:szCs w:val="24"/>
          <w:highlight w:val="none"/>
          <w:lang w:eastAsia="zh-CN"/>
        </w:rPr>
        <w:t>上安水库</w:t>
      </w:r>
      <w:r>
        <w:rPr>
          <w:rFonts w:hint="default" w:ascii="Times New Roman" w:hAnsi="Times New Roman" w:cs="Times New Roman"/>
          <w:spacing w:val="-2"/>
          <w:szCs w:val="24"/>
          <w:highlight w:val="none"/>
        </w:rPr>
        <w:t>承担下游耕地共</w:t>
      </w:r>
      <w:r>
        <w:rPr>
          <w:rFonts w:hint="default" w:ascii="Times New Roman" w:hAnsi="Times New Roman" w:eastAsia="Times New Roman" w:cs="Times New Roman"/>
          <w:spacing w:val="-2"/>
          <w:szCs w:val="24"/>
          <w:highlight w:val="none"/>
        </w:rPr>
        <w:t>700</w:t>
      </w:r>
      <w:r>
        <w:rPr>
          <w:rFonts w:hint="default" w:ascii="Times New Roman" w:hAnsi="Times New Roman" w:cs="Times New Roman"/>
          <w:spacing w:val="-2"/>
          <w:szCs w:val="24"/>
          <w:highlight w:val="none"/>
        </w:rPr>
        <w:t>亩的灌溉任务</w:t>
      </w:r>
      <w:r>
        <w:rPr>
          <w:rFonts w:hint="default" w:ascii="Times New Roman" w:hAnsi="Times New Roman" w:cs="Times New Roman"/>
          <w:spacing w:val="-94"/>
          <w:szCs w:val="24"/>
          <w:highlight w:val="none"/>
        </w:rPr>
        <w:t xml:space="preserve"> </w:t>
      </w:r>
      <w:r>
        <w:rPr>
          <w:rFonts w:hint="default" w:ascii="Times New Roman" w:hAnsi="Times New Roman" w:cs="Times New Roman"/>
          <w:spacing w:val="-2"/>
          <w:szCs w:val="24"/>
          <w:highlight w:val="none"/>
        </w:rPr>
        <w:t>，天竹水库承担下游耕地共</w:t>
      </w:r>
      <w:r>
        <w:rPr>
          <w:rFonts w:hint="default" w:ascii="Times New Roman" w:hAnsi="Times New Roman" w:eastAsia="Times New Roman" w:cs="Times New Roman"/>
          <w:spacing w:val="-2"/>
          <w:szCs w:val="24"/>
          <w:highlight w:val="none"/>
        </w:rPr>
        <w:t>500</w:t>
      </w:r>
      <w:r>
        <w:rPr>
          <w:rFonts w:hint="default" w:ascii="Times New Roman" w:hAnsi="Times New Roman" w:cs="Times New Roman"/>
          <w:spacing w:val="-2"/>
          <w:szCs w:val="24"/>
          <w:highlight w:val="none"/>
        </w:rPr>
        <w:t>亩的灌溉</w:t>
      </w:r>
      <w:r>
        <w:rPr>
          <w:rFonts w:hint="default" w:ascii="Times New Roman" w:hAnsi="Times New Roman" w:cs="Times New Roman"/>
          <w:spacing w:val="-100"/>
          <w:szCs w:val="24"/>
          <w:highlight w:val="none"/>
        </w:rPr>
        <w:t xml:space="preserve"> </w:t>
      </w:r>
      <w:r>
        <w:rPr>
          <w:rFonts w:hint="default" w:ascii="Times New Roman" w:hAnsi="Times New Roman" w:cs="Times New Roman"/>
          <w:szCs w:val="24"/>
          <w:highlight w:val="none"/>
        </w:rPr>
        <w:t>任务，以种植水稻为主，兼有地瓜和蔬菜等</w:t>
      </w:r>
      <w:r>
        <w:rPr>
          <w:rFonts w:hint="default" w:ascii="Times New Roman" w:hAnsi="Times New Roman" w:cs="Times New Roman"/>
          <w:spacing w:val="-61"/>
          <w:szCs w:val="24"/>
          <w:highlight w:val="none"/>
        </w:rPr>
        <w:t xml:space="preserve"> </w:t>
      </w:r>
      <w:r>
        <w:rPr>
          <w:rFonts w:hint="default" w:ascii="Times New Roman" w:hAnsi="Times New Roman" w:cs="Times New Roman"/>
          <w:szCs w:val="24"/>
          <w:highlight w:val="none"/>
        </w:rPr>
        <w:t>。根据区域的地理、气候条件和实地调查得</w:t>
      </w:r>
      <w:r>
        <w:rPr>
          <w:rFonts w:hint="default" w:ascii="Times New Roman" w:hAnsi="Times New Roman" w:cs="Times New Roman"/>
          <w:spacing w:val="-87"/>
          <w:szCs w:val="24"/>
          <w:highlight w:val="none"/>
        </w:rPr>
        <w:t xml:space="preserve"> </w:t>
      </w:r>
      <w:r>
        <w:rPr>
          <w:rFonts w:hint="default" w:ascii="Times New Roman" w:hAnsi="Times New Roman" w:cs="Times New Roman"/>
          <w:spacing w:val="-2"/>
          <w:szCs w:val="24"/>
          <w:highlight w:val="none"/>
        </w:rPr>
        <w:t>灌区农业种植结构、各种作物的生长日期、轮作制度，</w:t>
      </w:r>
      <w:r>
        <w:rPr>
          <w:rFonts w:hint="default" w:ascii="Times New Roman" w:hAnsi="Times New Roman" w:cs="Times New Roman"/>
          <w:spacing w:val="-86"/>
          <w:szCs w:val="24"/>
          <w:highlight w:val="none"/>
        </w:rPr>
        <w:t xml:space="preserve"> </w:t>
      </w:r>
      <w:r>
        <w:rPr>
          <w:rFonts w:hint="default" w:ascii="Times New Roman" w:hAnsi="Times New Roman" w:cs="Times New Roman"/>
          <w:spacing w:val="-2"/>
          <w:szCs w:val="24"/>
          <w:highlight w:val="none"/>
        </w:rPr>
        <w:t>同时参考柘荣县和邻近的霞浦县</w:t>
      </w:r>
      <w:r>
        <w:rPr>
          <w:rFonts w:hint="default" w:ascii="Times New Roman" w:hAnsi="Times New Roman" w:cs="Times New Roman"/>
          <w:spacing w:val="-100"/>
          <w:szCs w:val="24"/>
          <w:highlight w:val="none"/>
        </w:rPr>
        <w:t xml:space="preserve"> </w:t>
      </w:r>
      <w:r>
        <w:rPr>
          <w:rFonts w:hint="default" w:ascii="Times New Roman" w:hAnsi="Times New Roman" w:cs="Times New Roman"/>
          <w:spacing w:val="4"/>
          <w:szCs w:val="24"/>
          <w:highlight w:val="none"/>
        </w:rPr>
        <w:t>初级水利化县建设规划报告及水资源调查与水利区划中的灌溉定额资料，复种指数取</w:t>
      </w:r>
      <w:r>
        <w:rPr>
          <w:rFonts w:hint="default" w:ascii="Times New Roman" w:hAnsi="Times New Roman" w:cs="Times New Roman"/>
          <w:spacing w:val="-50"/>
          <w:szCs w:val="24"/>
          <w:highlight w:val="none"/>
        </w:rPr>
        <w:t xml:space="preserve"> </w:t>
      </w:r>
      <w:r>
        <w:rPr>
          <w:rFonts w:hint="default" w:ascii="Times New Roman" w:hAnsi="Times New Roman" w:eastAsia="Times New Roman" w:cs="Times New Roman"/>
          <w:spacing w:val="-2"/>
          <w:szCs w:val="24"/>
          <w:highlight w:val="none"/>
        </w:rPr>
        <w:t>160</w:t>
      </w:r>
      <w:r>
        <w:rPr>
          <w:rFonts w:hint="default" w:ascii="Times New Roman" w:hAnsi="Times New Roman" w:cs="Times New Roman"/>
          <w:spacing w:val="-26"/>
          <w:szCs w:val="24"/>
          <w:highlight w:val="none"/>
        </w:rPr>
        <w:t>％，</w:t>
      </w:r>
      <w:r>
        <w:rPr>
          <w:rFonts w:hint="default" w:ascii="Times New Roman" w:hAnsi="Times New Roman" w:cs="Times New Roman"/>
          <w:spacing w:val="-2"/>
          <w:szCs w:val="24"/>
          <w:highlight w:val="none"/>
        </w:rPr>
        <w:t>灌溉水利用系数</w:t>
      </w:r>
      <w:r>
        <w:rPr>
          <w:rFonts w:hint="default" w:ascii="Times New Roman" w:hAnsi="Times New Roman" w:eastAsia="Times New Roman" w:cs="Times New Roman"/>
          <w:spacing w:val="-2"/>
          <w:szCs w:val="24"/>
          <w:highlight w:val="none"/>
        </w:rPr>
        <w:t>n</w:t>
      </w:r>
      <w:r>
        <w:rPr>
          <w:rFonts w:hint="default" w:ascii="Times New Roman" w:hAnsi="Times New Roman" w:cs="Times New Roman"/>
          <w:spacing w:val="-2"/>
          <w:szCs w:val="24"/>
          <w:highlight w:val="none"/>
        </w:rPr>
        <w:t>＝</w:t>
      </w:r>
      <w:r>
        <w:rPr>
          <w:rFonts w:hint="default" w:ascii="Times New Roman" w:hAnsi="Times New Roman" w:eastAsia="Times New Roman" w:cs="Times New Roman"/>
          <w:spacing w:val="-2"/>
          <w:szCs w:val="24"/>
          <w:highlight w:val="none"/>
        </w:rPr>
        <w:t>0.6</w:t>
      </w:r>
      <w:r>
        <w:rPr>
          <w:rFonts w:hint="default" w:ascii="Times New Roman" w:hAnsi="Times New Roman" w:cs="Times New Roman"/>
          <w:spacing w:val="-2"/>
          <w:szCs w:val="24"/>
          <w:highlight w:val="none"/>
        </w:rPr>
        <w:t>，综合毛灌溉定额为</w:t>
      </w:r>
      <w:r>
        <w:rPr>
          <w:rFonts w:hint="default" w:ascii="Times New Roman" w:hAnsi="Times New Roman" w:eastAsia="Times New Roman" w:cs="Times New Roman"/>
          <w:spacing w:val="-2"/>
          <w:szCs w:val="24"/>
          <w:highlight w:val="none"/>
        </w:rPr>
        <w:t>610m</w:t>
      </w:r>
      <w:r>
        <w:rPr>
          <w:rFonts w:hint="default" w:ascii="Times New Roman" w:hAnsi="Times New Roman" w:cs="Times New Roman"/>
          <w:szCs w:val="24"/>
          <w:highlight w:val="none"/>
          <w:lang w:val="en-US"/>
        </w:rPr>
        <w:drawing>
          <wp:inline distT="0" distB="0" distL="0" distR="0">
            <wp:extent cx="114300" cy="107315"/>
            <wp:effectExtent l="0" t="0" r="0" b="6985"/>
            <wp:docPr id="25" name="IM 19" descr="IM 19"/>
            <wp:cNvGraphicFramePr/>
            <a:graphic xmlns:a="http://schemas.openxmlformats.org/drawingml/2006/main">
              <a:graphicData uri="http://schemas.openxmlformats.org/drawingml/2006/picture">
                <pic:pic xmlns:pic="http://schemas.openxmlformats.org/drawingml/2006/picture">
                  <pic:nvPicPr>
                    <pic:cNvPr id="25" name="IM 19" descr="IM 19"/>
                    <pic:cNvPicPr/>
                  </pic:nvPicPr>
                  <pic:blipFill>
                    <a:blip r:embed="rId123"/>
                    <a:stretch>
                      <a:fillRect/>
                    </a:stretch>
                  </pic:blipFill>
                  <pic:spPr>
                    <a:xfrm>
                      <a:off x="0" y="0"/>
                      <a:ext cx="114300" cy="107746"/>
                    </a:xfrm>
                    <a:prstGeom prst="rect">
                      <a:avLst/>
                    </a:prstGeom>
                  </pic:spPr>
                </pic:pic>
              </a:graphicData>
            </a:graphic>
          </wp:inline>
        </w:drawing>
      </w:r>
      <w:r>
        <w:rPr>
          <w:rFonts w:hint="default" w:ascii="Times New Roman" w:hAnsi="Times New Roman" w:cs="Times New Roman"/>
          <w:spacing w:val="-2"/>
          <w:szCs w:val="24"/>
          <w:highlight w:val="none"/>
        </w:rPr>
        <w:t>（亩</w:t>
      </w:r>
      <w:r>
        <w:rPr>
          <w:rFonts w:hint="default" w:ascii="Times New Roman" w:hAnsi="Times New Roman" w:eastAsia="Times New Roman" w:cs="Times New Roman"/>
          <w:spacing w:val="-2"/>
          <w:szCs w:val="24"/>
          <w:highlight w:val="none"/>
        </w:rPr>
        <w:t>·</w:t>
      </w:r>
      <w:r>
        <w:rPr>
          <w:rFonts w:hint="default" w:ascii="Times New Roman" w:hAnsi="Times New Roman" w:cs="Times New Roman"/>
          <w:spacing w:val="-2"/>
          <w:szCs w:val="24"/>
          <w:highlight w:val="none"/>
        </w:rPr>
        <w:t>年</w:t>
      </w:r>
      <w:r>
        <w:rPr>
          <w:rFonts w:hint="default" w:ascii="Times New Roman" w:hAnsi="Times New Roman" w:cs="Times New Roman"/>
          <w:spacing w:val="-26"/>
          <w:szCs w:val="24"/>
          <w:highlight w:val="none"/>
        </w:rPr>
        <w:t>），</w:t>
      </w:r>
      <w:r>
        <w:rPr>
          <w:rFonts w:hint="default" w:ascii="Times New Roman" w:hAnsi="Times New Roman" w:cs="Times New Roman"/>
          <w:spacing w:val="-2"/>
          <w:szCs w:val="24"/>
          <w:highlight w:val="none"/>
        </w:rPr>
        <w:t>计算得</w:t>
      </w:r>
      <w:r>
        <w:rPr>
          <w:rFonts w:hint="default" w:ascii="Times New Roman" w:hAnsi="Times New Roman" w:cs="Times New Roman"/>
          <w:spacing w:val="-2"/>
          <w:szCs w:val="24"/>
          <w:highlight w:val="none"/>
          <w:lang w:eastAsia="zh-CN"/>
        </w:rPr>
        <w:t>上安水库</w:t>
      </w:r>
      <w:r>
        <w:rPr>
          <w:rFonts w:hint="default" w:ascii="Times New Roman" w:hAnsi="Times New Roman" w:cs="Times New Roman"/>
          <w:spacing w:val="-81"/>
          <w:szCs w:val="24"/>
          <w:highlight w:val="none"/>
        </w:rPr>
        <w:t xml:space="preserve"> </w:t>
      </w:r>
      <w:r>
        <w:rPr>
          <w:rFonts w:hint="default" w:ascii="Times New Roman" w:hAnsi="Times New Roman" w:cs="Times New Roman"/>
          <w:spacing w:val="-1"/>
          <w:szCs w:val="24"/>
          <w:highlight w:val="none"/>
        </w:rPr>
        <w:t>下游农业灌溉年需水量</w:t>
      </w:r>
      <w:r>
        <w:rPr>
          <w:rFonts w:hint="default" w:ascii="Times New Roman" w:hAnsi="Times New Roman" w:eastAsia="Times New Roman" w:cs="Times New Roman"/>
          <w:spacing w:val="-1"/>
          <w:szCs w:val="24"/>
          <w:highlight w:val="none"/>
        </w:rPr>
        <w:t>42.7</w:t>
      </w:r>
      <w:r>
        <w:rPr>
          <w:rFonts w:hint="default" w:ascii="Times New Roman" w:hAnsi="Times New Roman" w:cs="Times New Roman"/>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，天竹水库下游农业灌溉年需水量为</w:t>
      </w:r>
      <w:r>
        <w:rPr>
          <w:rFonts w:hint="default" w:ascii="Times New Roman" w:hAnsi="Times New Roman" w:eastAsia="Times New Roman" w:cs="Times New Roman"/>
          <w:spacing w:val="-1"/>
          <w:szCs w:val="24"/>
          <w:highlight w:val="none"/>
        </w:rPr>
        <w:t>30.5</w:t>
      </w:r>
      <w:r>
        <w:rPr>
          <w:rFonts w:hint="default" w:ascii="Times New Roman" w:hAnsi="Times New Roman" w:cs="Times New Roman"/>
          <w:spacing w:val="-1"/>
          <w:szCs w:val="24"/>
          <w:highlight w:val="none"/>
        </w:rPr>
        <w:t>万</w:t>
      </w:r>
      <w:r>
        <w:rPr>
          <w:rFonts w:hint="default" w:ascii="Times New Roman" w:hAnsi="Times New Roman" w:cs="Times New Roman"/>
          <w:spacing w:val="-51"/>
          <w:szCs w:val="24"/>
          <w:highlight w:val="none"/>
        </w:rPr>
        <w:t xml:space="preserve"> </w:t>
      </w:r>
      <w:r>
        <w:rPr>
          <w:rFonts w:hint="default" w:ascii="Times New Roman" w:hAnsi="Times New Roman" w:cs="Times New Roman"/>
          <w:spacing w:val="-1"/>
          <w:szCs w:val="24"/>
          <w:highlight w:val="none"/>
        </w:rPr>
        <w:t>。</w:t>
      </w:r>
    </w:p>
    <w:p>
      <w:pPr>
        <w:ind w:firstLine="480"/>
        <w:rPr>
          <w:rFonts w:hint="default" w:ascii="Times New Roman" w:hAnsi="Times New Roman" w:cs="Times New Roman"/>
          <w:highlight w:val="none"/>
        </w:rPr>
      </w:pPr>
      <w:r>
        <w:rPr>
          <w:rFonts w:hint="default" w:ascii="Times New Roman" w:hAnsi="Times New Roman" w:cs="Times New Roman"/>
          <w:highlight w:val="none"/>
        </w:rPr>
        <w:t>⑤供水情形</w:t>
      </w:r>
    </w:p>
    <w:p>
      <w:pPr>
        <w:ind w:firstLine="524"/>
        <w:rPr>
          <w:rFonts w:hint="default" w:ascii="Times New Roman" w:hAnsi="Times New Roman" w:cs="Times New Roman"/>
          <w:spacing w:val="-1"/>
          <w:highlight w:val="none"/>
        </w:rPr>
      </w:pPr>
      <w:r>
        <w:rPr>
          <w:rFonts w:hint="default" w:ascii="Times New Roman" w:hAnsi="Times New Roman" w:cs="Times New Roman"/>
          <w:spacing w:val="11"/>
          <w:highlight w:val="none"/>
        </w:rPr>
        <w:t>根据《水法》规定“开发利用水资源，应当首先满足城乡居民生活用水，统筹兼顾农业、工业用水和航运需要”；“按生活、农业、工业的顺序计划限量供应；紧缩工业用水计划 ，严格执行定额用水，节约用水，提高水循环利用率；对农业用水应改善灌溉制度，推广管灌、喷灌、滴灌等先进灌溉技术，尽最大努力采取有效措施做好节水工作”。因此水库灌溉允许破坏，考虑到水库流域面积比较小，枯水季节可能出现只能满足供水的需求。根据《福建省城乡供水一体化建设试点规划导则》（试行）中“以保障安全供水为出发点，合理确定是否应对水源进行功能调整”。本次计算中，为保障管阳水厂供水安全，</w:t>
      </w:r>
      <w:r>
        <w:rPr>
          <w:rFonts w:hint="default" w:ascii="Times New Roman" w:hAnsi="Times New Roman" w:cs="Times New Roman"/>
          <w:spacing w:val="11"/>
          <w:highlight w:val="none"/>
          <w:lang w:eastAsia="zh-CN"/>
        </w:rPr>
        <w:t>上安水库</w:t>
      </w:r>
      <w:r>
        <w:rPr>
          <w:rFonts w:hint="default" w:ascii="Times New Roman" w:hAnsi="Times New Roman" w:cs="Times New Roman"/>
          <w:spacing w:val="11"/>
          <w:highlight w:val="none"/>
        </w:rPr>
        <w:t>需在7月份缩减灌溉面积，且8月份起不</w:t>
      </w:r>
      <w:r>
        <w:rPr>
          <w:rFonts w:hint="default" w:ascii="Times New Roman" w:hAnsi="Times New Roman" w:cs="Times New Roman"/>
          <w:spacing w:val="11"/>
          <w:highlight w:val="none"/>
          <w:lang w:val="en-US" w:eastAsia="zh-CN"/>
        </w:rPr>
        <w:t>再</w:t>
      </w:r>
      <w:r>
        <w:rPr>
          <w:rFonts w:hint="default" w:ascii="Times New Roman" w:hAnsi="Times New Roman" w:cs="Times New Roman"/>
          <w:spacing w:val="11"/>
          <w:highlight w:val="none"/>
        </w:rPr>
        <w:t>进行灌溉，保证管阳水厂原水供应。破坏的灌溉面积应另寻水源进行灌溉。</w:t>
      </w:r>
      <w:r>
        <w:rPr>
          <w:rFonts w:hint="default" w:ascii="Times New Roman" w:hAnsi="Times New Roman" w:cs="Times New Roman"/>
          <w:spacing w:val="-1"/>
          <w:highlight w:val="none"/>
        </w:rPr>
        <w:t>以此推算</w:t>
      </w:r>
      <w:r>
        <w:rPr>
          <w:rFonts w:hint="default" w:ascii="Times New Roman" w:hAnsi="Times New Roman" w:cs="Times New Roman"/>
          <w:spacing w:val="-1"/>
          <w:highlight w:val="none"/>
          <w:lang w:eastAsia="zh-CN"/>
        </w:rPr>
        <w:t>上安水库</w:t>
      </w:r>
      <w:r>
        <w:rPr>
          <w:rFonts w:hint="default" w:ascii="Times New Roman" w:hAnsi="Times New Roman" w:cs="Times New Roman"/>
          <w:spacing w:val="-1"/>
          <w:highlight w:val="none"/>
        </w:rPr>
        <w:t>和天竹水库</w:t>
      </w:r>
      <w:r>
        <w:rPr>
          <w:rFonts w:hint="default" w:ascii="Times New Roman" w:hAnsi="Times New Roman" w:eastAsia="Times New Roman" w:cs="Times New Roman"/>
          <w:spacing w:val="-1"/>
          <w:highlight w:val="none"/>
        </w:rPr>
        <w:t>P=95%</w:t>
      </w:r>
      <w:r>
        <w:rPr>
          <w:rFonts w:hint="default" w:ascii="Times New Roman" w:hAnsi="Times New Roman" w:cs="Times New Roman"/>
          <w:spacing w:val="-1"/>
          <w:highlight w:val="none"/>
        </w:rPr>
        <w:t>典型年逐月径流调节计算，见下表。</w:t>
      </w:r>
    </w:p>
    <w:p>
      <w:pPr>
        <w:pStyle w:val="21"/>
        <w:bidi w:val="0"/>
        <w:rPr>
          <w:rFonts w:hint="default" w:ascii="Times New Roman" w:hAnsi="Times New Roman" w:cs="Times New Roman"/>
          <w:highlight w:val="none"/>
        </w:rPr>
      </w:pPr>
      <w:r>
        <w:rPr>
          <w:rFonts w:hint="default" w:ascii="Times New Roman" w:hAnsi="Times New Roman" w:cs="Times New Roman"/>
          <w:highlight w:val="none"/>
          <w:lang w:eastAsia="zh-CN"/>
        </w:rPr>
        <w:t>上安水库</w:t>
      </w:r>
      <w:r>
        <w:rPr>
          <w:rFonts w:hint="default" w:ascii="Times New Roman" w:hAnsi="Times New Roman" w:cs="Times New Roman"/>
          <w:highlight w:val="none"/>
        </w:rPr>
        <w:t>P=95%典型年可供水量计算表（破坏灌溉）  单位：万 m³</w:t>
      </w:r>
    </w:p>
    <w:tbl>
      <w:tblPr>
        <w:tblStyle w:val="31"/>
        <w:tblW w:w="9297" w:type="dxa"/>
        <w:tblInd w:w="1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014"/>
        <w:gridCol w:w="1036"/>
        <w:gridCol w:w="1035"/>
        <w:gridCol w:w="1037"/>
        <w:gridCol w:w="1036"/>
        <w:gridCol w:w="1037"/>
        <w:gridCol w:w="1037"/>
        <w:gridCol w:w="1021"/>
        <w:gridCol w:w="104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月份</w:t>
            </w:r>
          </w:p>
        </w:tc>
        <w:tc>
          <w:tcPr>
            <w:tcW w:w="1037"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来水量</w:t>
            </w:r>
          </w:p>
        </w:tc>
        <w:tc>
          <w:tcPr>
            <w:tcW w:w="1036"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生态用</w:t>
            </w:r>
          </w:p>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水量</w:t>
            </w:r>
          </w:p>
        </w:tc>
        <w:tc>
          <w:tcPr>
            <w:tcW w:w="1037"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水库损</w:t>
            </w:r>
          </w:p>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失</w:t>
            </w:r>
          </w:p>
        </w:tc>
        <w:tc>
          <w:tcPr>
            <w:tcW w:w="1036"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农业灌</w:t>
            </w:r>
          </w:p>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溉用水</w:t>
            </w:r>
          </w:p>
        </w:tc>
        <w:tc>
          <w:tcPr>
            <w:tcW w:w="1037"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可供水</w:t>
            </w:r>
          </w:p>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量</w:t>
            </w:r>
          </w:p>
        </w:tc>
        <w:tc>
          <w:tcPr>
            <w:tcW w:w="1037"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余缺水</w:t>
            </w:r>
          </w:p>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量</w:t>
            </w:r>
          </w:p>
        </w:tc>
        <w:tc>
          <w:tcPr>
            <w:tcW w:w="1021"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库容</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弃水量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4</w:t>
            </w:r>
            <w:r>
              <w:rPr>
                <w:rFonts w:hint="default" w:ascii="Times New Roman" w:hAnsi="Times New Roman" w:eastAsia="Times New Roman" w:cs="Times New Roman"/>
                <w:snapToGrid w:val="0"/>
                <w:color w:val="000000"/>
                <w:spacing w:val="21"/>
                <w:w w:val="101"/>
                <w:szCs w:val="21"/>
                <w:highlight w:val="none"/>
              </w:rPr>
              <w:t xml:space="preserve"> </w:t>
            </w:r>
            <w:r>
              <w:rPr>
                <w:rFonts w:hint="default" w:ascii="Times New Roman" w:hAnsi="Times New Roman" w:cs="Times New Roman" w:eastAsiaTheme="minorEastAsia"/>
                <w:snapToGrid w:val="0"/>
                <w:color w:val="000000"/>
                <w:spacing w:val="-2"/>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43.51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2.59</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1.31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7.41</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7.20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25.00</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29.13</w:t>
            </w:r>
          </w:p>
        </w:tc>
        <w:tc>
          <w:tcPr>
            <w:tcW w:w="1044"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4.13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5</w:t>
            </w:r>
            <w:r>
              <w:rPr>
                <w:rFonts w:hint="default" w:ascii="Times New Roman" w:hAnsi="Times New Roman" w:eastAsia="Times New Roman" w:cs="Times New Roman"/>
                <w:snapToGrid w:val="0"/>
                <w:color w:val="000000"/>
                <w:spacing w:val="23"/>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47.65</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1.43</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4.41</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31.69</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29.13</w:t>
            </w:r>
          </w:p>
        </w:tc>
        <w:tc>
          <w:tcPr>
            <w:tcW w:w="1044"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31.69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6</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39.34</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2.59</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1.18</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2.83</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7.20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25.54</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29.13</w:t>
            </w:r>
          </w:p>
        </w:tc>
        <w:tc>
          <w:tcPr>
            <w:tcW w:w="1044"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24.2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zCs w:val="21"/>
                <w:highlight w:val="none"/>
              </w:rPr>
              <w:t>7</w:t>
            </w:r>
            <w:r>
              <w:rPr>
                <w:rFonts w:hint="default" w:ascii="Times New Roman" w:hAnsi="Times New Roman" w:eastAsia="Times New Roman" w:cs="Times New Roman"/>
                <w:snapToGrid w:val="0"/>
                <w:color w:val="000000"/>
                <w:spacing w:val="21"/>
                <w:szCs w:val="21"/>
                <w:highlight w:val="none"/>
              </w:rPr>
              <w:t xml:space="preserve"> </w:t>
            </w:r>
            <w:r>
              <w:rPr>
                <w:rFonts w:hint="default" w:ascii="Times New Roman" w:hAnsi="Times New Roman" w:cs="Times New Roman" w:eastAsiaTheme="minorEastAsia"/>
                <w:snapToGrid w:val="0"/>
                <w:color w:val="000000"/>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6.76</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0.20</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4.10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-7.66</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21.47</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8</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18.36</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0.55</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7.69</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29.13</w:t>
            </w:r>
          </w:p>
        </w:tc>
        <w:tc>
          <w:tcPr>
            <w:tcW w:w="1044"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9</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7.11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2.59</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7.20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-2.89</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26.24</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10</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1.46</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0.04</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w:t>
            </w:r>
            <w:r>
              <w:rPr>
                <w:rFonts w:hint="default" w:ascii="Times New Roman" w:hAnsi="Times New Roman" w:eastAsia="Times New Roman" w:cs="Times New Roman"/>
                <w:snapToGrid w:val="0"/>
                <w:color w:val="000000"/>
                <w:spacing w:val="-34"/>
                <w:szCs w:val="21"/>
                <w:highlight w:val="none"/>
              </w:rPr>
              <w:t xml:space="preserve"> </w:t>
            </w:r>
            <w:r>
              <w:rPr>
                <w:rFonts w:hint="default" w:ascii="Times New Roman" w:hAnsi="Times New Roman" w:eastAsia="Times New Roman" w:cs="Times New Roman"/>
                <w:snapToGrid w:val="0"/>
                <w:color w:val="000000"/>
                <w:spacing w:val="-3"/>
                <w:szCs w:val="21"/>
                <w:highlight w:val="none"/>
              </w:rPr>
              <w:t>8.70</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17.53</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11</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9.64</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2.59</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0.29</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7.20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-0.44</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17.09</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12</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4.92</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0.15</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-5.35</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11.74</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10"/>
                <w:w w:val="98"/>
                <w:szCs w:val="21"/>
                <w:highlight w:val="none"/>
              </w:rPr>
              <w:t>1</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10"/>
                <w:w w:val="98"/>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2.01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0.06</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w:t>
            </w:r>
            <w:r>
              <w:rPr>
                <w:rFonts w:hint="default" w:ascii="Times New Roman" w:hAnsi="Times New Roman" w:eastAsia="Times New Roman" w:cs="Times New Roman"/>
                <w:snapToGrid w:val="0"/>
                <w:color w:val="000000"/>
                <w:spacing w:val="-34"/>
                <w:szCs w:val="21"/>
                <w:highlight w:val="none"/>
              </w:rPr>
              <w:t xml:space="preserve"> </w:t>
            </w:r>
            <w:r>
              <w:rPr>
                <w:rFonts w:hint="default" w:ascii="Times New Roman" w:hAnsi="Times New Roman" w:eastAsia="Times New Roman" w:cs="Times New Roman"/>
                <w:snapToGrid w:val="0"/>
                <w:color w:val="000000"/>
                <w:spacing w:val="-3"/>
                <w:szCs w:val="21"/>
                <w:highlight w:val="none"/>
              </w:rPr>
              <w:t>8.17</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3.58</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2</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3"/>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11.28</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2.42</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0.34</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6.72</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1.80</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5.37</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3</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10.61</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0.32</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7.44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0.18</w:t>
            </w:r>
          </w:p>
        </w:tc>
        <w:tc>
          <w:tcPr>
            <w:tcW w:w="1021"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5.55</w:t>
            </w: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1015" w:type="dxa"/>
            <w:vAlign w:val="center"/>
          </w:tcPr>
          <w:p>
            <w:pPr>
              <w:pStyle w:val="19"/>
              <w:jc w:val="center"/>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合计</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202.64</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31.54</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6.08</w:t>
            </w:r>
          </w:p>
        </w:tc>
        <w:tc>
          <w:tcPr>
            <w:tcW w:w="1036"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18.75</w:t>
            </w:r>
          </w:p>
        </w:tc>
        <w:tc>
          <w:tcPr>
            <w:tcW w:w="1037" w:type="dxa"/>
            <w:vAlign w:val="center"/>
          </w:tcPr>
          <w:p>
            <w:pPr>
              <w:pStyle w:val="19"/>
              <w:jc w:val="center"/>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87.60</w:t>
            </w:r>
          </w:p>
        </w:tc>
        <w:tc>
          <w:tcPr>
            <w:tcW w:w="1037" w:type="dxa"/>
            <w:vAlign w:val="center"/>
          </w:tcPr>
          <w:p>
            <w:pPr>
              <w:pStyle w:val="19"/>
              <w:jc w:val="center"/>
              <w:rPr>
                <w:rFonts w:hint="default" w:ascii="Times New Roman" w:hAnsi="Times New Roman" w:cs="Times New Roman" w:eastAsiaTheme="minorEastAsia"/>
                <w:snapToGrid w:val="0"/>
                <w:color w:val="000000"/>
                <w:szCs w:val="21"/>
                <w:highlight w:val="none"/>
              </w:rPr>
            </w:pPr>
          </w:p>
        </w:tc>
        <w:tc>
          <w:tcPr>
            <w:tcW w:w="1021" w:type="dxa"/>
            <w:vAlign w:val="center"/>
          </w:tcPr>
          <w:p>
            <w:pPr>
              <w:pStyle w:val="19"/>
              <w:jc w:val="center"/>
              <w:rPr>
                <w:rFonts w:hint="default" w:ascii="Times New Roman" w:hAnsi="Times New Roman" w:cs="Times New Roman" w:eastAsiaTheme="minorEastAsia"/>
                <w:snapToGrid w:val="0"/>
                <w:color w:val="000000"/>
                <w:szCs w:val="21"/>
                <w:highlight w:val="none"/>
              </w:rPr>
            </w:pPr>
          </w:p>
        </w:tc>
        <w:tc>
          <w:tcPr>
            <w:tcW w:w="1044" w:type="dxa"/>
            <w:vAlign w:val="center"/>
          </w:tcPr>
          <w:p>
            <w:pPr>
              <w:pStyle w:val="19"/>
              <w:jc w:val="center"/>
              <w:rPr>
                <w:rFonts w:hint="default" w:ascii="Times New Roman" w:hAnsi="Times New Roman" w:cs="Times New Roman" w:eastAsiaTheme="minorEastAsia"/>
                <w:snapToGrid w:val="0"/>
                <w:color w:val="000000"/>
                <w:szCs w:val="21"/>
                <w:highlight w:val="none"/>
              </w:rPr>
            </w:pPr>
          </w:p>
        </w:tc>
      </w:tr>
    </w:tbl>
    <w:p>
      <w:pPr>
        <w:bidi w:val="0"/>
        <w:rPr>
          <w:rFonts w:hint="default" w:ascii="Times New Roman" w:hAnsi="Times New Roman" w:cs="Times New Roman"/>
          <w:highlight w:val="none"/>
          <w:lang w:val="en-US"/>
        </w:rPr>
      </w:pPr>
    </w:p>
    <w:p>
      <w:pPr>
        <w:bidi w:val="0"/>
        <w:ind w:left="0" w:leftChars="0" w:firstLine="0" w:firstLineChars="0"/>
        <w:jc w:val="center"/>
        <w:rPr>
          <w:rFonts w:hint="default" w:ascii="Times New Roman" w:hAnsi="Times New Roman" w:cs="Times New Roman"/>
          <w:highlight w:val="none"/>
          <w:lang w:val="en-US"/>
        </w:rPr>
      </w:pPr>
      <w:r>
        <w:rPr>
          <w:rFonts w:hint="default" w:ascii="Times New Roman" w:hAnsi="Times New Roman" w:cs="Times New Roman"/>
          <w:highlight w:val="none"/>
          <w:lang w:val="en-US"/>
        </w:rPr>
        <w:drawing>
          <wp:inline distT="0" distB="0" distL="0" distR="0">
            <wp:extent cx="5078095" cy="3767455"/>
            <wp:effectExtent l="0" t="0" r="8255"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078095" cy="3767455"/>
                    </a:xfrm>
                    <a:prstGeom prst="rect">
                      <a:avLst/>
                    </a:prstGeom>
                    <a:noFill/>
                  </pic:spPr>
                </pic:pic>
              </a:graphicData>
            </a:graphic>
          </wp:inline>
        </w:drawing>
      </w:r>
    </w:p>
    <w:p>
      <w:pPr>
        <w:pStyle w:val="22"/>
        <w:numPr>
          <w:ilvl w:val="6"/>
          <w:numId w:val="0"/>
        </w:numPr>
        <w:bidi w:val="0"/>
        <w:ind w:leftChars="0"/>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 xml:space="preserve">图4.3-2  </w:t>
      </w:r>
      <w:r>
        <w:rPr>
          <w:rFonts w:hint="default" w:ascii="Times New Roman" w:hAnsi="Times New Roman" w:cs="Times New Roman"/>
          <w:highlight w:val="none"/>
          <w:lang w:val="en-US" w:eastAsia="zh-CN"/>
        </w:rPr>
        <w:t>上安</w:t>
      </w:r>
      <w:r>
        <w:rPr>
          <w:rFonts w:hint="default" w:ascii="Times New Roman" w:hAnsi="Times New Roman" w:cs="Times New Roman"/>
          <w:highlight w:val="none"/>
        </w:rPr>
        <w:t>水库 P=95%典型年水量统计</w:t>
      </w:r>
    </w:p>
    <w:p>
      <w:pPr>
        <w:bidi w:val="0"/>
        <w:rPr>
          <w:rFonts w:hint="default" w:ascii="Times New Roman" w:hAnsi="Times New Roman" w:cs="Times New Roman"/>
          <w:highlight w:val="none"/>
        </w:rPr>
      </w:pPr>
      <w:r>
        <w:rPr>
          <w:rFonts w:hint="default" w:ascii="Times New Roman" w:hAnsi="Times New Roman" w:cs="Times New Roman"/>
          <w:highlight w:val="none"/>
          <w:lang w:eastAsia="zh-CN"/>
        </w:rPr>
        <w:t>上安水库</w:t>
      </w:r>
      <w:r>
        <w:rPr>
          <w:rFonts w:hint="default" w:ascii="Times New Roman" w:hAnsi="Times New Roman" w:cs="Times New Roman"/>
          <w:highlight w:val="none"/>
        </w:rPr>
        <w:t>在P=95%保证率允许灌溉破坏情况下，水库日平均可供水量0.24万m³，年可供水量87.60万m³。规划管阳水厂供水日变化系数取1.5，水厂自用水和原水管代漏损按10%估算，可供水水厂规模3272.7m³/d。</w:t>
      </w:r>
    </w:p>
    <w:p>
      <w:pPr>
        <w:ind w:firstLine="520"/>
        <w:rPr>
          <w:rFonts w:hint="default" w:ascii="Times New Roman" w:hAnsi="Times New Roman" w:cs="Times New Roman"/>
          <w:szCs w:val="24"/>
          <w:highlight w:val="none"/>
        </w:rPr>
      </w:pPr>
      <w:r>
        <w:rPr>
          <w:rFonts w:hint="default" w:ascii="Times New Roman" w:hAnsi="Times New Roman" w:cs="Times New Roman"/>
          <w:spacing w:val="10"/>
          <w:szCs w:val="24"/>
          <w:highlight w:val="none"/>
        </w:rPr>
        <w:t>为保障西阳水厂供水安全，</w:t>
      </w:r>
      <w:r>
        <w:rPr>
          <w:rFonts w:hint="default" w:ascii="Times New Roman" w:hAnsi="Times New Roman" w:cs="Times New Roman"/>
          <w:spacing w:val="-91"/>
          <w:szCs w:val="24"/>
          <w:highlight w:val="none"/>
        </w:rPr>
        <w:t xml:space="preserve"> </w:t>
      </w:r>
      <w:r>
        <w:rPr>
          <w:rFonts w:hint="default" w:ascii="Times New Roman" w:hAnsi="Times New Roman" w:cs="Times New Roman"/>
          <w:spacing w:val="10"/>
          <w:szCs w:val="24"/>
          <w:highlight w:val="none"/>
        </w:rPr>
        <w:t>天竹</w:t>
      </w:r>
      <w:r>
        <w:rPr>
          <w:rFonts w:hint="default" w:ascii="Times New Roman" w:hAnsi="Times New Roman" w:cs="Times New Roman"/>
          <w:spacing w:val="-77"/>
          <w:szCs w:val="24"/>
          <w:highlight w:val="none"/>
        </w:rPr>
        <w:t xml:space="preserve"> </w:t>
      </w:r>
      <w:r>
        <w:rPr>
          <w:rFonts w:hint="default" w:ascii="Times New Roman" w:hAnsi="Times New Roman" w:cs="Times New Roman"/>
          <w:spacing w:val="10"/>
          <w:szCs w:val="24"/>
          <w:highlight w:val="none"/>
        </w:rPr>
        <w:t>水库需</w:t>
      </w:r>
      <w:r>
        <w:rPr>
          <w:rFonts w:hint="default" w:ascii="Times New Roman" w:hAnsi="Times New Roman" w:eastAsia="Times New Roman" w:cs="Times New Roman"/>
          <w:spacing w:val="10"/>
          <w:szCs w:val="24"/>
          <w:highlight w:val="none"/>
        </w:rPr>
        <w:t>7</w:t>
      </w:r>
      <w:r>
        <w:rPr>
          <w:rFonts w:hint="default" w:ascii="Times New Roman" w:hAnsi="Times New Roman" w:cs="Times New Roman"/>
          <w:spacing w:val="10"/>
          <w:szCs w:val="24"/>
          <w:highlight w:val="none"/>
        </w:rPr>
        <w:t>月份起</w:t>
      </w:r>
      <w:r>
        <w:rPr>
          <w:rFonts w:hint="default" w:ascii="Times New Roman" w:hAnsi="Times New Roman" w:cs="Times New Roman"/>
          <w:spacing w:val="-77"/>
          <w:szCs w:val="24"/>
          <w:highlight w:val="none"/>
        </w:rPr>
        <w:t xml:space="preserve"> </w:t>
      </w:r>
      <w:r>
        <w:rPr>
          <w:rFonts w:hint="default" w:ascii="Times New Roman" w:hAnsi="Times New Roman" w:cs="Times New Roman"/>
          <w:spacing w:val="10"/>
          <w:szCs w:val="24"/>
          <w:highlight w:val="none"/>
        </w:rPr>
        <w:t>不再进行灌溉，</w:t>
      </w:r>
      <w:r>
        <w:rPr>
          <w:rFonts w:hint="default" w:ascii="Times New Roman" w:hAnsi="Times New Roman" w:cs="Times New Roman"/>
          <w:spacing w:val="-100"/>
          <w:szCs w:val="24"/>
          <w:highlight w:val="none"/>
        </w:rPr>
        <w:t xml:space="preserve"> </w:t>
      </w:r>
      <w:r>
        <w:rPr>
          <w:rFonts w:hint="default" w:ascii="Times New Roman" w:hAnsi="Times New Roman" w:cs="Times New Roman"/>
          <w:spacing w:val="10"/>
          <w:szCs w:val="24"/>
          <w:highlight w:val="none"/>
        </w:rPr>
        <w:t>保证</w:t>
      </w:r>
      <w:r>
        <w:rPr>
          <w:rFonts w:hint="default" w:ascii="Times New Roman" w:hAnsi="Times New Roman" w:cs="Times New Roman"/>
          <w:spacing w:val="-64"/>
          <w:szCs w:val="24"/>
          <w:highlight w:val="none"/>
        </w:rPr>
        <w:t xml:space="preserve"> </w:t>
      </w:r>
      <w:r>
        <w:rPr>
          <w:rFonts w:hint="default" w:ascii="Times New Roman" w:hAnsi="Times New Roman" w:cs="Times New Roman"/>
          <w:spacing w:val="10"/>
          <w:szCs w:val="24"/>
          <w:highlight w:val="none"/>
        </w:rPr>
        <w:t>西</w:t>
      </w:r>
      <w:r>
        <w:rPr>
          <w:rFonts w:hint="default" w:ascii="Times New Roman" w:hAnsi="Times New Roman" w:cs="Times New Roman"/>
          <w:spacing w:val="-63"/>
          <w:szCs w:val="24"/>
          <w:highlight w:val="none"/>
        </w:rPr>
        <w:t xml:space="preserve"> </w:t>
      </w:r>
      <w:r>
        <w:rPr>
          <w:rFonts w:hint="default" w:ascii="Times New Roman" w:hAnsi="Times New Roman" w:cs="Times New Roman"/>
          <w:spacing w:val="10"/>
          <w:szCs w:val="24"/>
          <w:highlight w:val="none"/>
        </w:rPr>
        <w:t>阳水厂原</w:t>
      </w:r>
      <w:r>
        <w:rPr>
          <w:rFonts w:hint="default" w:ascii="Times New Roman" w:hAnsi="Times New Roman" w:cs="Times New Roman"/>
          <w:spacing w:val="-77"/>
          <w:szCs w:val="24"/>
          <w:highlight w:val="none"/>
        </w:rPr>
        <w:t xml:space="preserve"> </w:t>
      </w:r>
      <w:r>
        <w:rPr>
          <w:rFonts w:hint="default" w:ascii="Times New Roman" w:hAnsi="Times New Roman" w:cs="Times New Roman"/>
          <w:spacing w:val="10"/>
          <w:szCs w:val="24"/>
          <w:highlight w:val="none"/>
        </w:rPr>
        <w:t>水供应。破坏的灌溉面积应另寻</w:t>
      </w:r>
      <w:r>
        <w:rPr>
          <w:rFonts w:hint="default" w:ascii="Times New Roman" w:hAnsi="Times New Roman" w:cs="Times New Roman"/>
          <w:spacing w:val="-77"/>
          <w:szCs w:val="24"/>
          <w:highlight w:val="none"/>
        </w:rPr>
        <w:t xml:space="preserve"> </w:t>
      </w:r>
      <w:r>
        <w:rPr>
          <w:rFonts w:hint="default" w:ascii="Times New Roman" w:hAnsi="Times New Roman" w:cs="Times New Roman"/>
          <w:spacing w:val="10"/>
          <w:szCs w:val="24"/>
          <w:highlight w:val="none"/>
        </w:rPr>
        <w:t>水源进行灌溉。</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天竹水库 P=95%典型年可供水量计算表（破坏灌溉）  单位：万 m³</w:t>
      </w:r>
    </w:p>
    <w:tbl>
      <w:tblPr>
        <w:tblStyle w:val="31"/>
        <w:tblW w:w="9297" w:type="dxa"/>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14"/>
        <w:gridCol w:w="1036"/>
        <w:gridCol w:w="1035"/>
        <w:gridCol w:w="1037"/>
        <w:gridCol w:w="1036"/>
        <w:gridCol w:w="1037"/>
        <w:gridCol w:w="1037"/>
        <w:gridCol w:w="1021"/>
        <w:gridCol w:w="10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月份</w:t>
            </w:r>
          </w:p>
        </w:tc>
        <w:tc>
          <w:tcPr>
            <w:tcW w:w="1036"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来水量</w:t>
            </w:r>
          </w:p>
        </w:tc>
        <w:tc>
          <w:tcPr>
            <w:tcW w:w="1035"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生态用</w:t>
            </w:r>
          </w:p>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水量</w:t>
            </w:r>
          </w:p>
        </w:tc>
        <w:tc>
          <w:tcPr>
            <w:tcW w:w="1037"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水库损</w:t>
            </w:r>
          </w:p>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失</w:t>
            </w:r>
          </w:p>
        </w:tc>
        <w:tc>
          <w:tcPr>
            <w:tcW w:w="1036"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农业灌</w:t>
            </w:r>
            <w:r>
              <w:rPr>
                <w:rFonts w:hint="default" w:ascii="Times New Roman" w:hAnsi="Times New Roman" w:cs="Times New Roman" w:eastAsiaTheme="minorEastAsia"/>
                <w:snapToGrid w:val="0"/>
                <w:color w:val="000000"/>
                <w:spacing w:val="-84"/>
                <w:szCs w:val="21"/>
                <w:highlight w:val="none"/>
              </w:rPr>
              <w:t xml:space="preserve"> </w:t>
            </w:r>
            <w:r>
              <w:rPr>
                <w:rFonts w:hint="default" w:ascii="Times New Roman" w:hAnsi="Times New Roman" w:cs="Times New Roman" w:eastAsiaTheme="minorEastAsia"/>
                <w:snapToGrid w:val="0"/>
                <w:color w:val="000000"/>
                <w:spacing w:val="-3"/>
                <w:szCs w:val="21"/>
                <w:highlight w:val="none"/>
              </w:rPr>
              <w:t>溉用水</w:t>
            </w:r>
          </w:p>
        </w:tc>
        <w:tc>
          <w:tcPr>
            <w:tcW w:w="1037"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可供水</w:t>
            </w:r>
          </w:p>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量</w:t>
            </w:r>
          </w:p>
        </w:tc>
        <w:tc>
          <w:tcPr>
            <w:tcW w:w="1037"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余缺水</w:t>
            </w:r>
          </w:p>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zCs w:val="21"/>
                <w:highlight w:val="none"/>
              </w:rPr>
              <w:t>量</w:t>
            </w:r>
          </w:p>
        </w:tc>
        <w:tc>
          <w:tcPr>
            <w:tcW w:w="1021"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库容</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弃水量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4</w:t>
            </w:r>
            <w:r>
              <w:rPr>
                <w:rFonts w:hint="default" w:ascii="Times New Roman" w:hAnsi="Times New Roman" w:eastAsia="Times New Roman" w:cs="Times New Roman"/>
                <w:snapToGrid w:val="0"/>
                <w:color w:val="000000"/>
                <w:spacing w:val="21"/>
                <w:w w:val="101"/>
                <w:szCs w:val="21"/>
                <w:highlight w:val="none"/>
              </w:rPr>
              <w:t xml:space="preserve"> </w:t>
            </w:r>
            <w:r>
              <w:rPr>
                <w:rFonts w:hint="default" w:ascii="Times New Roman" w:hAnsi="Times New Roman" w:cs="Times New Roman" w:eastAsiaTheme="minorEastAsia"/>
                <w:snapToGrid w:val="0"/>
                <w:color w:val="000000"/>
                <w:spacing w:val="-2"/>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23.75</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1.81</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0.71</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5.29</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12.93</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13.50</w:t>
            </w:r>
          </w:p>
        </w:tc>
        <w:tc>
          <w:tcPr>
            <w:tcW w:w="1044"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5</w:t>
            </w:r>
            <w:r>
              <w:rPr>
                <w:rFonts w:hint="default" w:ascii="Times New Roman" w:hAnsi="Times New Roman" w:eastAsia="Times New Roman" w:cs="Times New Roman"/>
                <w:snapToGrid w:val="0"/>
                <w:color w:val="000000"/>
                <w:spacing w:val="23"/>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26.01</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0.78</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3.15</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17.10</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13.5</w:t>
            </w:r>
          </w:p>
        </w:tc>
        <w:tc>
          <w:tcPr>
            <w:tcW w:w="1044"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17.10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6</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21.47</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1.81</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0.64</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2.02</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13.99</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13.5</w:t>
            </w:r>
          </w:p>
        </w:tc>
        <w:tc>
          <w:tcPr>
            <w:tcW w:w="1044"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13.99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zCs w:val="21"/>
                <w:highlight w:val="none"/>
              </w:rPr>
              <w:t>7</w:t>
            </w:r>
            <w:r>
              <w:rPr>
                <w:rFonts w:hint="default" w:ascii="Times New Roman" w:hAnsi="Times New Roman" w:eastAsia="Times New Roman" w:cs="Times New Roman"/>
                <w:snapToGrid w:val="0"/>
                <w:color w:val="000000"/>
                <w:spacing w:val="21"/>
                <w:szCs w:val="21"/>
                <w:highlight w:val="none"/>
              </w:rPr>
              <w:t xml:space="preserve"> </w:t>
            </w:r>
            <w:r>
              <w:rPr>
                <w:rFonts w:hint="default" w:ascii="Times New Roman" w:hAnsi="Times New Roman" w:cs="Times New Roman" w:eastAsiaTheme="minorEastAsia"/>
                <w:snapToGrid w:val="0"/>
                <w:color w:val="000000"/>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3.69</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0.11</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w:t>
            </w:r>
            <w:r>
              <w:rPr>
                <w:rFonts w:hint="default" w:ascii="Times New Roman" w:hAnsi="Times New Roman" w:eastAsia="Times New Roman" w:cs="Times New Roman"/>
                <w:snapToGrid w:val="0"/>
                <w:color w:val="000000"/>
                <w:spacing w:val="-19"/>
                <w:szCs w:val="21"/>
                <w:highlight w:val="none"/>
              </w:rPr>
              <w:t xml:space="preserve"> </w:t>
            </w:r>
            <w:r>
              <w:rPr>
                <w:rFonts w:hint="default" w:ascii="Times New Roman" w:hAnsi="Times New Roman" w:eastAsia="Times New Roman" w:cs="Times New Roman"/>
                <w:snapToGrid w:val="0"/>
                <w:color w:val="000000"/>
                <w:spacing w:val="-6"/>
                <w:szCs w:val="21"/>
                <w:highlight w:val="none"/>
              </w:rPr>
              <w:t>1.40</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12.10</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8</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10.02</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0.30</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4.75</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13.50</w:t>
            </w:r>
          </w:p>
        </w:tc>
        <w:tc>
          <w:tcPr>
            <w:tcW w:w="1044"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9</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3.88</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1.81</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0.12</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w:t>
            </w:r>
            <w:r>
              <w:rPr>
                <w:rFonts w:hint="default" w:ascii="Times New Roman" w:hAnsi="Times New Roman" w:eastAsia="Times New Roman" w:cs="Times New Roman"/>
                <w:snapToGrid w:val="0"/>
                <w:color w:val="000000"/>
                <w:spacing w:val="-19"/>
                <w:szCs w:val="21"/>
                <w:highlight w:val="none"/>
              </w:rPr>
              <w:t xml:space="preserve"> </w:t>
            </w:r>
            <w:r>
              <w:rPr>
                <w:rFonts w:hint="default" w:ascii="Times New Roman" w:hAnsi="Times New Roman" w:eastAsia="Times New Roman" w:cs="Times New Roman"/>
                <w:snapToGrid w:val="0"/>
                <w:color w:val="000000"/>
                <w:spacing w:val="-6"/>
                <w:szCs w:val="21"/>
                <w:highlight w:val="none"/>
              </w:rPr>
              <w:t>1.05</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12.45</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10</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0.80</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0.02</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-4.20</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8.25</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11</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5.26</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1.81</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0.16</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0.29</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8.54</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12</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2.68</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0.08</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-2.37</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6.17</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10"/>
                <w:w w:val="98"/>
                <w:szCs w:val="21"/>
                <w:highlight w:val="none"/>
              </w:rPr>
              <w:t>1</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10"/>
                <w:w w:val="98"/>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1.10</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0.03</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-3.91</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2.26</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2</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3"/>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6.15</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1.69</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0.18</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2.80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1.48</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3.73</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3</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5.79</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1.87</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0.17</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0.00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3.10</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0.64</w:t>
            </w:r>
          </w:p>
        </w:tc>
        <w:tc>
          <w:tcPr>
            <w:tcW w:w="1021"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4.38</w:t>
            </w: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1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3"/>
                <w:szCs w:val="21"/>
                <w:highlight w:val="none"/>
              </w:rPr>
              <w:t>合计</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110.60</w:t>
            </w:r>
          </w:p>
        </w:tc>
        <w:tc>
          <w:tcPr>
            <w:tcW w:w="1035"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22.08</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3.32</w:t>
            </w:r>
          </w:p>
        </w:tc>
        <w:tc>
          <w:tcPr>
            <w:tcW w:w="1036"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10.46</w:t>
            </w:r>
          </w:p>
        </w:tc>
        <w:tc>
          <w:tcPr>
            <w:tcW w:w="1037" w:type="dxa"/>
            <w:tcBorders>
              <w:tl2br w:val="nil"/>
              <w:tr2bl w:val="nil"/>
            </w:tcBorders>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36.50</w:t>
            </w:r>
          </w:p>
        </w:tc>
        <w:tc>
          <w:tcPr>
            <w:tcW w:w="1037"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c>
          <w:tcPr>
            <w:tcW w:w="1021"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c>
          <w:tcPr>
            <w:tcW w:w="1044" w:type="dxa"/>
            <w:tcBorders>
              <w:tl2br w:val="nil"/>
              <w:tr2bl w:val="nil"/>
            </w:tcBorders>
            <w:vAlign w:val="center"/>
          </w:tcPr>
          <w:p>
            <w:pPr>
              <w:pStyle w:val="19"/>
              <w:rPr>
                <w:rFonts w:hint="default" w:ascii="Times New Roman" w:hAnsi="Times New Roman" w:cs="Times New Roman" w:eastAsiaTheme="minorEastAsia"/>
                <w:snapToGrid w:val="0"/>
                <w:color w:val="000000"/>
                <w:szCs w:val="21"/>
                <w:highlight w:val="none"/>
              </w:rPr>
            </w:pPr>
          </w:p>
        </w:tc>
      </w:tr>
    </w:tbl>
    <w:p>
      <w:pPr>
        <w:ind w:firstLine="480"/>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lang w:val="en-US"/>
        </w:rPr>
        <w:drawing>
          <wp:inline distT="0" distB="0" distL="0" distR="0">
            <wp:extent cx="5212715" cy="3469005"/>
            <wp:effectExtent l="0" t="0" r="6985" b="171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212715" cy="3469005"/>
                    </a:xfrm>
                    <a:prstGeom prst="rect">
                      <a:avLst/>
                    </a:prstGeom>
                    <a:noFill/>
                  </pic:spPr>
                </pic:pic>
              </a:graphicData>
            </a:graphic>
          </wp:inline>
        </w:drawing>
      </w:r>
    </w:p>
    <w:p>
      <w:pPr>
        <w:pStyle w:val="22"/>
        <w:numPr>
          <w:ilvl w:val="6"/>
          <w:numId w:val="0"/>
        </w:numPr>
        <w:bidi w:val="0"/>
        <w:ind w:left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图4.3-3  </w:t>
      </w:r>
      <w:r>
        <w:rPr>
          <w:rFonts w:hint="default" w:ascii="Times New Roman" w:hAnsi="Times New Roman" w:cs="Times New Roman"/>
          <w:highlight w:val="none"/>
        </w:rPr>
        <w:t>天竹水库 P=95%典型年水量统计图</w:t>
      </w:r>
    </w:p>
    <w:p>
      <w:pPr>
        <w:ind w:firstLine="464"/>
        <w:rPr>
          <w:rFonts w:hint="default" w:ascii="Times New Roman" w:hAnsi="Times New Roman" w:cs="Times New Roman"/>
          <w:highlight w:val="none"/>
        </w:rPr>
      </w:pPr>
      <w:r>
        <w:rPr>
          <w:rFonts w:hint="default" w:ascii="Times New Roman" w:hAnsi="Times New Roman" w:cs="Times New Roman"/>
          <w:spacing w:val="-4"/>
          <w:highlight w:val="none"/>
        </w:rPr>
        <w:t>天竹水库在</w:t>
      </w:r>
      <w:r>
        <w:rPr>
          <w:rFonts w:hint="default" w:ascii="Times New Roman" w:hAnsi="Times New Roman" w:eastAsia="Times New Roman" w:cs="Times New Roman"/>
          <w:spacing w:val="-4"/>
          <w:highlight w:val="none"/>
        </w:rPr>
        <w:t>P=95%</w:t>
      </w:r>
      <w:r>
        <w:rPr>
          <w:rFonts w:hint="default" w:ascii="Times New Roman" w:hAnsi="Times New Roman" w:cs="Times New Roman"/>
          <w:spacing w:val="-4"/>
          <w:highlight w:val="none"/>
        </w:rPr>
        <w:t>保证率允许灌溉破坏情况下，水库日平均可供水量</w:t>
      </w:r>
      <w:r>
        <w:rPr>
          <w:rFonts w:hint="default" w:ascii="Times New Roman" w:hAnsi="Times New Roman" w:eastAsia="Times New Roman" w:cs="Times New Roman"/>
          <w:spacing w:val="-4"/>
          <w:highlight w:val="none"/>
        </w:rPr>
        <w:t>0.1</w:t>
      </w:r>
      <w:r>
        <w:rPr>
          <w:rFonts w:hint="default" w:ascii="Times New Roman" w:hAnsi="Times New Roman" w:cs="Times New Roman"/>
          <w:spacing w:val="-4"/>
          <w:highlight w:val="none"/>
        </w:rPr>
        <w:t>万</w:t>
      </w:r>
      <w:r>
        <w:rPr>
          <w:rFonts w:hint="default" w:ascii="Times New Roman" w:hAnsi="Times New Roman" w:eastAsia="Times New Roman" w:cs="Times New Roman"/>
          <w:spacing w:val="-4"/>
          <w:highlight w:val="none"/>
        </w:rPr>
        <w:t>m³</w:t>
      </w:r>
      <w:r>
        <w:rPr>
          <w:rFonts w:hint="default" w:ascii="Times New Roman" w:hAnsi="Times New Roman" w:cs="Times New Roman"/>
          <w:spacing w:val="-4"/>
          <w:highlight w:val="none"/>
        </w:rPr>
        <w:t>，年可</w:t>
      </w:r>
      <w:r>
        <w:rPr>
          <w:rFonts w:hint="default" w:ascii="Times New Roman" w:hAnsi="Times New Roman" w:cs="Times New Roman"/>
          <w:spacing w:val="-67"/>
          <w:highlight w:val="none"/>
        </w:rPr>
        <w:t xml:space="preserve"> </w:t>
      </w:r>
      <w:r>
        <w:rPr>
          <w:rFonts w:hint="default" w:ascii="Times New Roman" w:hAnsi="Times New Roman" w:cs="Times New Roman"/>
          <w:highlight w:val="none"/>
        </w:rPr>
        <w:t>供水量</w:t>
      </w:r>
      <w:r>
        <w:rPr>
          <w:rFonts w:hint="default" w:ascii="Times New Roman" w:hAnsi="Times New Roman" w:eastAsia="Times New Roman" w:cs="Times New Roman"/>
          <w:highlight w:val="none"/>
        </w:rPr>
        <w:t>36.5</w:t>
      </w:r>
      <w:r>
        <w:rPr>
          <w:rFonts w:hint="default" w:ascii="Times New Roman" w:hAnsi="Times New Roman" w:cs="Times New Roman"/>
          <w:highlight w:val="none"/>
        </w:rPr>
        <w:t>万</w:t>
      </w:r>
      <w:r>
        <w:rPr>
          <w:rFonts w:hint="default" w:ascii="Times New Roman" w:hAnsi="Times New Roman" w:eastAsia="Times New Roman" w:cs="Times New Roman"/>
          <w:highlight w:val="none"/>
        </w:rPr>
        <w:t>m³</w:t>
      </w:r>
      <w:r>
        <w:rPr>
          <w:rFonts w:hint="default" w:ascii="Times New Roman" w:hAnsi="Times New Roman" w:cs="Times New Roman"/>
          <w:highlight w:val="none"/>
        </w:rPr>
        <w:t>。规划管阳水厂供水日变化系数取</w:t>
      </w:r>
      <w:r>
        <w:rPr>
          <w:rFonts w:hint="default" w:ascii="Times New Roman" w:hAnsi="Times New Roman" w:eastAsia="Times New Roman" w:cs="Times New Roman"/>
          <w:highlight w:val="none"/>
        </w:rPr>
        <w:t>1.5</w:t>
      </w:r>
      <w:r>
        <w:rPr>
          <w:rFonts w:hint="default" w:ascii="Times New Roman" w:hAnsi="Times New Roman" w:cs="Times New Roman"/>
          <w:highlight w:val="none"/>
        </w:rPr>
        <w:t>，水厂自用水和原水管代漏损按</w:t>
      </w:r>
      <w:r>
        <w:rPr>
          <w:rFonts w:hint="default" w:ascii="Times New Roman" w:hAnsi="Times New Roman" w:cs="Times New Roman"/>
          <w:spacing w:val="-63"/>
          <w:highlight w:val="none"/>
        </w:rPr>
        <w:t xml:space="preserve"> </w:t>
      </w:r>
      <w:r>
        <w:rPr>
          <w:rFonts w:hint="default" w:ascii="Times New Roman" w:hAnsi="Times New Roman" w:eastAsia="Times New Roman" w:cs="Times New Roman"/>
          <w:spacing w:val="-1"/>
          <w:highlight w:val="none"/>
        </w:rPr>
        <w:t>10%</w:t>
      </w:r>
      <w:r>
        <w:rPr>
          <w:rFonts w:hint="default" w:ascii="Times New Roman" w:hAnsi="Times New Roman" w:cs="Times New Roman"/>
          <w:spacing w:val="-1"/>
          <w:highlight w:val="none"/>
        </w:rPr>
        <w:t>估算，可供水水厂规模</w:t>
      </w:r>
      <w:r>
        <w:rPr>
          <w:rFonts w:hint="default" w:ascii="Times New Roman" w:hAnsi="Times New Roman" w:eastAsia="Times New Roman" w:cs="Times New Roman"/>
          <w:spacing w:val="-1"/>
          <w:highlight w:val="none"/>
        </w:rPr>
        <w:t>1363.6m³/d</w:t>
      </w:r>
      <w:r>
        <w:rPr>
          <w:rFonts w:hint="default" w:ascii="Times New Roman" w:hAnsi="Times New Roman" w:eastAsia="Times New Roman" w:cs="Times New Roman"/>
          <w:spacing w:val="-8"/>
          <w:highlight w:val="none"/>
        </w:rPr>
        <w:t xml:space="preserve"> </w:t>
      </w:r>
      <w:r>
        <w:rPr>
          <w:rFonts w:hint="default" w:ascii="Times New Roman" w:hAnsi="Times New Roman" w:cs="Times New Roman"/>
          <w:spacing w:val="-1"/>
          <w:highlight w:val="none"/>
        </w:rPr>
        <w:t>。</w:t>
      </w:r>
    </w:p>
    <w:p>
      <w:pPr>
        <w:bidi w:val="0"/>
        <w:rPr>
          <w:rFonts w:hint="default" w:ascii="Times New Roman" w:hAnsi="Times New Roman" w:cs="Times New Roman"/>
          <w:highlight w:val="none"/>
          <w:lang w:eastAsia="zh-CN"/>
        </w:rPr>
      </w:pPr>
      <w:r>
        <w:rPr>
          <w:rFonts w:hint="default" w:ascii="Times New Roman" w:hAnsi="Times New Roman" w:cs="Times New Roman"/>
          <w:highlight w:val="none"/>
        </w:rPr>
        <w:t>（2）</w:t>
      </w:r>
      <w:r>
        <w:rPr>
          <w:rFonts w:hint="default" w:ascii="Times New Roman" w:hAnsi="Times New Roman" w:cs="Times New Roman"/>
          <w:highlight w:val="none"/>
          <w:lang w:eastAsia="zh-CN"/>
        </w:rPr>
        <w:t>龙井溪山涧水</w:t>
      </w:r>
    </w:p>
    <w:p>
      <w:pPr>
        <w:bidi w:val="0"/>
        <w:rPr>
          <w:rFonts w:hint="default" w:ascii="Times New Roman" w:hAnsi="Times New Roman" w:cs="Times New Roman"/>
          <w:spacing w:val="-1"/>
          <w:highlight w:val="none"/>
        </w:rPr>
      </w:pPr>
      <w:r>
        <w:rPr>
          <w:rFonts w:hint="default" w:ascii="Times New Roman" w:hAnsi="Times New Roman" w:cs="Times New Roman"/>
          <w:highlight w:val="none"/>
        </w:rPr>
        <w:t>龙井溪山涧水取水口</w:t>
      </w:r>
      <w:r>
        <w:rPr>
          <w:rFonts w:hint="default" w:ascii="Times New Roman" w:hAnsi="Times New Roman" w:cs="Times New Roman"/>
          <w:spacing w:val="-4"/>
          <w:highlight w:val="none"/>
        </w:rPr>
        <w:t>以上流域面积为</w:t>
      </w:r>
      <w:r>
        <w:rPr>
          <w:rFonts w:hint="default" w:ascii="Times New Roman" w:hAnsi="Times New Roman" w:cs="Times New Roman"/>
          <w:spacing w:val="-37"/>
          <w:highlight w:val="none"/>
        </w:rPr>
        <w:t xml:space="preserve"> </w:t>
      </w:r>
      <w:r>
        <w:rPr>
          <w:rFonts w:hint="default" w:ascii="Times New Roman" w:hAnsi="Times New Roman" w:eastAsia="Times New Roman" w:cs="Times New Roman"/>
          <w:spacing w:val="-4"/>
          <w:highlight w:val="none"/>
        </w:rPr>
        <w:t>4.4km</w:t>
      </w:r>
      <w:r>
        <w:rPr>
          <w:rFonts w:hint="default" w:ascii="Times New Roman" w:hAnsi="Times New Roman" w:eastAsia="Times New Roman" w:cs="Times New Roman"/>
          <w:spacing w:val="-4"/>
          <w:position w:val="7"/>
          <w:szCs w:val="17"/>
          <w:highlight w:val="none"/>
        </w:rPr>
        <w:t>2</w:t>
      </w:r>
      <w:r>
        <w:rPr>
          <w:rFonts w:hint="default" w:ascii="Times New Roman" w:hAnsi="Times New Roman" w:eastAsia="Times New Roman" w:cs="Times New Roman"/>
          <w:spacing w:val="-9"/>
          <w:position w:val="7"/>
          <w:szCs w:val="17"/>
          <w:highlight w:val="none"/>
        </w:rPr>
        <w:t xml:space="preserve"> </w:t>
      </w:r>
      <w:r>
        <w:rPr>
          <w:rFonts w:hint="default" w:ascii="Times New Roman" w:hAnsi="Times New Roman" w:cs="Times New Roman"/>
          <w:spacing w:val="-4"/>
          <w:highlight w:val="none"/>
        </w:rPr>
        <w:t>，</w:t>
      </w:r>
      <w:r>
        <w:rPr>
          <w:rFonts w:hint="default" w:ascii="Times New Roman" w:hAnsi="Times New Roman" w:cs="Times New Roman"/>
          <w:spacing w:val="-114"/>
          <w:highlight w:val="none"/>
        </w:rPr>
        <w:t xml:space="preserve"> </w:t>
      </w:r>
      <w:r>
        <w:rPr>
          <w:rFonts w:hint="default" w:ascii="Times New Roman" w:hAnsi="Times New Roman" w:cs="Times New Roman"/>
          <w:spacing w:val="-4"/>
          <w:highlight w:val="none"/>
        </w:rPr>
        <w:t>多年平均降雨量</w:t>
      </w:r>
      <w:r>
        <w:rPr>
          <w:rFonts w:hint="default" w:ascii="Times New Roman" w:hAnsi="Times New Roman" w:cs="Times New Roman"/>
          <w:spacing w:val="-32"/>
          <w:highlight w:val="none"/>
        </w:rPr>
        <w:t xml:space="preserve"> </w:t>
      </w:r>
      <w:r>
        <w:rPr>
          <w:rFonts w:hint="default" w:ascii="Times New Roman" w:hAnsi="Times New Roman" w:eastAsia="Times New Roman" w:cs="Times New Roman"/>
          <w:spacing w:val="-4"/>
          <w:highlight w:val="none"/>
        </w:rPr>
        <w:t>1850mm</w:t>
      </w:r>
      <w:r>
        <w:rPr>
          <w:rFonts w:hint="default" w:ascii="Times New Roman" w:hAnsi="Times New Roman" w:cs="Times New Roman"/>
          <w:spacing w:val="-4"/>
          <w:highlight w:val="none"/>
        </w:rPr>
        <w:t>。径流量根</w:t>
      </w:r>
      <w:r>
        <w:rPr>
          <w:rFonts w:hint="default" w:ascii="Times New Roman" w:hAnsi="Times New Roman" w:cs="Times New Roman"/>
          <w:spacing w:val="36"/>
          <w:highlight w:val="none"/>
        </w:rPr>
        <w:t xml:space="preserve"> </w:t>
      </w:r>
      <w:r>
        <w:rPr>
          <w:rFonts w:hint="default" w:ascii="Times New Roman" w:hAnsi="Times New Roman" w:cs="Times New Roman"/>
          <w:highlight w:val="none"/>
        </w:rPr>
        <w:t>据高滩水文站参证站径流系列按面积比，并参照坝址所在地的年面雨量进行逐年修正。</w:t>
      </w:r>
      <w:r>
        <w:rPr>
          <w:rFonts w:hint="default" w:ascii="Times New Roman" w:hAnsi="Times New Roman" w:cs="Times New Roman"/>
          <w:spacing w:val="-18"/>
          <w:highlight w:val="none"/>
        </w:rPr>
        <w:t xml:space="preserve"> </w:t>
      </w:r>
      <w:r>
        <w:rPr>
          <w:rFonts w:hint="default" w:ascii="Times New Roman" w:hAnsi="Times New Roman" w:cs="Times New Roman"/>
          <w:highlight w:val="none"/>
        </w:rPr>
        <w:t>渗漏损失、蒸发损失的量按来水量的</w:t>
      </w:r>
      <w:r>
        <w:rPr>
          <w:rFonts w:hint="default" w:ascii="Times New Roman" w:hAnsi="Times New Roman" w:cs="Times New Roman"/>
          <w:spacing w:val="-40"/>
          <w:highlight w:val="none"/>
        </w:rPr>
        <w:t xml:space="preserve"> </w:t>
      </w:r>
      <w:r>
        <w:rPr>
          <w:rFonts w:hint="default" w:ascii="Times New Roman" w:hAnsi="Times New Roman" w:eastAsia="Times New Roman" w:cs="Times New Roman"/>
          <w:highlight w:val="none"/>
        </w:rPr>
        <w:t>2%</w:t>
      </w:r>
      <w:r>
        <w:rPr>
          <w:rFonts w:hint="default" w:ascii="Times New Roman" w:hAnsi="Times New Roman" w:cs="Times New Roman"/>
          <w:highlight w:val="none"/>
        </w:rPr>
        <w:t>估算，生态用水量取值参照天竹水库进行计算，</w:t>
      </w:r>
      <w:r>
        <w:rPr>
          <w:rFonts w:hint="default" w:ascii="Times New Roman" w:hAnsi="Times New Roman" w:cs="Times New Roman"/>
          <w:spacing w:val="-100"/>
          <w:highlight w:val="none"/>
        </w:rPr>
        <w:t xml:space="preserve"> </w:t>
      </w:r>
      <w:r>
        <w:rPr>
          <w:rFonts w:hint="default" w:ascii="Times New Roman" w:hAnsi="Times New Roman" w:eastAsia="Times New Roman" w:cs="Times New Roman"/>
          <w:spacing w:val="-1"/>
          <w:highlight w:val="none"/>
        </w:rPr>
        <w:t>P=95%</w:t>
      </w:r>
      <w:r>
        <w:rPr>
          <w:rFonts w:hint="default" w:ascii="Times New Roman" w:hAnsi="Times New Roman" w:cs="Times New Roman"/>
          <w:spacing w:val="-1"/>
          <w:highlight w:val="none"/>
        </w:rPr>
        <w:t>典型年可供水量计算如下表：</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龙井溪山涧取水口</w:t>
      </w:r>
      <w:r>
        <w:rPr>
          <w:rFonts w:hint="default" w:ascii="Times New Roman" w:hAnsi="Times New Roman" w:cs="Times New Roman"/>
          <w:spacing w:val="-41"/>
          <w:highlight w:val="none"/>
        </w:rPr>
        <w:t xml:space="preserve"> </w:t>
      </w:r>
      <w:r>
        <w:rPr>
          <w:rFonts w:hint="default" w:ascii="Times New Roman" w:hAnsi="Times New Roman" w:eastAsia="Times New Roman" w:cs="Times New Roman"/>
          <w:highlight w:val="none"/>
        </w:rPr>
        <w:t>P=95%</w:t>
      </w:r>
      <w:r>
        <w:rPr>
          <w:rFonts w:hint="default" w:ascii="Times New Roman" w:hAnsi="Times New Roman" w:cs="Times New Roman"/>
          <w:highlight w:val="none"/>
        </w:rPr>
        <w:t>典型年可供水量计算表</w:t>
      </w:r>
      <w:r>
        <w:rPr>
          <w:rFonts w:hint="default" w:ascii="Times New Roman" w:hAnsi="Times New Roman" w:eastAsia="Times New Roman" w:cs="Times New Roman"/>
          <w:highlight w:val="none"/>
        </w:rPr>
        <w:t xml:space="preserve">  </w:t>
      </w:r>
      <w:r>
        <w:rPr>
          <w:rFonts w:hint="default" w:ascii="Times New Roman" w:hAnsi="Times New Roman" w:cs="Times New Roman"/>
          <w:spacing w:val="5"/>
          <w:highlight w:val="none"/>
        </w:rPr>
        <w:t>单位：万</w:t>
      </w:r>
      <w:r>
        <w:rPr>
          <w:rFonts w:hint="default" w:ascii="Times New Roman" w:hAnsi="Times New Roman" w:cs="Times New Roman"/>
          <w:spacing w:val="-4"/>
          <w:highlight w:val="none"/>
        </w:rPr>
        <w:t xml:space="preserve"> </w:t>
      </w:r>
      <w:r>
        <w:rPr>
          <w:rFonts w:hint="default" w:ascii="Times New Roman" w:hAnsi="Times New Roman" w:eastAsia="Times New Roman" w:cs="Times New Roman"/>
          <w:spacing w:val="5"/>
          <w:highlight w:val="none"/>
        </w:rPr>
        <w:t>m³</w:t>
      </w:r>
    </w:p>
    <w:tbl>
      <w:tblPr>
        <w:tblStyle w:val="31"/>
        <w:tblW w:w="9297"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855"/>
        <w:gridCol w:w="1847"/>
        <w:gridCol w:w="1862"/>
        <w:gridCol w:w="1863"/>
        <w:gridCol w:w="18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eastAsia="Times New Roman" w:cs="Times New Roman"/>
                <w:snapToGrid w:val="0"/>
                <w:color w:val="000000"/>
                <w:spacing w:val="-6"/>
                <w:szCs w:val="21"/>
                <w:highlight w:val="none"/>
              </w:rPr>
            </w:pPr>
            <w:r>
              <w:rPr>
                <w:rFonts w:hint="default" w:ascii="Times New Roman" w:hAnsi="Times New Roman" w:cs="Times New Roman" w:eastAsiaTheme="minorEastAsia"/>
                <w:snapToGrid w:val="0"/>
                <w:color w:val="000000"/>
                <w:szCs w:val="21"/>
                <w:highlight w:val="none"/>
              </w:rPr>
              <w:t>月份</w:t>
            </w:r>
          </w:p>
        </w:tc>
        <w:tc>
          <w:tcPr>
            <w:tcW w:w="1847"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cs="Times New Roman" w:eastAsiaTheme="minorEastAsia"/>
                <w:snapToGrid w:val="0"/>
                <w:color w:val="000000"/>
                <w:spacing w:val="-2"/>
                <w:szCs w:val="21"/>
                <w:highlight w:val="none"/>
              </w:rPr>
              <w:t>来水量</w:t>
            </w:r>
          </w:p>
        </w:tc>
        <w:tc>
          <w:tcPr>
            <w:tcW w:w="1862" w:type="dxa"/>
            <w:vAlign w:val="center"/>
          </w:tcPr>
          <w:p>
            <w:pPr>
              <w:pStyle w:val="19"/>
              <w:rPr>
                <w:rFonts w:hint="default" w:ascii="Times New Roman" w:hAnsi="Times New Roman" w:eastAsia="Times New Roman" w:cs="Times New Roman"/>
                <w:snapToGrid w:val="0"/>
                <w:color w:val="000000"/>
                <w:spacing w:val="-5"/>
                <w:szCs w:val="21"/>
                <w:highlight w:val="none"/>
              </w:rPr>
            </w:pPr>
            <w:r>
              <w:rPr>
                <w:rFonts w:hint="default" w:ascii="Times New Roman" w:hAnsi="Times New Roman" w:cs="Times New Roman" w:eastAsiaTheme="minorEastAsia"/>
                <w:snapToGrid w:val="0"/>
                <w:color w:val="000000"/>
                <w:spacing w:val="-2"/>
                <w:szCs w:val="21"/>
                <w:highlight w:val="none"/>
              </w:rPr>
              <w:t>蒸发渗漏量</w:t>
            </w:r>
          </w:p>
        </w:tc>
        <w:tc>
          <w:tcPr>
            <w:tcW w:w="1863"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cs="Times New Roman" w:eastAsiaTheme="minorEastAsia"/>
                <w:snapToGrid w:val="0"/>
                <w:color w:val="000000"/>
                <w:spacing w:val="-2"/>
                <w:szCs w:val="21"/>
                <w:highlight w:val="none"/>
              </w:rPr>
              <w:t>生态用水量</w:t>
            </w:r>
          </w:p>
        </w:tc>
        <w:tc>
          <w:tcPr>
            <w:tcW w:w="1870"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cs="Times New Roman" w:eastAsiaTheme="minorEastAsia"/>
                <w:snapToGrid w:val="0"/>
                <w:color w:val="000000"/>
                <w:spacing w:val="-2"/>
                <w:szCs w:val="21"/>
                <w:highlight w:val="none"/>
              </w:rPr>
              <w:t>月可供水量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855" w:type="dxa"/>
            <w:vAlign w:val="center"/>
          </w:tcPr>
          <w:p>
            <w:pPr>
              <w:pStyle w:val="19"/>
              <w:rPr>
                <w:rFonts w:hint="default" w:ascii="Times New Roman" w:hAnsi="Times New Roman" w:eastAsia="Times New Roman" w:cs="Times New Roman"/>
                <w:snapToGrid w:val="0"/>
                <w:color w:val="000000"/>
                <w:spacing w:val="-6"/>
                <w:szCs w:val="21"/>
                <w:highlight w:val="none"/>
              </w:rPr>
            </w:pPr>
            <w:r>
              <w:rPr>
                <w:rFonts w:hint="default" w:ascii="Times New Roman" w:hAnsi="Times New Roman" w:eastAsia="Times New Roman" w:cs="Times New Roman"/>
                <w:snapToGrid w:val="0"/>
                <w:color w:val="000000"/>
                <w:spacing w:val="-2"/>
                <w:szCs w:val="21"/>
                <w:highlight w:val="none"/>
              </w:rPr>
              <w:t>4</w:t>
            </w:r>
            <w:r>
              <w:rPr>
                <w:rFonts w:hint="default" w:ascii="Times New Roman" w:hAnsi="Times New Roman" w:eastAsia="Times New Roman" w:cs="Times New Roman"/>
                <w:snapToGrid w:val="0"/>
                <w:color w:val="000000"/>
                <w:spacing w:val="21"/>
                <w:w w:val="101"/>
                <w:szCs w:val="21"/>
                <w:highlight w:val="none"/>
              </w:rPr>
              <w:t xml:space="preserve"> </w:t>
            </w:r>
            <w:r>
              <w:rPr>
                <w:rFonts w:hint="default" w:ascii="Times New Roman" w:hAnsi="Times New Roman" w:cs="Times New Roman" w:eastAsiaTheme="minorEastAsia"/>
                <w:snapToGrid w:val="0"/>
                <w:color w:val="000000"/>
                <w:spacing w:val="-2"/>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eastAsia="Times New Roman" w:cs="Times New Roman"/>
                <w:snapToGrid w:val="0"/>
                <w:color w:val="000000"/>
                <w:spacing w:val="-1"/>
                <w:szCs w:val="21"/>
                <w:highlight w:val="none"/>
              </w:rPr>
              <w:t>67.33</w:t>
            </w:r>
          </w:p>
        </w:tc>
        <w:tc>
          <w:tcPr>
            <w:tcW w:w="1862" w:type="dxa"/>
            <w:vAlign w:val="center"/>
          </w:tcPr>
          <w:p>
            <w:pPr>
              <w:pStyle w:val="19"/>
              <w:rPr>
                <w:rFonts w:hint="default" w:ascii="Times New Roman" w:hAnsi="Times New Roman" w:eastAsia="Times New Roman" w:cs="Times New Roman"/>
                <w:snapToGrid w:val="0"/>
                <w:color w:val="000000"/>
                <w:spacing w:val="-5"/>
                <w:szCs w:val="21"/>
                <w:highlight w:val="none"/>
              </w:rPr>
            </w:pPr>
            <w:r>
              <w:rPr>
                <w:rFonts w:hint="default" w:ascii="Times New Roman" w:hAnsi="Times New Roman" w:eastAsia="Times New Roman" w:cs="Times New Roman"/>
                <w:snapToGrid w:val="0"/>
                <w:color w:val="000000"/>
                <w:spacing w:val="-5"/>
                <w:szCs w:val="21"/>
                <w:highlight w:val="none"/>
              </w:rPr>
              <w:t>1.35</w:t>
            </w:r>
          </w:p>
        </w:tc>
        <w:tc>
          <w:tcPr>
            <w:tcW w:w="1863"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eastAsia="Times New Roman" w:cs="Times New Roman"/>
                <w:snapToGrid w:val="0"/>
                <w:color w:val="000000"/>
                <w:w w:val="101"/>
                <w:szCs w:val="21"/>
                <w:highlight w:val="none"/>
              </w:rPr>
              <w:t>4.92</w:t>
            </w:r>
          </w:p>
        </w:tc>
        <w:tc>
          <w:tcPr>
            <w:tcW w:w="1870" w:type="dxa"/>
            <w:vAlign w:val="center"/>
          </w:tcPr>
          <w:p>
            <w:pPr>
              <w:pStyle w:val="19"/>
              <w:rPr>
                <w:rFonts w:hint="default" w:ascii="Times New Roman" w:hAnsi="Times New Roman" w:eastAsia="Times New Roman" w:cs="Times New Roman"/>
                <w:snapToGrid w:val="0"/>
                <w:color w:val="000000"/>
                <w:spacing w:val="-1"/>
                <w:szCs w:val="21"/>
                <w:highlight w:val="none"/>
              </w:rPr>
            </w:pPr>
            <w:r>
              <w:rPr>
                <w:rFonts w:hint="default" w:ascii="Times New Roman" w:hAnsi="Times New Roman" w:eastAsia="Times New Roman" w:cs="Times New Roman"/>
                <w:snapToGrid w:val="0"/>
                <w:color w:val="000000"/>
                <w:spacing w:val="-1"/>
                <w:szCs w:val="21"/>
                <w:highlight w:val="none"/>
              </w:rPr>
              <w:t>61.06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6"/>
                <w:szCs w:val="21"/>
                <w:highlight w:val="none"/>
              </w:rPr>
              <w:t>5</w:t>
            </w:r>
            <w:r>
              <w:rPr>
                <w:rFonts w:hint="default" w:ascii="Times New Roman" w:hAnsi="Times New Roman" w:eastAsia="Times New Roman" w:cs="Times New Roman"/>
                <w:snapToGrid w:val="0"/>
                <w:color w:val="000000"/>
                <w:spacing w:val="23"/>
                <w:szCs w:val="21"/>
                <w:highlight w:val="none"/>
              </w:rPr>
              <w:t xml:space="preserve"> </w:t>
            </w:r>
            <w:r>
              <w:rPr>
                <w:rFonts w:hint="default" w:ascii="Times New Roman" w:hAnsi="Times New Roman" w:cs="Times New Roman" w:eastAsiaTheme="minorEastAsia"/>
                <w:snapToGrid w:val="0"/>
                <w:color w:val="000000"/>
                <w:spacing w:val="-6"/>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73.76</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1.48</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67.20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6</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60.86</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1.22</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4.92</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54.74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zCs w:val="21"/>
                <w:highlight w:val="none"/>
              </w:rPr>
              <w:t>7</w:t>
            </w:r>
            <w:r>
              <w:rPr>
                <w:rFonts w:hint="default" w:ascii="Times New Roman" w:hAnsi="Times New Roman" w:eastAsia="Times New Roman" w:cs="Times New Roman"/>
                <w:snapToGrid w:val="0"/>
                <w:color w:val="000000"/>
                <w:spacing w:val="21"/>
                <w:w w:val="101"/>
                <w:szCs w:val="21"/>
                <w:highlight w:val="none"/>
              </w:rPr>
              <w:t xml:space="preserve"> </w:t>
            </w:r>
            <w:r>
              <w:rPr>
                <w:rFonts w:hint="default" w:ascii="Times New Roman" w:hAnsi="Times New Roman" w:cs="Times New Roman" w:eastAsiaTheme="minorEastAsia"/>
                <w:snapToGrid w:val="0"/>
                <w:color w:val="000000"/>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11.27</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0.23</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7"/>
                <w:szCs w:val="21"/>
                <w:highlight w:val="none"/>
              </w:rPr>
              <w:t>8</w:t>
            </w:r>
            <w:r>
              <w:rPr>
                <w:rFonts w:hint="default" w:ascii="Times New Roman" w:hAnsi="Times New Roman" w:eastAsia="Times New Roman" w:cs="Times New Roman"/>
                <w:snapToGrid w:val="0"/>
                <w:color w:val="000000"/>
                <w:spacing w:val="22"/>
                <w:szCs w:val="21"/>
                <w:highlight w:val="none"/>
              </w:rPr>
              <w:t xml:space="preserve"> </w:t>
            </w:r>
            <w:r>
              <w:rPr>
                <w:rFonts w:hint="default" w:ascii="Times New Roman" w:hAnsi="Times New Roman" w:cs="Times New Roman" w:eastAsiaTheme="minorEastAsia"/>
                <w:snapToGrid w:val="0"/>
                <w:color w:val="000000"/>
                <w:spacing w:val="-7"/>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30.62</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0.61</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24.92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9</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11.86</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0.24</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4.92</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10</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10.23</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0.20</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11</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16.08</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0.32</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4.92</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9"/>
                <w:szCs w:val="21"/>
                <w:highlight w:val="none"/>
              </w:rPr>
              <w:t>12</w:t>
            </w:r>
            <w:r>
              <w:rPr>
                <w:rFonts w:hint="default" w:ascii="Times New Roman" w:hAnsi="Times New Roman" w:eastAsia="Times New Roman" w:cs="Times New Roman"/>
                <w:snapToGrid w:val="0"/>
                <w:color w:val="000000"/>
                <w:spacing w:val="23"/>
                <w:w w:val="101"/>
                <w:szCs w:val="21"/>
                <w:highlight w:val="none"/>
              </w:rPr>
              <w:t xml:space="preserve"> </w:t>
            </w:r>
            <w:r>
              <w:rPr>
                <w:rFonts w:hint="default" w:ascii="Times New Roman" w:hAnsi="Times New Roman" w:cs="Times New Roman" w:eastAsiaTheme="minorEastAsia"/>
                <w:snapToGrid w:val="0"/>
                <w:color w:val="000000"/>
                <w:spacing w:val="-9"/>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2"/>
                <w:szCs w:val="21"/>
                <w:highlight w:val="none"/>
              </w:rPr>
              <w:t>8.20</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0.16</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2.94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10"/>
                <w:w w:val="98"/>
                <w:szCs w:val="21"/>
                <w:highlight w:val="none"/>
              </w:rPr>
              <w:t>1</w:t>
            </w:r>
            <w:r>
              <w:rPr>
                <w:rFonts w:hint="default" w:ascii="Times New Roman" w:hAnsi="Times New Roman" w:eastAsia="Times New Roman" w:cs="Times New Roman"/>
                <w:snapToGrid w:val="0"/>
                <w:color w:val="000000"/>
                <w:spacing w:val="23"/>
                <w:szCs w:val="21"/>
                <w:highlight w:val="none"/>
              </w:rPr>
              <w:t xml:space="preserve"> </w:t>
            </w:r>
            <w:r>
              <w:rPr>
                <w:rFonts w:hint="default" w:ascii="Times New Roman" w:hAnsi="Times New Roman" w:cs="Times New Roman" w:eastAsiaTheme="minorEastAsia"/>
                <w:snapToGrid w:val="0"/>
                <w:color w:val="000000"/>
                <w:spacing w:val="-10"/>
                <w:w w:val="98"/>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11.24</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0.22</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3"/>
                <w:szCs w:val="21"/>
                <w:highlight w:val="none"/>
              </w:rPr>
              <w:t>2</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3"/>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18.81</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0.38</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w w:val="101"/>
                <w:szCs w:val="21"/>
                <w:highlight w:val="none"/>
              </w:rPr>
              <w:t>4.60</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13.83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eastAsia="Times New Roman" w:cs="Times New Roman"/>
                <w:snapToGrid w:val="0"/>
                <w:color w:val="000000"/>
                <w:spacing w:val="-5"/>
                <w:szCs w:val="21"/>
                <w:highlight w:val="none"/>
              </w:rPr>
              <w:t>3</w:t>
            </w:r>
            <w:r>
              <w:rPr>
                <w:rFonts w:hint="default" w:ascii="Times New Roman" w:hAnsi="Times New Roman" w:eastAsia="Times New Roman" w:cs="Times New Roman"/>
                <w:snapToGrid w:val="0"/>
                <w:color w:val="000000"/>
                <w:spacing w:val="22"/>
                <w:w w:val="101"/>
                <w:szCs w:val="21"/>
                <w:highlight w:val="none"/>
              </w:rPr>
              <w:t xml:space="preserve"> </w:t>
            </w:r>
            <w:r>
              <w:rPr>
                <w:rFonts w:hint="default" w:ascii="Times New Roman" w:hAnsi="Times New Roman" w:cs="Times New Roman" w:eastAsiaTheme="minorEastAsia"/>
                <w:snapToGrid w:val="0"/>
                <w:color w:val="000000"/>
                <w:spacing w:val="-5"/>
                <w:szCs w:val="21"/>
                <w:highlight w:val="none"/>
              </w:rPr>
              <w:t>月</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17.70</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0.35</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5.09</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12.26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55" w:type="dxa"/>
            <w:vAlign w:val="center"/>
          </w:tcPr>
          <w:p>
            <w:pPr>
              <w:pStyle w:val="19"/>
              <w:rPr>
                <w:rFonts w:hint="default" w:ascii="Times New Roman" w:hAnsi="Times New Roman" w:cs="Times New Roman" w:eastAsiaTheme="minorEastAsia"/>
                <w:snapToGrid w:val="0"/>
                <w:color w:val="000000"/>
                <w:szCs w:val="21"/>
                <w:highlight w:val="none"/>
              </w:rPr>
            </w:pPr>
            <w:r>
              <w:rPr>
                <w:rFonts w:hint="default" w:ascii="Times New Roman" w:hAnsi="Times New Roman" w:cs="Times New Roman" w:eastAsiaTheme="minorEastAsia"/>
                <w:snapToGrid w:val="0"/>
                <w:color w:val="000000"/>
                <w:spacing w:val="-2"/>
                <w:szCs w:val="21"/>
                <w:highlight w:val="none"/>
              </w:rPr>
              <w:t>全年</w:t>
            </w:r>
          </w:p>
        </w:tc>
        <w:tc>
          <w:tcPr>
            <w:tcW w:w="1847"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337.95</w:t>
            </w:r>
          </w:p>
        </w:tc>
        <w:tc>
          <w:tcPr>
            <w:tcW w:w="1862"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6.76</w:t>
            </w:r>
          </w:p>
        </w:tc>
        <w:tc>
          <w:tcPr>
            <w:tcW w:w="1863"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pacing w:val="-1"/>
                <w:szCs w:val="21"/>
                <w:highlight w:val="none"/>
              </w:rPr>
              <w:t>59.92</w:t>
            </w:r>
          </w:p>
        </w:tc>
        <w:tc>
          <w:tcPr>
            <w:tcW w:w="1870" w:type="dxa"/>
            <w:vAlign w:val="center"/>
          </w:tcPr>
          <w:p>
            <w:pPr>
              <w:pStyle w:val="19"/>
              <w:rPr>
                <w:rFonts w:hint="default" w:ascii="Times New Roman" w:hAnsi="Times New Roman" w:eastAsia="Times New Roman" w:cs="Times New Roman"/>
                <w:snapToGrid w:val="0"/>
                <w:color w:val="000000"/>
                <w:szCs w:val="21"/>
                <w:highlight w:val="none"/>
              </w:rPr>
            </w:pPr>
            <w:r>
              <w:rPr>
                <w:rFonts w:hint="default" w:ascii="Times New Roman" w:hAnsi="Times New Roman" w:eastAsia="Times New Roman" w:cs="Times New Roman"/>
                <w:snapToGrid w:val="0"/>
                <w:color w:val="000000"/>
                <w:szCs w:val="21"/>
                <w:highlight w:val="none"/>
              </w:rPr>
              <w:t>271.29</w:t>
            </w:r>
          </w:p>
        </w:tc>
      </w:tr>
    </w:tbl>
    <w:p>
      <w:pPr>
        <w:pStyle w:val="19"/>
        <w:rPr>
          <w:rFonts w:hint="default" w:ascii="Times New Roman" w:hAnsi="Times New Roman" w:cs="Times New Roman"/>
          <w:highlight w:val="none"/>
        </w:rPr>
      </w:pPr>
      <w:r>
        <w:rPr>
          <w:rFonts w:hint="default" w:ascii="Times New Roman" w:hAnsi="Times New Roman" w:cs="Times New Roman"/>
          <w:highlight w:val="none"/>
          <w:lang w:val="en-US"/>
        </w:rPr>
        <w:drawing>
          <wp:inline distT="0" distB="0" distL="0" distR="0">
            <wp:extent cx="5236845" cy="2755900"/>
            <wp:effectExtent l="0" t="0" r="1905"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236845" cy="2755900"/>
                    </a:xfrm>
                    <a:prstGeom prst="rect">
                      <a:avLst/>
                    </a:prstGeom>
                    <a:noFill/>
                  </pic:spPr>
                </pic:pic>
              </a:graphicData>
            </a:graphic>
          </wp:inline>
        </w:drawing>
      </w:r>
    </w:p>
    <w:p>
      <w:pPr>
        <w:pStyle w:val="22"/>
        <w:numPr>
          <w:ilvl w:val="6"/>
          <w:numId w:val="0"/>
        </w:numPr>
        <w:bidi w:val="0"/>
        <w:ind w:leftChars="0"/>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图4.3-4  </w:t>
      </w:r>
      <w:r>
        <w:rPr>
          <w:rFonts w:hint="default" w:ascii="Times New Roman" w:hAnsi="Times New Roman" w:cs="Times New Roman"/>
          <w:highlight w:val="none"/>
        </w:rPr>
        <w:t>龙井溪山涧取水口 P=95%典型年水量统计图</w:t>
      </w:r>
    </w:p>
    <w:p>
      <w:pPr>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cs="Times New Roman"/>
          <w:spacing w:val="-4"/>
          <w:szCs w:val="24"/>
          <w:highlight w:val="none"/>
        </w:rPr>
      </w:pPr>
      <w:r>
        <w:rPr>
          <w:rFonts w:hint="default" w:ascii="Times New Roman" w:hAnsi="Times New Roman" w:cs="Times New Roman"/>
          <w:spacing w:val="-1"/>
          <w:szCs w:val="24"/>
          <w:highlight w:val="none"/>
        </w:rPr>
        <w:t>龙井溪山涧取水口在</w:t>
      </w:r>
      <w:r>
        <w:rPr>
          <w:rFonts w:hint="default" w:ascii="Times New Roman" w:hAnsi="Times New Roman" w:cs="Times New Roman"/>
          <w:spacing w:val="-49"/>
          <w:szCs w:val="24"/>
          <w:highlight w:val="none"/>
        </w:rPr>
        <w:t xml:space="preserve"> </w:t>
      </w:r>
      <w:r>
        <w:rPr>
          <w:rFonts w:hint="default" w:ascii="Times New Roman" w:hAnsi="Times New Roman" w:eastAsia="Times New Roman" w:cs="Times New Roman"/>
          <w:spacing w:val="-1"/>
          <w:szCs w:val="24"/>
          <w:highlight w:val="none"/>
        </w:rPr>
        <w:t>P=95%</w:t>
      </w:r>
      <w:r>
        <w:rPr>
          <w:rFonts w:hint="default" w:ascii="Times New Roman" w:hAnsi="Times New Roman" w:cs="Times New Roman"/>
          <w:spacing w:val="-1"/>
          <w:szCs w:val="24"/>
          <w:highlight w:val="none"/>
        </w:rPr>
        <w:t>保证率下，年可供水量为</w:t>
      </w:r>
      <w:r>
        <w:rPr>
          <w:rFonts w:hint="default" w:ascii="Times New Roman" w:hAnsi="Times New Roman" w:cs="Times New Roman"/>
          <w:spacing w:val="-56"/>
          <w:szCs w:val="24"/>
          <w:highlight w:val="none"/>
        </w:rPr>
        <w:t xml:space="preserve"> </w:t>
      </w:r>
      <w:r>
        <w:rPr>
          <w:rFonts w:hint="default" w:ascii="Times New Roman" w:hAnsi="Times New Roman" w:eastAsia="Times New Roman" w:cs="Times New Roman"/>
          <w:spacing w:val="-1"/>
          <w:szCs w:val="24"/>
          <w:highlight w:val="none"/>
        </w:rPr>
        <w:t>271.29</w:t>
      </w:r>
      <w:r>
        <w:rPr>
          <w:rFonts w:hint="default" w:ascii="Times New Roman" w:hAnsi="Times New Roman" w:cs="Times New Roman"/>
          <w:spacing w:val="-1"/>
          <w:szCs w:val="24"/>
          <w:highlight w:val="none"/>
        </w:rPr>
        <w:t>万</w:t>
      </w:r>
      <w:r>
        <w:rPr>
          <w:rFonts w:hint="default" w:ascii="Times New Roman" w:hAnsi="Times New Roman" w:cs="Times New Roman"/>
          <w:spacing w:val="-58"/>
          <w:szCs w:val="24"/>
          <w:highlight w:val="none"/>
        </w:rPr>
        <w:t xml:space="preserve"> </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spacing w:val="-1"/>
          <w:szCs w:val="24"/>
          <w:highlight w:val="none"/>
        </w:rPr>
        <w:t>，日平均可供水</w:t>
      </w:r>
      <w:r>
        <w:rPr>
          <w:rFonts w:hint="default" w:ascii="Times New Roman" w:hAnsi="Times New Roman" w:cs="Times New Roman"/>
          <w:spacing w:val="-2"/>
          <w:szCs w:val="24"/>
          <w:highlight w:val="none"/>
        </w:rPr>
        <w:t>量为</w:t>
      </w:r>
      <w:r>
        <w:rPr>
          <w:rFonts w:hint="default" w:ascii="Times New Roman" w:hAnsi="Times New Roman" w:eastAsia="Times New Roman" w:cs="Times New Roman"/>
          <w:spacing w:val="-2"/>
          <w:szCs w:val="24"/>
          <w:highlight w:val="none"/>
        </w:rPr>
        <w:t>0.74</w:t>
      </w:r>
      <w:r>
        <w:rPr>
          <w:rFonts w:hint="default" w:ascii="Times New Roman" w:hAnsi="Times New Roman" w:cs="Times New Roman"/>
          <w:spacing w:val="-2"/>
          <w:szCs w:val="24"/>
          <w:highlight w:val="none"/>
        </w:rPr>
        <w:t>万</w:t>
      </w:r>
      <w:r>
        <w:rPr>
          <w:rFonts w:hint="default" w:ascii="Times New Roman" w:hAnsi="Times New Roman" w:cs="Times New Roman"/>
          <w:spacing w:val="-43"/>
          <w:szCs w:val="24"/>
          <w:highlight w:val="none"/>
        </w:rPr>
        <w:t xml:space="preserve"> </w:t>
      </w:r>
      <w:r>
        <w:rPr>
          <w:rFonts w:hint="default" w:ascii="Times New Roman" w:hAnsi="Times New Roman" w:eastAsia="Times New Roman" w:cs="Times New Roman"/>
          <w:spacing w:val="-2"/>
          <w:szCs w:val="24"/>
          <w:highlight w:val="none"/>
        </w:rPr>
        <w:t>m³</w:t>
      </w:r>
      <w:r>
        <w:rPr>
          <w:rFonts w:hint="default" w:ascii="Times New Roman" w:hAnsi="Times New Roman" w:cs="Times New Roman"/>
          <w:spacing w:val="-2"/>
          <w:szCs w:val="24"/>
          <w:highlight w:val="none"/>
        </w:rPr>
        <w:t>。西阳水厂供水日变化系数取</w:t>
      </w:r>
      <w:r>
        <w:rPr>
          <w:rFonts w:hint="default" w:ascii="Times New Roman" w:hAnsi="Times New Roman" w:eastAsia="Times New Roman" w:cs="Times New Roman"/>
          <w:spacing w:val="-2"/>
          <w:szCs w:val="24"/>
          <w:highlight w:val="none"/>
        </w:rPr>
        <w:t>1.50</w:t>
      </w:r>
      <w:r>
        <w:rPr>
          <w:rFonts w:hint="default" w:ascii="Times New Roman" w:hAnsi="Times New Roman" w:cs="Times New Roman"/>
          <w:spacing w:val="-2"/>
          <w:szCs w:val="24"/>
          <w:highlight w:val="none"/>
        </w:rPr>
        <w:t>，水厂自用水和原水输水管道渗漏损</w:t>
      </w:r>
      <w:r>
        <w:rPr>
          <w:rFonts w:hint="default" w:ascii="Times New Roman" w:hAnsi="Times New Roman" w:cs="Times New Roman"/>
          <w:spacing w:val="-100"/>
          <w:szCs w:val="24"/>
          <w:highlight w:val="none"/>
        </w:rPr>
        <w:t xml:space="preserve"> </w:t>
      </w:r>
      <w:r>
        <w:rPr>
          <w:rFonts w:hint="default" w:ascii="Times New Roman" w:hAnsi="Times New Roman" w:cs="Times New Roman"/>
          <w:spacing w:val="-4"/>
          <w:szCs w:val="24"/>
          <w:highlight w:val="none"/>
        </w:rPr>
        <w:t>失按</w:t>
      </w:r>
      <w:r>
        <w:rPr>
          <w:rFonts w:hint="default" w:ascii="Times New Roman" w:hAnsi="Times New Roman" w:cs="Times New Roman"/>
          <w:spacing w:val="-16"/>
          <w:szCs w:val="24"/>
          <w:highlight w:val="none"/>
        </w:rPr>
        <w:t xml:space="preserve"> </w:t>
      </w:r>
      <w:r>
        <w:rPr>
          <w:rFonts w:hint="default" w:ascii="Times New Roman" w:hAnsi="Times New Roman" w:eastAsia="Times New Roman" w:cs="Times New Roman"/>
          <w:spacing w:val="-4"/>
          <w:szCs w:val="24"/>
          <w:highlight w:val="none"/>
        </w:rPr>
        <w:t>10%</w:t>
      </w:r>
      <w:r>
        <w:rPr>
          <w:rFonts w:hint="default" w:ascii="Times New Roman" w:hAnsi="Times New Roman" w:cs="Times New Roman"/>
          <w:spacing w:val="-4"/>
          <w:szCs w:val="24"/>
          <w:highlight w:val="none"/>
        </w:rPr>
        <w:t>估算，可供建水厂</w:t>
      </w:r>
      <w:r>
        <w:rPr>
          <w:rFonts w:hint="default" w:ascii="Times New Roman" w:hAnsi="Times New Roman" w:eastAsia="Times New Roman" w:cs="Times New Roman"/>
          <w:spacing w:val="-4"/>
          <w:szCs w:val="24"/>
          <w:highlight w:val="none"/>
        </w:rPr>
        <w:t>10000m³/d</w:t>
      </w:r>
      <w:r>
        <w:rPr>
          <w:rFonts w:hint="default" w:ascii="Times New Roman" w:hAnsi="Times New Roman" w:eastAsia="Times New Roman" w:cs="Times New Roman"/>
          <w:spacing w:val="-11"/>
          <w:szCs w:val="24"/>
          <w:highlight w:val="none"/>
        </w:rPr>
        <w:t xml:space="preserve"> </w:t>
      </w:r>
      <w:r>
        <w:rPr>
          <w:rFonts w:hint="default" w:ascii="Times New Roman" w:hAnsi="Times New Roman" w:cs="Times New Roman"/>
          <w:spacing w:val="-4"/>
          <w:szCs w:val="24"/>
          <w:highlight w:val="none"/>
        </w:rPr>
        <w:t>。</w:t>
      </w:r>
    </w:p>
    <w:p>
      <w:pPr>
        <w:spacing w:before="32" w:line="309" w:lineRule="auto"/>
        <w:ind w:left="129" w:right="117" w:firstLine="480"/>
        <w:rPr>
          <w:rFonts w:hint="default" w:ascii="Times New Roman" w:hAnsi="Times New Roman" w:cs="Times New Roman"/>
          <w:spacing w:val="-4"/>
          <w:szCs w:val="24"/>
          <w:highlight w:val="none"/>
        </w:rPr>
      </w:pPr>
      <w:r>
        <w:rPr>
          <w:rFonts w:hint="default" w:ascii="Times New Roman" w:hAnsi="Times New Roman" w:cs="Times New Roman"/>
          <w:highlight w:val="none"/>
        </w:rPr>
        <w:t>（3）供水情况预测结果</w:t>
      </w:r>
    </w:p>
    <w:p>
      <w:pPr>
        <w:spacing w:before="32" w:line="309" w:lineRule="auto"/>
        <w:ind w:left="129" w:right="117" w:firstLine="464"/>
        <w:rPr>
          <w:rFonts w:hint="default" w:ascii="Times New Roman" w:hAnsi="Times New Roman" w:cs="Times New Roman"/>
          <w:szCs w:val="24"/>
          <w:highlight w:val="none"/>
        </w:rPr>
      </w:pPr>
      <w:r>
        <w:rPr>
          <w:rFonts w:hint="default" w:ascii="Times New Roman" w:hAnsi="Times New Roman" w:cs="Times New Roman"/>
          <w:spacing w:val="-4"/>
          <w:szCs w:val="24"/>
          <w:highlight w:val="none"/>
        </w:rPr>
        <w:t>根据</w:t>
      </w:r>
      <w:r>
        <w:rPr>
          <w:rFonts w:hint="default" w:ascii="Times New Roman" w:hAnsi="Times New Roman" w:cs="Times New Roman"/>
          <w:spacing w:val="-4"/>
          <w:szCs w:val="24"/>
          <w:highlight w:val="none"/>
          <w:lang w:eastAsia="zh-CN"/>
        </w:rPr>
        <w:t>上安水库</w:t>
      </w:r>
      <w:r>
        <w:rPr>
          <w:rFonts w:hint="default" w:ascii="Times New Roman" w:hAnsi="Times New Roman" w:cs="Times New Roman"/>
          <w:spacing w:val="-4"/>
          <w:szCs w:val="24"/>
          <w:highlight w:val="none"/>
        </w:rPr>
        <w:t>、天竹水库和西阳村龙井溪山涧取水口可供水量计算，分别日平均取 水量0.24万m³、0.1万m³和0.74万m³。规划管阳水厂和西阳水厂供水日变化系数1.50，水厂自用水和原水管道渗流损失按10%估算，</w:t>
      </w:r>
      <w:r>
        <w:rPr>
          <w:rFonts w:hint="default" w:ascii="Times New Roman" w:hAnsi="Times New Roman" w:cs="Times New Roman"/>
          <w:spacing w:val="-4"/>
          <w:szCs w:val="24"/>
          <w:highlight w:val="none"/>
          <w:lang w:eastAsia="zh-CN"/>
        </w:rPr>
        <w:t>上安水库</w:t>
      </w:r>
      <w:r>
        <w:rPr>
          <w:rFonts w:hint="default" w:ascii="Times New Roman" w:hAnsi="Times New Roman" w:cs="Times New Roman"/>
          <w:spacing w:val="-4"/>
          <w:szCs w:val="24"/>
          <w:highlight w:val="none"/>
        </w:rPr>
        <w:t>可供建3272.7t/d，天竹水库和龙 井溪山涧取水口可供建11363.6t/d，满足</w:t>
      </w:r>
      <w:r>
        <w:rPr>
          <w:rFonts w:hint="default" w:ascii="Times New Roman" w:hAnsi="Times New Roman" w:cs="Times New Roman"/>
          <w:spacing w:val="-4"/>
          <w:szCs w:val="24"/>
          <w:highlight w:val="none"/>
          <w:lang w:eastAsia="zh-CN"/>
        </w:rPr>
        <w:t>上安水库</w:t>
      </w:r>
      <w:r>
        <w:rPr>
          <w:rFonts w:hint="default" w:ascii="Times New Roman" w:hAnsi="Times New Roman" w:cs="Times New Roman"/>
          <w:spacing w:val="-4"/>
          <w:szCs w:val="24"/>
          <w:highlight w:val="none"/>
        </w:rPr>
        <w:t xml:space="preserve"> 3000t/d 和西阳水厂3000t/d规模的取水要求。</w:t>
      </w:r>
    </w:p>
    <w:p>
      <w:pPr>
        <w:pStyle w:val="5"/>
        <w:numPr>
          <w:ilvl w:val="3"/>
          <w:numId w:val="5"/>
        </w:numPr>
        <w:tabs>
          <w:tab w:val="left" w:pos="420"/>
        </w:tabs>
        <w:rPr>
          <w:rFonts w:hint="default" w:ascii="Times New Roman" w:hAnsi="Times New Roman" w:cs="Times New Roman"/>
          <w:highlight w:val="none"/>
          <w:lang w:val="en-US"/>
        </w:rPr>
      </w:pPr>
      <w:r>
        <w:rPr>
          <w:rFonts w:hint="default" w:ascii="Times New Roman" w:hAnsi="Times New Roman" w:cs="Times New Roman"/>
          <w:highlight w:val="none"/>
          <w:lang w:val="en-US"/>
        </w:rPr>
        <w:t>水文情势变化影响分析</w:t>
      </w:r>
    </w:p>
    <w:p>
      <w:pPr>
        <w:ind w:firstLine="480"/>
        <w:rPr>
          <w:rFonts w:hint="default" w:ascii="Times New Roman" w:hAnsi="Times New Roman" w:cs="Times New Roman"/>
          <w:highlight w:val="none"/>
        </w:rPr>
      </w:pPr>
      <w:r>
        <w:rPr>
          <w:rFonts w:hint="default" w:ascii="Times New Roman" w:hAnsi="Times New Roman" w:cs="Times New Roman"/>
          <w:highlight w:val="none"/>
        </w:rPr>
        <w:t>（1）取水对下游径流量的影响</w:t>
      </w:r>
    </w:p>
    <w:p>
      <w:pPr>
        <w:ind w:firstLine="480"/>
        <w:rPr>
          <w:rFonts w:hint="default" w:ascii="Times New Roman" w:hAnsi="Times New Roman" w:cs="Times New Roman"/>
          <w:spacing w:val="-11"/>
          <w:szCs w:val="24"/>
          <w:highlight w:val="none"/>
        </w:rPr>
      </w:pPr>
      <w:r>
        <w:rPr>
          <w:rFonts w:hint="default" w:ascii="Times New Roman" w:hAnsi="Times New Roman" w:cs="Times New Roman"/>
          <w:szCs w:val="24"/>
          <w:highlight w:val="none"/>
        </w:rPr>
        <w:t>本项目取水工程取水水源</w:t>
      </w:r>
      <w:r>
        <w:rPr>
          <w:rFonts w:hint="default" w:ascii="Times New Roman" w:hAnsi="Times New Roman" w:cs="Times New Roman"/>
          <w:highlight w:val="none"/>
        </w:rPr>
        <w:t>上安水库、天竹水库和</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下游最终均汇入管阳溪，管阳溪属交溪水系，发源于柘荣县乍洋，在福鼎市管阳东家山入境，流经管阳、广化、乾头，至管阳储楼出境</w:t>
      </w:r>
      <w:r>
        <w:rPr>
          <w:rFonts w:hint="default" w:ascii="Times New Roman" w:hAnsi="Times New Roman" w:cs="Times New Roman"/>
          <w:spacing w:val="-11"/>
          <w:szCs w:val="24"/>
          <w:highlight w:val="none"/>
          <w:lang w:eastAsia="zh-CN"/>
        </w:rPr>
        <w:t>，</w:t>
      </w:r>
      <w:r>
        <w:rPr>
          <w:rFonts w:hint="default" w:ascii="Times New Roman" w:hAnsi="Times New Roman" w:cs="Times New Roman"/>
          <w:spacing w:val="-11"/>
          <w:szCs w:val="24"/>
          <w:highlight w:val="none"/>
        </w:rPr>
        <w:t>汇入福安市交溪。该溪流域面积125km</w:t>
      </w:r>
      <w:r>
        <w:rPr>
          <w:rFonts w:hint="default" w:ascii="Times New Roman" w:hAnsi="Times New Roman" w:cs="Times New Roman"/>
          <w:spacing w:val="-11"/>
          <w:szCs w:val="24"/>
          <w:highlight w:val="none"/>
          <w:vertAlign w:val="superscript"/>
        </w:rPr>
        <w:t>2</w:t>
      </w:r>
      <w:r>
        <w:rPr>
          <w:rFonts w:hint="default" w:ascii="Times New Roman" w:hAnsi="Times New Roman" w:cs="Times New Roman"/>
          <w:spacing w:val="-11"/>
          <w:szCs w:val="24"/>
          <w:highlight w:val="none"/>
        </w:rPr>
        <w:t>，主河道29.7km，河道比降9.14‰，多年平均径流量1.774 亿m</w:t>
      </w:r>
      <w:r>
        <w:rPr>
          <w:rFonts w:hint="default" w:ascii="Times New Roman" w:hAnsi="Times New Roman" w:cs="Times New Roman"/>
          <w:spacing w:val="-11"/>
          <w:szCs w:val="24"/>
          <w:highlight w:val="none"/>
          <w:vertAlign w:val="superscript"/>
        </w:rPr>
        <w:t>3</w:t>
      </w:r>
      <w:r>
        <w:rPr>
          <w:rFonts w:hint="default" w:ascii="Times New Roman" w:hAnsi="Times New Roman" w:cs="Times New Roman"/>
          <w:spacing w:val="-11"/>
          <w:szCs w:val="24"/>
          <w:highlight w:val="none"/>
        </w:rPr>
        <w:t>，多年平均流量5.63m</w:t>
      </w:r>
      <w:r>
        <w:rPr>
          <w:rFonts w:hint="default" w:ascii="Times New Roman" w:hAnsi="Times New Roman" w:cs="Times New Roman"/>
          <w:spacing w:val="-11"/>
          <w:szCs w:val="24"/>
          <w:highlight w:val="none"/>
          <w:vertAlign w:val="superscript"/>
        </w:rPr>
        <w:t>3</w:t>
      </w:r>
      <w:r>
        <w:rPr>
          <w:rFonts w:hint="default" w:ascii="Times New Roman" w:hAnsi="Times New Roman" w:cs="Times New Roman"/>
          <w:spacing w:val="-11"/>
          <w:szCs w:val="24"/>
          <w:highlight w:val="none"/>
        </w:rPr>
        <w:t>/s。</w:t>
      </w:r>
    </w:p>
    <w:p>
      <w:pPr>
        <w:ind w:firstLine="436"/>
        <w:rPr>
          <w:rFonts w:hint="default" w:ascii="Times New Roman" w:hAnsi="Times New Roman" w:cs="Times New Roman"/>
          <w:highlight w:val="none"/>
          <w:lang w:val="en-US"/>
        </w:rPr>
      </w:pPr>
      <w:r>
        <w:rPr>
          <w:rFonts w:hint="default" w:ascii="Times New Roman" w:hAnsi="Times New Roman" w:cs="Times New Roman"/>
          <w:spacing w:val="-11"/>
          <w:szCs w:val="24"/>
          <w:highlight w:val="none"/>
        </w:rPr>
        <w:t>本项目管阳水厂从</w:t>
      </w:r>
      <w:r>
        <w:rPr>
          <w:rFonts w:hint="default" w:ascii="Times New Roman" w:hAnsi="Times New Roman" w:cs="Times New Roman"/>
          <w:highlight w:val="none"/>
          <w:lang w:val="en-US"/>
        </w:rPr>
        <w:t>上安水库取水3300m³/d(0.038m³/s)，上安水库多年平均径流量为0.1m³/s，则</w:t>
      </w:r>
      <w:r>
        <w:rPr>
          <w:rFonts w:hint="default" w:ascii="Times New Roman" w:hAnsi="Times New Roman" w:cs="Times New Roman"/>
          <w:spacing w:val="-1"/>
          <w:szCs w:val="24"/>
          <w:highlight w:val="none"/>
          <w:lang w:val="en-US"/>
        </w:rPr>
        <w:t>取水量</w:t>
      </w:r>
      <w:r>
        <w:rPr>
          <w:rFonts w:hint="default" w:ascii="Times New Roman" w:hAnsi="Times New Roman" w:cs="Times New Roman"/>
          <w:highlight w:val="none"/>
          <w:lang w:val="en-US"/>
        </w:rPr>
        <w:t>占上安水库多年平均流量的55%；西阳水厂主要从</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w:t>
      </w:r>
      <w:r>
        <w:rPr>
          <w:rFonts w:hint="default" w:ascii="Times New Roman" w:hAnsi="Times New Roman" w:cs="Times New Roman"/>
          <w:highlight w:val="none"/>
          <w:lang w:val="en-US"/>
        </w:rPr>
        <w:t>天竹水库作为补充</w:t>
      </w:r>
      <w:r>
        <w:rPr>
          <w:rFonts w:hint="default" w:ascii="Times New Roman" w:hAnsi="Times New Roman" w:cs="Times New Roman"/>
          <w:spacing w:val="-11"/>
          <w:szCs w:val="24"/>
          <w:highlight w:val="none"/>
        </w:rPr>
        <w:t>）取水3850</w:t>
      </w:r>
      <w:r>
        <w:rPr>
          <w:rFonts w:hint="default" w:ascii="Times New Roman" w:hAnsi="Times New Roman" w:cs="Times New Roman"/>
          <w:highlight w:val="none"/>
          <w:lang w:val="en-US"/>
        </w:rPr>
        <w:t>m³/d(0.044m³/s)，</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highlight w:val="none"/>
          <w:lang w:val="en-US"/>
        </w:rPr>
        <w:t>多年平均径流量为0.19m³/s，则</w:t>
      </w:r>
      <w:r>
        <w:rPr>
          <w:rFonts w:hint="default" w:ascii="Times New Roman" w:hAnsi="Times New Roman" w:cs="Times New Roman"/>
          <w:spacing w:val="-1"/>
          <w:szCs w:val="24"/>
          <w:highlight w:val="none"/>
          <w:lang w:val="en-US"/>
        </w:rPr>
        <w:t>取水量</w:t>
      </w:r>
      <w:r>
        <w:rPr>
          <w:rFonts w:hint="default" w:ascii="Times New Roman" w:hAnsi="Times New Roman" w:cs="Times New Roman"/>
          <w:highlight w:val="none"/>
          <w:lang w:val="en-US"/>
        </w:rPr>
        <w:t>占</w:t>
      </w:r>
      <w:r>
        <w:rPr>
          <w:rFonts w:hint="default" w:ascii="Times New Roman" w:hAnsi="Times New Roman" w:cs="Times New Roman"/>
          <w:spacing w:val="-11"/>
          <w:szCs w:val="24"/>
          <w:highlight w:val="none"/>
        </w:rPr>
        <w:t>井溪山涧水</w:t>
      </w:r>
      <w:r>
        <w:rPr>
          <w:rFonts w:hint="default" w:ascii="Times New Roman" w:hAnsi="Times New Roman" w:cs="Times New Roman"/>
          <w:highlight w:val="none"/>
          <w:lang w:val="en-US"/>
        </w:rPr>
        <w:t>多年平均流量的23%。本项目取水工程总取水量7150  m³/d(0.082m³/s)，管阳溪多年平均径流量为5.63m³/s，则本项目工程</w:t>
      </w:r>
      <w:r>
        <w:rPr>
          <w:rFonts w:hint="default" w:ascii="Times New Roman" w:hAnsi="Times New Roman" w:cs="Times New Roman"/>
          <w:spacing w:val="-1"/>
          <w:szCs w:val="24"/>
          <w:highlight w:val="none"/>
          <w:lang w:val="en-US"/>
        </w:rPr>
        <w:t>取水量</w:t>
      </w:r>
      <w:r>
        <w:rPr>
          <w:rFonts w:hint="default" w:ascii="Times New Roman" w:hAnsi="Times New Roman" w:cs="Times New Roman"/>
          <w:highlight w:val="none"/>
          <w:lang w:val="en-US"/>
        </w:rPr>
        <w:t>占管阳溪多年平均流量的1.5%。</w:t>
      </w:r>
    </w:p>
    <w:p>
      <w:pPr>
        <w:ind w:firstLine="480"/>
        <w:rPr>
          <w:rFonts w:hint="default" w:ascii="Times New Roman" w:hAnsi="Times New Roman" w:cs="Times New Roman"/>
          <w:highlight w:val="none"/>
          <w:lang w:val="en-US"/>
        </w:rPr>
      </w:pPr>
      <w:r>
        <w:rPr>
          <w:rFonts w:hint="default" w:ascii="Times New Roman" w:hAnsi="Times New Roman" w:cs="Times New Roman"/>
          <w:highlight w:val="none"/>
          <w:lang w:val="en-US"/>
        </w:rPr>
        <w:t>根据章边自建立之初的运行管理模式可知，</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rPr>
        <w:t>的下泄流量由基础生态流量+弃水两部分组成。根据表4.3-4中，P=95%极端枯水年的预测情况可知，</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rPr>
        <w:t>下泄流量随季节变化较大，根据降雨情况，可能的下泄流量从基础生态流量0.064m³/s至雨水充沛时期的十几立方米每秒不等。</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rPr>
        <w:t>仅在4、5、6、8四个月会产生弃水量，其余八个月不产生弃水量，此月份管阳水厂取水仅改变水库正常高水位，对下游水量影响较小。</w:t>
      </w:r>
    </w:p>
    <w:p>
      <w:pPr>
        <w:ind w:firstLine="480"/>
        <w:rPr>
          <w:rFonts w:hint="default" w:ascii="Times New Roman" w:hAnsi="Times New Roman" w:cs="Times New Roman"/>
          <w:kern w:val="2"/>
          <w:szCs w:val="24"/>
          <w:highlight w:val="none"/>
          <w:lang w:val="en-US"/>
        </w:rPr>
      </w:pPr>
      <w:r>
        <w:rPr>
          <w:rFonts w:hint="default" w:ascii="Times New Roman" w:hAnsi="Times New Roman" w:cs="Times New Roman"/>
          <w:highlight w:val="none"/>
          <w:lang w:val="en-US"/>
        </w:rPr>
        <w:t>根据表4.3-6，</w:t>
      </w:r>
      <w:r>
        <w:rPr>
          <w:rFonts w:hint="default" w:ascii="Times New Roman" w:hAnsi="Times New Roman" w:cs="Times New Roman"/>
          <w:spacing w:val="-1"/>
          <w:szCs w:val="24"/>
          <w:highlight w:val="none"/>
        </w:rPr>
        <w:t>龙井溪山涧取水口在</w:t>
      </w:r>
      <w:r>
        <w:rPr>
          <w:rFonts w:hint="default" w:ascii="Times New Roman" w:hAnsi="Times New Roman" w:cs="Times New Roman"/>
          <w:spacing w:val="-49"/>
          <w:szCs w:val="24"/>
          <w:highlight w:val="none"/>
        </w:rPr>
        <w:t xml:space="preserve"> </w:t>
      </w:r>
      <w:r>
        <w:rPr>
          <w:rFonts w:hint="default" w:ascii="Times New Roman" w:hAnsi="Times New Roman" w:eastAsia="Times New Roman" w:cs="Times New Roman"/>
          <w:spacing w:val="-1"/>
          <w:szCs w:val="24"/>
          <w:highlight w:val="none"/>
        </w:rPr>
        <w:t>P=95%</w:t>
      </w:r>
      <w:r>
        <w:rPr>
          <w:rFonts w:hint="default" w:ascii="Times New Roman" w:hAnsi="Times New Roman" w:cs="Times New Roman"/>
          <w:spacing w:val="-1"/>
          <w:szCs w:val="24"/>
          <w:highlight w:val="none"/>
        </w:rPr>
        <w:t>保证率下，</w:t>
      </w:r>
      <w:r>
        <w:rPr>
          <w:rFonts w:hint="default" w:ascii="Times New Roman" w:hAnsi="Times New Roman" w:cs="Times New Roman"/>
          <w:spacing w:val="-11"/>
          <w:szCs w:val="24"/>
          <w:highlight w:val="none"/>
        </w:rPr>
        <w:t>在项目建设前下泄量为331.21万</w:t>
      </w:r>
      <w:r>
        <w:rPr>
          <w:rFonts w:hint="default" w:ascii="Times New Roman" w:hAnsi="Times New Roman" w:eastAsia="Times New Roman" w:cs="Times New Roman"/>
          <w:spacing w:val="-1"/>
          <w:szCs w:val="24"/>
          <w:highlight w:val="none"/>
        </w:rPr>
        <w:t xml:space="preserve"> m³</w:t>
      </w:r>
      <w:r>
        <w:rPr>
          <w:rFonts w:hint="default" w:ascii="Times New Roman" w:hAnsi="Times New Roman" w:cs="Times New Roman" w:eastAsiaTheme="minorEastAsia"/>
          <w:spacing w:val="-1"/>
          <w:szCs w:val="24"/>
          <w:highlight w:val="none"/>
        </w:rPr>
        <w:t>/a，项目建成后取水量为140.525万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eastAsiaTheme="minorEastAsia"/>
          <w:spacing w:val="-1"/>
          <w:szCs w:val="24"/>
          <w:highlight w:val="none"/>
        </w:rPr>
        <w:t>/a，</w:t>
      </w:r>
      <w:r>
        <w:rPr>
          <w:rFonts w:hint="default" w:ascii="Times New Roman" w:hAnsi="Times New Roman" w:cs="Times New Roman"/>
          <w:spacing w:val="-1"/>
          <w:szCs w:val="24"/>
          <w:highlight w:val="none"/>
        </w:rPr>
        <w:t>龙井溪山涧取水口下泄量为190.685</w:t>
      </w:r>
      <w:r>
        <w:rPr>
          <w:rFonts w:hint="default" w:ascii="Times New Roman" w:hAnsi="Times New Roman" w:cs="Times New Roman" w:eastAsiaTheme="minorEastAsia"/>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eastAsiaTheme="minorEastAsia"/>
          <w:spacing w:val="-1"/>
          <w:szCs w:val="24"/>
          <w:highlight w:val="none"/>
        </w:rPr>
        <w:t>/a</w:t>
      </w:r>
      <w:r>
        <w:rPr>
          <w:rFonts w:hint="default" w:ascii="Times New Roman" w:hAnsi="Times New Roman" w:cs="Times New Roman"/>
          <w:spacing w:val="-1"/>
          <w:szCs w:val="24"/>
          <w:highlight w:val="none"/>
        </w:rPr>
        <w:t>，其中龙井溪山涧水</w:t>
      </w:r>
      <w:r>
        <w:rPr>
          <w:rFonts w:hint="default" w:ascii="Times New Roman" w:hAnsi="Times New Roman" w:cs="Times New Roman"/>
          <w:spacing w:val="-2"/>
          <w:highlight w:val="none"/>
        </w:rPr>
        <w:t>生态用水量59.92</w:t>
      </w:r>
      <w:r>
        <w:rPr>
          <w:rFonts w:hint="default" w:ascii="Times New Roman" w:hAnsi="Times New Roman" w:cs="Times New Roman" w:eastAsiaTheme="minorEastAsia"/>
          <w:spacing w:val="-1"/>
          <w:szCs w:val="24"/>
          <w:highlight w:val="none"/>
        </w:rPr>
        <w:t>万</w:t>
      </w:r>
      <w:r>
        <w:rPr>
          <w:rFonts w:hint="default" w:ascii="Times New Roman" w:hAnsi="Times New Roman" w:eastAsia="Times New Roman" w:cs="Times New Roman"/>
          <w:spacing w:val="-1"/>
          <w:szCs w:val="24"/>
          <w:highlight w:val="none"/>
        </w:rPr>
        <w:t>m³</w:t>
      </w:r>
      <w:r>
        <w:rPr>
          <w:rFonts w:hint="default" w:ascii="Times New Roman" w:hAnsi="Times New Roman" w:cs="Times New Roman" w:eastAsiaTheme="minorEastAsia"/>
          <w:spacing w:val="-1"/>
          <w:szCs w:val="24"/>
          <w:highlight w:val="none"/>
        </w:rPr>
        <w:t>/a，因此无论是否西阳水厂从</w:t>
      </w:r>
      <w:r>
        <w:rPr>
          <w:rFonts w:hint="default" w:ascii="Times New Roman" w:hAnsi="Times New Roman" w:cs="Times New Roman"/>
          <w:spacing w:val="-1"/>
          <w:szCs w:val="24"/>
          <w:highlight w:val="none"/>
        </w:rPr>
        <w:t>龙井溪山涧取水口取水，</w:t>
      </w:r>
      <w:r>
        <w:rPr>
          <w:rFonts w:hint="default" w:ascii="Times New Roman" w:hAnsi="Times New Roman" w:cs="Times New Roman"/>
          <w:kern w:val="2"/>
          <w:szCs w:val="24"/>
          <w:highlight w:val="none"/>
          <w:lang w:val="en-US"/>
        </w:rPr>
        <w:t>下泄水量均能满足下游河道的最小生态用水量。</w:t>
      </w:r>
    </w:p>
    <w:p>
      <w:pPr>
        <w:ind w:firstLine="480"/>
        <w:rPr>
          <w:rFonts w:hint="default" w:ascii="Times New Roman" w:hAnsi="Times New Roman" w:cs="Times New Roman"/>
          <w:highlight w:val="none"/>
          <w:lang w:val="en-US"/>
        </w:rPr>
      </w:pPr>
      <w:r>
        <w:rPr>
          <w:rFonts w:hint="default" w:ascii="Times New Roman" w:hAnsi="Times New Roman" w:cs="Times New Roman"/>
          <w:kern w:val="2"/>
          <w:szCs w:val="24"/>
          <w:highlight w:val="none"/>
          <w:lang w:val="en-US"/>
        </w:rPr>
        <w:t>项目建成后，取水工程将对</w:t>
      </w:r>
      <w:r>
        <w:rPr>
          <w:rFonts w:hint="default" w:ascii="Times New Roman" w:hAnsi="Times New Roman" w:cs="Times New Roman"/>
          <w:spacing w:val="-1"/>
          <w:szCs w:val="24"/>
          <w:highlight w:val="none"/>
        </w:rPr>
        <w:t>取水口下游径流量产生一定影响，但均能满足生态流量需求，在可接受范围内，且考虑管阳溪支流的汇入情况，该影响将进一步减小</w:t>
      </w:r>
      <w:r>
        <w:rPr>
          <w:rFonts w:hint="default" w:ascii="Times New Roman" w:hAnsi="Times New Roman" w:cs="Times New Roman"/>
          <w:color w:val="0000FF"/>
          <w:kern w:val="2"/>
          <w:szCs w:val="24"/>
          <w:highlight w:val="none"/>
          <w:lang w:val="en-US"/>
        </w:rPr>
        <w:t>。</w:t>
      </w:r>
    </w:p>
    <w:p>
      <w:pPr>
        <w:ind w:firstLine="480"/>
        <w:rPr>
          <w:rFonts w:hint="default" w:ascii="Times New Roman" w:hAnsi="Times New Roman" w:cs="Times New Roman"/>
          <w:highlight w:val="none"/>
          <w:lang w:val="en-US"/>
        </w:rPr>
      </w:pPr>
      <w:r>
        <w:rPr>
          <w:rFonts w:hint="default" w:ascii="Times New Roman" w:hAnsi="Times New Roman" w:cs="Times New Roman"/>
          <w:highlight w:val="none"/>
        </w:rPr>
        <w:t>（2）取水对下游</w:t>
      </w:r>
      <w:r>
        <w:rPr>
          <w:rFonts w:hint="default" w:ascii="Times New Roman" w:hAnsi="Times New Roman" w:cs="Times New Roman"/>
          <w:highlight w:val="none"/>
          <w:lang w:val="en-US"/>
        </w:rPr>
        <w:t>河势的影响</w:t>
      </w:r>
    </w:p>
    <w:p>
      <w:pPr>
        <w:tabs>
          <w:tab w:val="left" w:pos="0"/>
        </w:tabs>
        <w:ind w:firstLine="480"/>
        <w:rPr>
          <w:rFonts w:hint="default" w:ascii="Times New Roman" w:hAnsi="Times New Roman" w:cs="Times New Roman"/>
          <w:highlight w:val="none"/>
          <w:lang w:val="en-US"/>
        </w:rPr>
      </w:pPr>
      <w:r>
        <w:rPr>
          <w:rFonts w:hint="default" w:ascii="Times New Roman" w:hAnsi="Times New Roman" w:cs="Times New Roman"/>
          <w:highlight w:val="none"/>
          <w:lang w:val="en-US"/>
        </w:rPr>
        <w:t>在项目建设前，</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rPr>
        <w:t>仅有4个月会产生下泄量，且下泄量不大，因此管阳水厂取水对下游河道淤积情况的影响很小；西阳水厂从</w:t>
      </w:r>
      <w:r>
        <w:rPr>
          <w:rFonts w:hint="default" w:ascii="Times New Roman" w:hAnsi="Times New Roman" w:cs="Times New Roman"/>
          <w:spacing w:val="-1"/>
          <w:szCs w:val="24"/>
          <w:highlight w:val="none"/>
        </w:rPr>
        <w:t>龙井溪山涧水取水，取水量占</w:t>
      </w:r>
      <w:r>
        <w:rPr>
          <w:rFonts w:hint="default" w:ascii="Times New Roman" w:hAnsi="Times New Roman" w:cs="Times New Roman"/>
          <w:spacing w:val="-11"/>
          <w:szCs w:val="24"/>
          <w:highlight w:val="none"/>
        </w:rPr>
        <w:t>井溪山涧水</w:t>
      </w:r>
      <w:r>
        <w:rPr>
          <w:rFonts w:hint="default" w:ascii="Times New Roman" w:hAnsi="Times New Roman" w:cs="Times New Roman"/>
          <w:highlight w:val="none"/>
          <w:lang w:val="en-US"/>
        </w:rPr>
        <w:t>多年平均流量的23%，将略微减小管阳溪丰水期的山洪流量，小幅度地减少山洪冲刷带来的泥沙。</w:t>
      </w:r>
    </w:p>
    <w:p>
      <w:pPr>
        <w:ind w:firstLine="480"/>
        <w:rPr>
          <w:rFonts w:hint="default" w:ascii="Times New Roman" w:hAnsi="Times New Roman" w:cs="Times New Roman"/>
          <w:highlight w:val="none"/>
          <w:lang w:val="en-US"/>
        </w:rPr>
      </w:pPr>
      <w:r>
        <w:rPr>
          <w:rFonts w:hint="default" w:ascii="Times New Roman" w:hAnsi="Times New Roman" w:cs="Times New Roman"/>
          <w:highlight w:val="none"/>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w:t>
      </w:r>
      <w:r>
        <w:rPr>
          <w:rFonts w:hint="default" w:ascii="Times New Roman" w:hAnsi="Times New Roman" w:cs="Times New Roman"/>
          <w:highlight w:val="none"/>
          <w:lang w:val="en-US"/>
        </w:rPr>
        <w:t>对水质的影响</w:t>
      </w:r>
    </w:p>
    <w:p>
      <w:pPr>
        <w:tabs>
          <w:tab w:val="left" w:pos="0"/>
        </w:tabs>
        <w:ind w:firstLine="476"/>
        <w:rPr>
          <w:rFonts w:hint="default" w:ascii="Times New Roman" w:hAnsi="Times New Roman" w:cs="Times New Roman"/>
          <w:highlight w:val="none"/>
          <w:lang w:val="en-US"/>
        </w:rPr>
      </w:pPr>
      <w:r>
        <w:rPr>
          <w:rFonts w:hint="default" w:ascii="Times New Roman" w:hAnsi="Times New Roman" w:cs="Times New Roman"/>
          <w:spacing w:val="-1"/>
          <w:szCs w:val="24"/>
          <w:highlight w:val="none"/>
        </w:rPr>
        <w:t>项目取水工程</w:t>
      </w:r>
      <w:r>
        <w:rPr>
          <w:rFonts w:hint="default" w:ascii="Times New Roman" w:hAnsi="Times New Roman" w:cs="Times New Roman"/>
          <w:highlight w:val="none"/>
          <w:lang w:val="en-US"/>
        </w:rPr>
        <w:t>对水质的影响体现在略微减弱山洪对管阳溪的洁净效果，由于项目取水工程占管阳溪多年平均流量的1.5%，项目取水工程对管阳溪的洁净效果影响较小，对管阳溪水质基本无影响。</w:t>
      </w:r>
    </w:p>
    <w:p>
      <w:pPr>
        <w:pStyle w:val="4"/>
        <w:numPr>
          <w:ilvl w:val="2"/>
          <w:numId w:val="5"/>
        </w:numPr>
        <w:tabs>
          <w:tab w:val="left" w:pos="420"/>
        </w:tabs>
        <w:spacing w:before="120" w:after="120"/>
        <w:rPr>
          <w:rFonts w:hint="default" w:ascii="Times New Roman" w:hAnsi="Times New Roman" w:cs="Times New Roman"/>
          <w:highlight w:val="none"/>
          <w:lang w:val="en-US"/>
        </w:rPr>
      </w:pPr>
      <w:r>
        <w:rPr>
          <w:rFonts w:hint="default" w:ascii="Times New Roman" w:hAnsi="Times New Roman" w:cs="Times New Roman"/>
          <w:highlight w:val="none"/>
          <w:lang w:val="en-US"/>
        </w:rPr>
        <w:t>项目对水源保护区环境影响分析</w:t>
      </w:r>
    </w:p>
    <w:p>
      <w:pPr>
        <w:ind w:firstLine="480"/>
        <w:rPr>
          <w:rFonts w:hint="default" w:ascii="Times New Roman" w:hAnsi="Times New Roman" w:cs="Times New Roman"/>
          <w:highlight w:val="none"/>
          <w:lang w:val="en-US"/>
        </w:rPr>
      </w:pPr>
      <w:r>
        <w:rPr>
          <w:rFonts w:hint="default" w:ascii="Times New Roman" w:hAnsi="Times New Roman" w:cs="Times New Roman"/>
          <w:highlight w:val="none"/>
          <w:lang w:val="en-US"/>
        </w:rPr>
        <w:t>项目上安水库属于一级保护区，本项目管阳水厂取水工程管道铺设覆盖范围不在保护区内，不会对保护区造成影响，因此本项目建设对上安水库水源保护区无影响。</w:t>
      </w:r>
    </w:p>
    <w:p>
      <w:pPr>
        <w:pStyle w:val="4"/>
        <w:numPr>
          <w:ilvl w:val="2"/>
          <w:numId w:val="5"/>
        </w:numPr>
        <w:tabs>
          <w:tab w:val="left" w:pos="420"/>
        </w:tabs>
        <w:spacing w:before="120" w:after="120"/>
        <w:rPr>
          <w:rFonts w:hint="default" w:ascii="Times New Roman" w:hAnsi="Times New Roman" w:cs="Times New Roman"/>
          <w:highlight w:val="none"/>
          <w:lang w:val="en-US"/>
        </w:rPr>
      </w:pPr>
      <w:r>
        <w:rPr>
          <w:rFonts w:hint="default" w:ascii="Times New Roman" w:hAnsi="Times New Roman" w:cs="Times New Roman"/>
          <w:highlight w:val="none"/>
          <w:lang w:val="en-US"/>
        </w:rPr>
        <w:t>小结</w:t>
      </w:r>
    </w:p>
    <w:p>
      <w:pPr>
        <w:ind w:firstLine="480"/>
        <w:rPr>
          <w:rFonts w:hint="default" w:ascii="Times New Roman" w:hAnsi="Times New Roman" w:cs="Times New Roman"/>
          <w:highlight w:val="none"/>
        </w:rPr>
      </w:pPr>
      <w:r>
        <w:rPr>
          <w:rFonts w:hint="default" w:ascii="Times New Roman" w:hAnsi="Times New Roman" w:cs="Times New Roman"/>
          <w:highlight w:val="none"/>
          <w:lang w:val="en-US"/>
        </w:rPr>
        <w:t>项目施工期生活污水</w:t>
      </w:r>
      <w:r>
        <w:rPr>
          <w:rFonts w:hint="default" w:ascii="Times New Roman" w:hAnsi="Times New Roman" w:cs="Times New Roman"/>
          <w:highlight w:val="none"/>
        </w:rPr>
        <w:t>纳入当地排污系统集中处置；生产废水经沉淀池沉淀后循环回用或作为场地抑尘洒水用水，不外排，因此项目施工期对周边水环境产生影响较小。</w:t>
      </w:r>
    </w:p>
    <w:p>
      <w:pPr>
        <w:ind w:firstLine="480"/>
        <w:rPr>
          <w:rFonts w:hint="default" w:ascii="Times New Roman" w:hAnsi="Times New Roman" w:cs="Times New Roman"/>
          <w:color w:val="0000FF"/>
          <w:kern w:val="2"/>
          <w:szCs w:val="24"/>
          <w:highlight w:val="none"/>
          <w:lang w:val="en-US"/>
        </w:rPr>
      </w:pPr>
      <w:r>
        <w:rPr>
          <w:rFonts w:hint="default" w:ascii="Times New Roman" w:hAnsi="Times New Roman" w:cs="Times New Roman"/>
          <w:highlight w:val="none"/>
          <w:lang w:val="en-US"/>
        </w:rPr>
        <w:t>项目取水工程</w:t>
      </w:r>
      <w:r>
        <w:rPr>
          <w:rFonts w:hint="default" w:ascii="Times New Roman" w:hAnsi="Times New Roman" w:cs="Times New Roman"/>
          <w:highlight w:val="none"/>
          <w:lang w:val="en-US" w:eastAsia="zh-CN"/>
        </w:rPr>
        <w:t>运行期</w:t>
      </w:r>
      <w:r>
        <w:rPr>
          <w:rFonts w:hint="default" w:ascii="Times New Roman" w:hAnsi="Times New Roman" w:cs="Times New Roman"/>
          <w:highlight w:val="none"/>
          <w:lang w:val="en-US"/>
        </w:rPr>
        <w:t>对</w:t>
      </w:r>
      <w:r>
        <w:rPr>
          <w:rFonts w:hint="default" w:ascii="Times New Roman" w:hAnsi="Times New Roman" w:cs="Times New Roman"/>
          <w:highlight w:val="none"/>
          <w:lang w:val="en-US" w:eastAsia="zh-CN"/>
        </w:rPr>
        <w:t>上安水库</w:t>
      </w:r>
      <w:r>
        <w:rPr>
          <w:rFonts w:hint="default" w:ascii="Times New Roman" w:hAnsi="Times New Roman" w:cs="Times New Roman"/>
          <w:highlight w:val="none"/>
          <w:lang w:val="en-US"/>
        </w:rPr>
        <w:t>、天竹水库及</w:t>
      </w:r>
      <w:r>
        <w:rPr>
          <w:rFonts w:hint="default" w:ascii="Times New Roman" w:hAnsi="Times New Roman" w:cs="Times New Roman"/>
          <w:spacing w:val="-11"/>
          <w:szCs w:val="24"/>
          <w:highlight w:val="none"/>
          <w:lang w:eastAsia="zh-CN"/>
        </w:rPr>
        <w:t>龙井溪山涧水</w:t>
      </w:r>
      <w:r>
        <w:rPr>
          <w:rFonts w:hint="default" w:ascii="Times New Roman" w:hAnsi="Times New Roman" w:cs="Times New Roman"/>
          <w:spacing w:val="-11"/>
          <w:szCs w:val="24"/>
          <w:highlight w:val="none"/>
        </w:rPr>
        <w:t>的取水，主要会</w:t>
      </w:r>
      <w:r>
        <w:rPr>
          <w:rFonts w:hint="default" w:ascii="Times New Roman" w:hAnsi="Times New Roman" w:cs="Times New Roman"/>
          <w:kern w:val="2"/>
          <w:szCs w:val="24"/>
          <w:highlight w:val="none"/>
          <w:lang w:val="en-US"/>
        </w:rPr>
        <w:t>将对</w:t>
      </w:r>
      <w:r>
        <w:rPr>
          <w:rFonts w:hint="default" w:ascii="Times New Roman" w:hAnsi="Times New Roman" w:cs="Times New Roman"/>
          <w:spacing w:val="-1"/>
          <w:szCs w:val="24"/>
          <w:highlight w:val="none"/>
        </w:rPr>
        <w:t>取水口下游径流量产生一定影响，但均能满足生态流量需求，在可接受范围内，且考虑管阳溪支流的汇入情况，该影响将进一步减</w:t>
      </w:r>
      <w:r>
        <w:rPr>
          <w:rFonts w:hint="default" w:ascii="Times New Roman" w:hAnsi="Times New Roman" w:cs="Times New Roman"/>
          <w:color w:val="auto"/>
          <w:spacing w:val="-1"/>
          <w:szCs w:val="24"/>
          <w:highlight w:val="none"/>
        </w:rPr>
        <w:t>小</w:t>
      </w:r>
      <w:r>
        <w:rPr>
          <w:rFonts w:hint="default" w:ascii="Times New Roman" w:hAnsi="Times New Roman" w:cs="Times New Roman"/>
          <w:color w:val="auto"/>
          <w:kern w:val="2"/>
          <w:szCs w:val="24"/>
          <w:highlight w:val="none"/>
          <w:lang w:val="en-US"/>
        </w:rPr>
        <w:t>。</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地表水环境现状评价自查表</w:t>
      </w:r>
    </w:p>
    <w:tbl>
      <w:tblPr>
        <w:tblStyle w:val="16"/>
        <w:tblW w:w="5000" w:type="pct"/>
        <w:jc w:val="center"/>
        <w:tblLayout w:type="autofit"/>
        <w:tblCellMar>
          <w:top w:w="0" w:type="dxa"/>
          <w:left w:w="0" w:type="dxa"/>
          <w:bottom w:w="0" w:type="dxa"/>
          <w:right w:w="0" w:type="dxa"/>
        </w:tblCellMar>
      </w:tblPr>
      <w:tblGrid>
        <w:gridCol w:w="355"/>
        <w:gridCol w:w="926"/>
        <w:gridCol w:w="1841"/>
        <w:gridCol w:w="469"/>
        <w:gridCol w:w="309"/>
        <w:gridCol w:w="558"/>
        <w:gridCol w:w="1116"/>
        <w:gridCol w:w="11"/>
        <w:gridCol w:w="1406"/>
        <w:gridCol w:w="672"/>
        <w:gridCol w:w="1363"/>
      </w:tblGrid>
      <w:tr>
        <w:tblPrEx>
          <w:tblCellMar>
            <w:top w:w="0" w:type="dxa"/>
            <w:left w:w="0" w:type="dxa"/>
            <w:bottom w:w="0" w:type="dxa"/>
            <w:right w:w="0" w:type="dxa"/>
          </w:tblCellMar>
        </w:tblPrEx>
        <w:trPr>
          <w:trHeight w:val="283" w:hRule="atLeast"/>
          <w:jc w:val="center"/>
        </w:trPr>
        <w:tc>
          <w:tcPr>
            <w:tcW w:w="710" w:type="pct"/>
            <w:gridSpan w:val="2"/>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工作内容</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自查项目</w:t>
            </w:r>
          </w:p>
        </w:tc>
      </w:tr>
      <w:tr>
        <w:tblPrEx>
          <w:tblCellMar>
            <w:top w:w="0" w:type="dxa"/>
            <w:left w:w="0" w:type="dxa"/>
            <w:bottom w:w="0" w:type="dxa"/>
            <w:right w:w="0" w:type="dxa"/>
          </w:tblCellMar>
        </w:tblPrEx>
        <w:trPr>
          <w:trHeight w:val="283" w:hRule="atLeast"/>
          <w:jc w:val="center"/>
        </w:trPr>
        <w:tc>
          <w:tcPr>
            <w:tcW w:w="197" w:type="pct"/>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 响 识 别</w:t>
            </w: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影响类型</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水污染影响型□；水文要素影响型</w:t>
            </w:r>
            <w:r>
              <w:rPr>
                <w:rFonts w:hint="default" w:ascii="Times New Roman" w:hAnsi="Times New Roman" w:cs="Times New Roman"/>
                <w:highlight w:val="none"/>
              </w:rPr>
              <w:sym w:font="Wingdings" w:char="00FE"/>
            </w:r>
          </w:p>
        </w:tc>
      </w:tr>
      <w:tr>
        <w:tblPrEx>
          <w:tblCellMar>
            <w:top w:w="0" w:type="dxa"/>
            <w:left w:w="0" w:type="dxa"/>
            <w:bottom w:w="0" w:type="dxa"/>
            <w:right w:w="0" w:type="dxa"/>
          </w:tblCellMar>
        </w:tblPrEx>
        <w:trPr>
          <w:trHeight w:val="283" w:hRule="atLeast"/>
          <w:jc w:val="center"/>
        </w:trPr>
        <w:tc>
          <w:tcPr>
            <w:tcW w:w="197"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水环境保护目标</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饮用水水源保护区□；饮用水取水口□；涉水的自然保护区□；重要湿地□；</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重点保护与珍稀水生生物的栖息地□；重要水生生物的自然产卵场及索饵场、越冬场和洄游通道、天然渔场等</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渔业水体□；涉水的风景名胜区□；其他</w:t>
            </w:r>
            <w:r>
              <w:rPr>
                <w:rFonts w:hint="default" w:ascii="Times New Roman" w:hAnsi="Times New Roman" w:cs="Times New Roman"/>
                <w:highlight w:val="none"/>
              </w:rPr>
              <w:sym w:font="Wingdings" w:char="00FE"/>
            </w:r>
          </w:p>
        </w:tc>
      </w:tr>
      <w:tr>
        <w:tblPrEx>
          <w:tblCellMar>
            <w:top w:w="0" w:type="dxa"/>
            <w:left w:w="0" w:type="dxa"/>
            <w:bottom w:w="0" w:type="dxa"/>
            <w:right w:w="0" w:type="dxa"/>
          </w:tblCellMar>
        </w:tblPrEx>
        <w:trPr>
          <w:trHeight w:val="283" w:hRule="atLeast"/>
          <w:jc w:val="center"/>
        </w:trPr>
        <w:tc>
          <w:tcPr>
            <w:tcW w:w="197"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影响途径</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水污染影响型</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水文要素影响型</w:t>
            </w:r>
          </w:p>
        </w:tc>
      </w:tr>
      <w:tr>
        <w:tblPrEx>
          <w:tblCellMar>
            <w:top w:w="0" w:type="dxa"/>
            <w:left w:w="0" w:type="dxa"/>
            <w:bottom w:w="0" w:type="dxa"/>
            <w:right w:w="0" w:type="dxa"/>
          </w:tblCellMar>
        </w:tblPrEx>
        <w:trPr>
          <w:trHeight w:val="283" w:hRule="atLeast"/>
          <w:jc w:val="center"/>
        </w:trPr>
        <w:tc>
          <w:tcPr>
            <w:tcW w:w="197"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color w:val="000000"/>
                <w:highlight w:val="none"/>
              </w:rPr>
            </w:pPr>
            <w:r>
              <w:rPr>
                <w:rFonts w:hint="default" w:ascii="Times New Roman" w:hAnsi="Times New Roman" w:cs="Times New Roman"/>
                <w:color w:val="000000"/>
                <w:highlight w:val="none"/>
              </w:rPr>
              <w:t>直接排放□；间接排放□；其他□</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水温□；径流</w:t>
            </w:r>
            <w:r>
              <w:rPr>
                <w:rFonts w:hint="default" w:ascii="Times New Roman" w:hAnsi="Times New Roman" w:cs="Times New Roman"/>
                <w:highlight w:val="none"/>
              </w:rPr>
              <w:sym w:font="Wingdings" w:char="00FE"/>
            </w:r>
            <w:r>
              <w:rPr>
                <w:rFonts w:hint="default" w:ascii="Times New Roman" w:hAnsi="Times New Roman" w:cs="Times New Roman"/>
                <w:highlight w:val="none"/>
              </w:rPr>
              <w:t>；水域面积□</w:t>
            </w:r>
          </w:p>
        </w:tc>
      </w:tr>
      <w:tr>
        <w:tblPrEx>
          <w:tblCellMar>
            <w:top w:w="0" w:type="dxa"/>
            <w:left w:w="0" w:type="dxa"/>
            <w:bottom w:w="0" w:type="dxa"/>
            <w:right w:w="0" w:type="dxa"/>
          </w:tblCellMar>
        </w:tblPrEx>
        <w:trPr>
          <w:trHeight w:val="283" w:hRule="atLeast"/>
          <w:jc w:val="center"/>
        </w:trPr>
        <w:tc>
          <w:tcPr>
            <w:tcW w:w="197"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影响因子</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持久性污染物□；有毒有害污染物□；非持久性污染物□；pH</w:t>
            </w:r>
            <w:r>
              <w:rPr>
                <w:rFonts w:hint="default" w:ascii="Times New Roman" w:hAnsi="Times New Roman" w:cs="Times New Roman"/>
                <w:spacing w:val="-24"/>
                <w:highlight w:val="none"/>
              </w:rPr>
              <w:t xml:space="preserve"> </w:t>
            </w:r>
            <w:r>
              <w:rPr>
                <w:rFonts w:hint="default" w:ascii="Times New Roman" w:hAnsi="Times New Roman" w:cs="Times New Roman"/>
                <w:highlight w:val="none"/>
              </w:rPr>
              <w:t>值□；热污染□；富营养化□；其他□</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水温□；水位（水深）</w:t>
            </w:r>
            <w:r>
              <w:rPr>
                <w:rFonts w:hint="default" w:ascii="Times New Roman" w:hAnsi="Times New Roman" w:cs="Times New Roman"/>
                <w:highlight w:val="none"/>
              </w:rPr>
              <w:sym w:font="Wingdings" w:char="00FE"/>
            </w:r>
            <w:r>
              <w:rPr>
                <w:rFonts w:hint="default" w:ascii="Times New Roman" w:hAnsi="Times New Roman" w:cs="Times New Roman"/>
                <w:highlight w:val="none"/>
              </w:rPr>
              <w:t>；流速</w:t>
            </w:r>
            <w:r>
              <w:rPr>
                <w:rFonts w:hint="default" w:ascii="Times New Roman" w:hAnsi="Times New Roman" w:cs="Times New Roman"/>
                <w:highlight w:val="none"/>
              </w:rPr>
              <w:sym w:font="Wingdings" w:char="00FE"/>
            </w:r>
            <w:r>
              <w:rPr>
                <w:rFonts w:hint="default" w:ascii="Times New Roman" w:hAnsi="Times New Roman" w:cs="Times New Roman"/>
                <w:highlight w:val="none"/>
              </w:rPr>
              <w:t>；流量</w:t>
            </w:r>
            <w:r>
              <w:rPr>
                <w:rFonts w:hint="default" w:ascii="Times New Roman" w:hAnsi="Times New Roman" w:cs="Times New Roman"/>
                <w:highlight w:val="none"/>
              </w:rPr>
              <w:sym w:font="Wingdings" w:char="00FE"/>
            </w:r>
            <w:r>
              <w:rPr>
                <w:rFonts w:hint="default" w:ascii="Times New Roman" w:hAnsi="Times New Roman" w:cs="Times New Roman"/>
                <w:highlight w:val="none"/>
              </w:rPr>
              <w:t>；其他□</w:t>
            </w:r>
          </w:p>
        </w:tc>
      </w:tr>
      <w:tr>
        <w:tblPrEx>
          <w:tblCellMar>
            <w:top w:w="0" w:type="dxa"/>
            <w:left w:w="0" w:type="dxa"/>
            <w:bottom w:w="0" w:type="dxa"/>
            <w:right w:w="0" w:type="dxa"/>
          </w:tblCellMar>
        </w:tblPrEx>
        <w:trPr>
          <w:trHeight w:val="283" w:hRule="atLeast"/>
          <w:jc w:val="center"/>
        </w:trPr>
        <w:tc>
          <w:tcPr>
            <w:tcW w:w="710" w:type="pct"/>
            <w:gridSpan w:val="2"/>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评价等级</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水污染影响型</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水文要素影响型</w:t>
            </w:r>
          </w:p>
        </w:tc>
      </w:tr>
      <w:tr>
        <w:tblPrEx>
          <w:tblCellMar>
            <w:top w:w="0" w:type="dxa"/>
            <w:left w:w="0" w:type="dxa"/>
            <w:bottom w:w="0" w:type="dxa"/>
            <w:right w:w="0" w:type="dxa"/>
          </w:tblCellMar>
        </w:tblPrEx>
        <w:trPr>
          <w:trHeight w:val="283" w:hRule="atLeast"/>
          <w:jc w:val="center"/>
        </w:trPr>
        <w:tc>
          <w:tcPr>
            <w:tcW w:w="710" w:type="pct"/>
            <w:gridSpan w:val="2"/>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一级□；二级□；三级</w:t>
            </w:r>
            <w:r>
              <w:rPr>
                <w:rFonts w:hint="default" w:ascii="Times New Roman" w:hAnsi="Times New Roman" w:cs="Times New Roman"/>
                <w:spacing w:val="-65"/>
                <w:highlight w:val="none"/>
              </w:rPr>
              <w:t xml:space="preserve"> </w:t>
            </w:r>
            <w:r>
              <w:rPr>
                <w:rFonts w:hint="default" w:ascii="Times New Roman" w:hAnsi="Times New Roman" w:cs="Times New Roman"/>
                <w:highlight w:val="none"/>
              </w:rPr>
              <w:t>A□；三级</w:t>
            </w:r>
            <w:r>
              <w:rPr>
                <w:rFonts w:hint="default" w:ascii="Times New Roman" w:hAnsi="Times New Roman" w:cs="Times New Roman"/>
                <w:spacing w:val="-63"/>
                <w:highlight w:val="none"/>
              </w:rPr>
              <w:t xml:space="preserve"> </w:t>
            </w:r>
            <w:r>
              <w:rPr>
                <w:rFonts w:hint="default" w:ascii="Times New Roman" w:hAnsi="Times New Roman" w:cs="Times New Roman"/>
                <w:highlight w:val="none"/>
              </w:rPr>
              <w:t>B□</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一级</w:t>
            </w:r>
            <w:r>
              <w:rPr>
                <w:rFonts w:hint="default" w:ascii="Times New Roman" w:hAnsi="Times New Roman" w:cs="Times New Roman"/>
                <w:highlight w:val="none"/>
              </w:rPr>
              <w:sym w:font="Wingdings" w:char="00FE"/>
            </w:r>
            <w:r>
              <w:rPr>
                <w:rFonts w:hint="default" w:ascii="Times New Roman" w:hAnsi="Times New Roman" w:cs="Times New Roman"/>
                <w:highlight w:val="none"/>
              </w:rPr>
              <w:t>；二级；三级□</w:t>
            </w:r>
          </w:p>
        </w:tc>
      </w:tr>
      <w:tr>
        <w:tblPrEx>
          <w:tblCellMar>
            <w:top w:w="0" w:type="dxa"/>
            <w:left w:w="0" w:type="dxa"/>
            <w:bottom w:w="0" w:type="dxa"/>
            <w:right w:w="0" w:type="dxa"/>
          </w:tblCellMar>
        </w:tblPrEx>
        <w:trPr>
          <w:trHeight w:val="283" w:hRule="atLeast"/>
          <w:jc w:val="center"/>
        </w:trPr>
        <w:tc>
          <w:tcPr>
            <w:tcW w:w="197"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现 状 调 查</w:t>
            </w:r>
          </w:p>
        </w:tc>
        <w:tc>
          <w:tcPr>
            <w:tcW w:w="513" w:type="pct"/>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区域污染源</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调查项目</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数据来源</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1451" w:type="pct"/>
            <w:gridSpan w:val="3"/>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已建□；在建□；拟建□；</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其他□</w:t>
            </w:r>
          </w:p>
        </w:tc>
        <w:tc>
          <w:tcPr>
            <w:tcW w:w="927" w:type="pct"/>
            <w:gridSpan w:val="2"/>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拟替代的污染源□</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spacing w:val="-3"/>
                <w:highlight w:val="none"/>
              </w:rPr>
              <w:t>排污许可证□；环评□；环保验收□；既有实测□；现场</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监测□；入河排放口数据□；其他</w:t>
            </w:r>
            <w:r>
              <w:rPr>
                <w:rFonts w:hint="default" w:ascii="Times New Roman" w:hAnsi="Times New Roman" w:cs="Times New Roman"/>
                <w:highlight w:val="none"/>
              </w:rPr>
              <w:sym w:font="Wingdings" w:char="00FE"/>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受影响水体水环境质量</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调查时期</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数据来源</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丰水期□；平水期□；枯水期□；冰封期□</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春季□；夏季□；秋季□；冬季□</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生态环境保护主管部门</w:t>
            </w:r>
            <w:r>
              <w:rPr>
                <w:rFonts w:hint="default" w:ascii="Times New Roman" w:hAnsi="Times New Roman" w:cs="Times New Roman"/>
                <w:highlight w:val="none"/>
              </w:rPr>
              <w:sym w:font="Wingdings" w:char="00FE"/>
            </w:r>
            <w:r>
              <w:rPr>
                <w:rFonts w:hint="default" w:ascii="Times New Roman" w:hAnsi="Times New Roman" w:cs="Times New Roman"/>
                <w:highlight w:val="none"/>
              </w:rPr>
              <w:t>；补充监测</w:t>
            </w:r>
            <w:r>
              <w:rPr>
                <w:rFonts w:hint="default" w:ascii="Times New Roman" w:hAnsi="Times New Roman" w:cs="Times New Roman"/>
                <w:highlight w:val="none"/>
              </w:rPr>
              <w:sym w:font="Wingdings" w:char="00FE"/>
            </w:r>
            <w:r>
              <w:rPr>
                <w:rFonts w:hint="default" w:ascii="Times New Roman" w:hAnsi="Times New Roman" w:cs="Times New Roman"/>
                <w:highlight w:val="none"/>
              </w:rPr>
              <w:t>；其他□</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区域水资源开发利用状况</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未开发□；开发量</w:t>
            </w:r>
            <w:r>
              <w:rPr>
                <w:rFonts w:hint="default" w:ascii="Times New Roman" w:hAnsi="Times New Roman" w:cs="Times New Roman"/>
                <w:spacing w:val="-67"/>
                <w:highlight w:val="none"/>
              </w:rPr>
              <w:t xml:space="preserve"> </w:t>
            </w:r>
            <w:r>
              <w:rPr>
                <w:rFonts w:hint="default" w:ascii="Times New Roman" w:hAnsi="Times New Roman" w:cs="Times New Roman"/>
                <w:highlight w:val="none"/>
              </w:rPr>
              <w:t>40%以下</w:t>
            </w:r>
            <w:r>
              <w:rPr>
                <w:rFonts w:hint="default" w:ascii="Times New Roman" w:hAnsi="Times New Roman" w:cs="Times New Roman"/>
                <w:highlight w:val="none"/>
              </w:rPr>
              <w:sym w:font="Wingdings" w:char="00FE"/>
            </w:r>
            <w:r>
              <w:rPr>
                <w:rFonts w:hint="default" w:ascii="Times New Roman" w:hAnsi="Times New Roman" w:cs="Times New Roman"/>
                <w:highlight w:val="none"/>
              </w:rPr>
              <w:t>；开发量</w:t>
            </w:r>
            <w:r>
              <w:rPr>
                <w:rFonts w:hint="default" w:ascii="Times New Roman" w:hAnsi="Times New Roman" w:cs="Times New Roman"/>
                <w:spacing w:val="-67"/>
                <w:highlight w:val="none"/>
              </w:rPr>
              <w:t xml:space="preserve"> </w:t>
            </w:r>
            <w:r>
              <w:rPr>
                <w:rFonts w:hint="default" w:ascii="Times New Roman" w:hAnsi="Times New Roman" w:cs="Times New Roman"/>
                <w:highlight w:val="none"/>
              </w:rPr>
              <w:t>40%以上□</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restar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水文情势调查</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调查时期</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数据来源</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continue"/>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丰水期□；平水期□；枯水期□；冰封期□</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春季□；夏季□；秋季□；冬季□</w:t>
            </w:r>
          </w:p>
        </w:tc>
        <w:tc>
          <w:tcPr>
            <w:tcW w:w="1912" w:type="pct"/>
            <w:gridSpan w:val="4"/>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水行政主管部门</w:t>
            </w:r>
            <w:r>
              <w:rPr>
                <w:rFonts w:hint="default" w:ascii="Times New Roman" w:hAnsi="Times New Roman" w:cs="Times New Roman"/>
                <w:highlight w:val="none"/>
              </w:rPr>
              <w:sym w:font="Wingdings" w:char="00FE"/>
            </w:r>
            <w:r>
              <w:rPr>
                <w:rFonts w:hint="default" w:ascii="Times New Roman" w:hAnsi="Times New Roman" w:cs="Times New Roman"/>
                <w:highlight w:val="none"/>
              </w:rPr>
              <w:t>；补充监测</w:t>
            </w:r>
            <w:r>
              <w:rPr>
                <w:rFonts w:hint="default" w:ascii="Times New Roman" w:hAnsi="Times New Roman" w:cs="Times New Roman"/>
                <w:highlight w:val="none"/>
              </w:rPr>
              <w:sym w:font="Wingdings" w:char="00FE"/>
            </w:r>
            <w:r>
              <w:rPr>
                <w:rFonts w:hint="default" w:ascii="Times New Roman" w:hAnsi="Times New Roman" w:cs="Times New Roman"/>
                <w:highlight w:val="none"/>
              </w:rPr>
              <w:t>；其他□</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补充监测</w:t>
            </w: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监测时期</w:t>
            </w:r>
          </w:p>
        </w:tc>
        <w:tc>
          <w:tcPr>
            <w:tcW w:w="1156" w:type="pct"/>
            <w:gridSpan w:val="3"/>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监测因子</w:t>
            </w:r>
          </w:p>
        </w:tc>
        <w:tc>
          <w:tcPr>
            <w:tcW w:w="756"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监测断面或点位</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vMerge w:val="continue"/>
            <w:tcBorders>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378" w:type="pct"/>
            <w:gridSpan w:val="5"/>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丰水期□；平水期□；枯水期□；冰封期□</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春季□；夏季□；秋季回；冬季□</w:t>
            </w:r>
          </w:p>
        </w:tc>
        <w:tc>
          <w:tcPr>
            <w:tcW w:w="1156" w:type="pct"/>
            <w:gridSpan w:val="3"/>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r>
              <w:rPr>
                <w:rFonts w:hint="default" w:ascii="Times New Roman" w:hAnsi="Times New Roman" w:cs="Times New Roman"/>
                <w:color w:val="000000"/>
                <w:highlight w:val="none"/>
              </w:rPr>
              <w:t>水位、河宽、流量</w:t>
            </w:r>
            <w:r>
              <w:rPr>
                <w:rFonts w:hint="default" w:ascii="Times New Roman" w:hAnsi="Times New Roman" w:cs="Times New Roman"/>
                <w:highlight w:val="none"/>
              </w:rPr>
              <w:t>）</w:t>
            </w:r>
          </w:p>
        </w:tc>
        <w:tc>
          <w:tcPr>
            <w:tcW w:w="756"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spacing w:val="-2"/>
                <w:highlight w:val="none"/>
              </w:rPr>
              <w:t>监测断面或点位个</w:t>
            </w:r>
            <w:r>
              <w:rPr>
                <w:rFonts w:hint="default" w:ascii="Times New Roman" w:hAnsi="Times New Roman" w:cs="Times New Roman"/>
                <w:spacing w:val="-89"/>
                <w:highlight w:val="none"/>
              </w:rPr>
              <w:t xml:space="preserve"> </w:t>
            </w:r>
            <w:r>
              <w:rPr>
                <w:rFonts w:hint="default" w:ascii="Times New Roman" w:hAnsi="Times New Roman" w:cs="Times New Roman"/>
                <w:highlight w:val="none"/>
              </w:rPr>
              <w:t>数（3）个</w:t>
            </w:r>
          </w:p>
        </w:tc>
      </w:tr>
      <w:tr>
        <w:tblPrEx>
          <w:tblCellMar>
            <w:top w:w="0" w:type="dxa"/>
            <w:left w:w="0" w:type="dxa"/>
            <w:bottom w:w="0" w:type="dxa"/>
            <w:right w:w="0" w:type="dxa"/>
          </w:tblCellMar>
        </w:tblPrEx>
        <w:trPr>
          <w:trHeight w:val="283" w:hRule="atLeast"/>
          <w:jc w:val="center"/>
        </w:trPr>
        <w:tc>
          <w:tcPr>
            <w:tcW w:w="197"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现状评价</w:t>
            </w: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评价范围</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spacing w:val="-2"/>
                <w:highlight w:val="none"/>
              </w:rPr>
            </w:pPr>
            <w:r>
              <w:rPr>
                <w:rFonts w:hint="default" w:ascii="Times New Roman" w:hAnsi="Times New Roman" w:cs="Times New Roman"/>
                <w:highlight w:val="none"/>
              </w:rPr>
              <w:t>河流：长度（）km；湖库、河口及近岸海域：面积（）km</w:t>
            </w:r>
            <w:r>
              <w:rPr>
                <w:rFonts w:hint="default" w:ascii="Times New Roman" w:hAnsi="Times New Roman" w:cs="Times New Roman"/>
                <w:position w:val="10"/>
                <w:sz w:val="14"/>
                <w:szCs w:val="14"/>
                <w:highlight w:val="none"/>
              </w:rPr>
              <w:t>2</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评价因子</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color w:val="000000"/>
                <w:highlight w:val="none"/>
              </w:rPr>
              <w:t>pH、溶解氧、高锰酸盐指数、CODcr、BOD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、氨氮、总磷、总氮、铜、锌、氟化物、硒、砷、汞、镉、铬（六价）、铅、氰化物、挥发酚、石油类、阴离子表面活性剂、硫化物、粪大肠菌群、硫酸盐、氯化物、硝酸盐、铁、锰、悬浮物、全盐量</w:t>
            </w: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评价标准</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河流、湖库、河口：Ⅰ类□；Ⅱ类</w:t>
            </w:r>
            <w:r>
              <w:rPr>
                <w:rFonts w:hint="default" w:ascii="Times New Roman" w:hAnsi="Times New Roman" w:cs="Times New Roman"/>
                <w:highlight w:val="none"/>
              </w:rPr>
              <w:sym w:font="Wingdings 2" w:char="0052"/>
            </w:r>
            <w:r>
              <w:rPr>
                <w:rFonts w:hint="default" w:ascii="Times New Roman" w:hAnsi="Times New Roman" w:cs="Times New Roman"/>
                <w:highlight w:val="none"/>
              </w:rPr>
              <w:t>；Ⅲ类</w:t>
            </w:r>
            <w:r>
              <w:rPr>
                <w:rFonts w:hint="default" w:ascii="Times New Roman" w:hAnsi="Times New Roman" w:cs="Times New Roman"/>
                <w:highlight w:val="none"/>
              </w:rPr>
              <w:sym w:font="Wingdings" w:char="00FE"/>
            </w:r>
            <w:r>
              <w:rPr>
                <w:rFonts w:hint="default" w:ascii="Times New Roman" w:hAnsi="Times New Roman" w:cs="Times New Roman"/>
                <w:highlight w:val="none"/>
              </w:rPr>
              <w:t>；Ⅳ类□；Ⅴ类□</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近岸海域：第一类□；第二类□；第三类□；第四类□</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规划年评价标准（）</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评价时期</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丰水期□；平水期□；枯水期□；冰封期□</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春季□；夏季□；秋季□；冬季□</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评价结论</w:t>
            </w:r>
          </w:p>
        </w:tc>
        <w:tc>
          <w:tcPr>
            <w:tcW w:w="3534" w:type="pct"/>
            <w:gridSpan w:val="8"/>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水环境功能区或水功能区、近岸海域环境功能区水质达标状况□：达标□；不达标□水环境控制单元或断面水质达标状况□：达标□；不达标</w:t>
            </w:r>
            <w:r>
              <w:rPr>
                <w:rFonts w:hint="default" w:ascii="Times New Roman" w:hAnsi="Times New Roman" w:cs="Times New Roman"/>
                <w:color w:val="000000"/>
                <w:highlight w:val="none"/>
              </w:rPr>
              <w:sym w:font="Wingdings" w:char="F0FE"/>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水环境保护目标质量状况□：达标□；不达标□</w:t>
            </w:r>
            <w:r>
              <w:rPr>
                <w:rFonts w:hint="default" w:ascii="Times New Roman" w:hAnsi="Times New Roman" w:cs="Times New Roman"/>
                <w:spacing w:val="-2"/>
                <w:highlight w:val="none"/>
              </w:rPr>
              <w:t>对照断面、控制断面等代表性断面的水质状况□：达标□；不达标</w:t>
            </w:r>
            <w:r>
              <w:rPr>
                <w:rFonts w:hint="default" w:ascii="Times New Roman" w:hAnsi="Times New Roman" w:cs="Times New Roman"/>
                <w:highlight w:val="none"/>
              </w:rPr>
              <w:t>□底泥污染评价□</w:t>
            </w:r>
            <w:r>
              <w:rPr>
                <w:rFonts w:hint="default" w:ascii="Times New Roman" w:hAnsi="Times New Roman" w:cs="Times New Roman"/>
                <w:spacing w:val="-2"/>
                <w:highlight w:val="none"/>
              </w:rPr>
              <w:t>水资源与开发利用程度及其水文情势评价</w:t>
            </w:r>
            <w:r>
              <w:rPr>
                <w:rFonts w:hint="default" w:ascii="Times New Roman" w:hAnsi="Times New Roman" w:cs="Times New Roman"/>
                <w:color w:val="000000"/>
                <w:highlight w:val="none"/>
              </w:rPr>
              <w:sym w:font="Wingdings" w:char="F0FE"/>
            </w:r>
            <w:r>
              <w:rPr>
                <w:rFonts w:hint="default" w:ascii="Times New Roman" w:hAnsi="Times New Roman" w:cs="Times New Roman"/>
                <w:spacing w:val="-17"/>
                <w:highlight w:val="none"/>
              </w:rPr>
              <w:t xml:space="preserve"> </w:t>
            </w:r>
            <w:r>
              <w:rPr>
                <w:rFonts w:hint="default" w:ascii="Times New Roman" w:hAnsi="Times New Roman" w:cs="Times New Roman"/>
                <w:highlight w:val="none"/>
              </w:rPr>
              <w:t>水环境质量回顾评价□流域（区域）水资源（包括水能资源）与开发利用总体状况、生态流量管理要求与现状满足程度、建设项目占用水域空间的水流状况与河湖演变状况□</w:t>
            </w:r>
          </w:p>
        </w:tc>
        <w:tc>
          <w:tcPr>
            <w:tcW w:w="756"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达标区□</w:t>
            </w:r>
          </w:p>
          <w:p>
            <w:pPr>
              <w:pStyle w:val="19"/>
              <w:spacing w:line="260" w:lineRule="exact"/>
              <w:rPr>
                <w:rFonts w:hint="default" w:ascii="Times New Roman" w:hAnsi="Times New Roman" w:cs="Times New Roman"/>
                <w:spacing w:val="-2"/>
                <w:highlight w:val="none"/>
              </w:rPr>
            </w:pPr>
            <w:r>
              <w:rPr>
                <w:rFonts w:hint="default" w:ascii="Times New Roman" w:hAnsi="Times New Roman" w:cs="Times New Roman"/>
                <w:highlight w:val="none"/>
              </w:rPr>
              <w:t>不达标区</w:t>
            </w:r>
            <w:r>
              <w:rPr>
                <w:rFonts w:hint="default" w:ascii="Times New Roman" w:hAnsi="Times New Roman" w:cs="Times New Roman"/>
                <w:highlight w:val="none"/>
              </w:rPr>
              <w:sym w:font="Wingdings" w:char="00FE"/>
            </w:r>
          </w:p>
        </w:tc>
      </w:tr>
      <w:tr>
        <w:tblPrEx>
          <w:tblCellMar>
            <w:top w:w="0" w:type="dxa"/>
            <w:left w:w="0" w:type="dxa"/>
            <w:bottom w:w="0" w:type="dxa"/>
            <w:right w:w="0" w:type="dxa"/>
          </w:tblCellMar>
        </w:tblPrEx>
        <w:trPr>
          <w:trHeight w:val="283" w:hRule="atLeast"/>
          <w:jc w:val="center"/>
        </w:trPr>
        <w:tc>
          <w:tcPr>
            <w:tcW w:w="197"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影响预测</w:t>
            </w: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预测范围</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河流：长度（）km；湖库、河口及近岸海域：面积（）km</w:t>
            </w:r>
            <w:r>
              <w:rPr>
                <w:rFonts w:hint="default" w:ascii="Times New Roman" w:hAnsi="Times New Roman" w:cs="Times New Roman"/>
                <w:position w:val="10"/>
                <w:sz w:val="14"/>
                <w:szCs w:val="14"/>
                <w:highlight w:val="none"/>
              </w:rPr>
              <w:t>2</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预测因子</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（水位、流量）</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预测时期</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丰水期□；平水期□；枯水期□；冰封期□</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春季□；夏季□；秋季□；冬季□</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设计水文条件□</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预测情景</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建设期□；生产运行期</w:t>
            </w:r>
            <w:r>
              <w:rPr>
                <w:rFonts w:hint="default" w:ascii="Times New Roman" w:hAnsi="Times New Roman" w:cs="Times New Roman"/>
                <w:color w:val="000000"/>
                <w:highlight w:val="none"/>
              </w:rPr>
              <w:sym w:font="Wingdings" w:char="F0FE"/>
            </w:r>
            <w:r>
              <w:rPr>
                <w:rFonts w:hint="default" w:ascii="Times New Roman" w:hAnsi="Times New Roman" w:cs="Times New Roman"/>
                <w:highlight w:val="none"/>
              </w:rPr>
              <w:t>；服务期满后□</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正常工况</w:t>
            </w:r>
            <w:r>
              <w:rPr>
                <w:rFonts w:hint="default" w:ascii="Times New Roman" w:hAnsi="Times New Roman" w:cs="Times New Roman"/>
                <w:color w:val="000000"/>
                <w:highlight w:val="none"/>
              </w:rPr>
              <w:sym w:font="Wingdings" w:char="F0FE"/>
            </w:r>
            <w:r>
              <w:rPr>
                <w:rFonts w:hint="default" w:ascii="Times New Roman" w:hAnsi="Times New Roman" w:cs="Times New Roman"/>
                <w:highlight w:val="none"/>
              </w:rPr>
              <w:t>；非正常工况□</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污染控制和减缓措施方案□</w:t>
            </w:r>
          </w:p>
          <w:p>
            <w:pPr>
              <w:pStyle w:val="19"/>
              <w:spacing w:line="260" w:lineRule="exact"/>
              <w:rPr>
                <w:rFonts w:hint="default" w:ascii="Times New Roman" w:hAnsi="Times New Roman" w:cs="Times New Roman"/>
                <w:highlight w:val="none"/>
              </w:rPr>
            </w:pPr>
            <w:r>
              <w:rPr>
                <w:rFonts w:hint="default" w:ascii="Times New Roman" w:hAnsi="Times New Roman" w:cs="Times New Roman"/>
                <w:spacing w:val="-2"/>
                <w:highlight w:val="none"/>
              </w:rPr>
              <w:t>区（流）域环境质量改善目标要求情景□</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sz w:val="20"/>
                <w:szCs w:val="20"/>
                <w:highlight w:val="none"/>
              </w:rPr>
            </w:pPr>
            <w:r>
              <w:rPr>
                <w:rFonts w:hint="default" w:ascii="Times New Roman" w:hAnsi="Times New Roman" w:cs="Times New Roman"/>
                <w:highlight w:val="none"/>
              </w:rPr>
              <w:t>预测方法</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数值解□：解析解□；其他</w:t>
            </w:r>
            <w:r>
              <w:rPr>
                <w:rFonts w:hint="default" w:ascii="Times New Roman" w:hAnsi="Times New Roman" w:cs="Times New Roman"/>
                <w:color w:val="000000"/>
                <w:highlight w:val="none"/>
              </w:rPr>
              <w:sym w:font="Wingdings" w:char="F0FE"/>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导则推荐模式□：其他□</w:t>
            </w:r>
          </w:p>
        </w:tc>
      </w:tr>
      <w:tr>
        <w:tblPrEx>
          <w:tblCellMar>
            <w:top w:w="0" w:type="dxa"/>
            <w:left w:w="0" w:type="dxa"/>
            <w:bottom w:w="0" w:type="dxa"/>
            <w:right w:w="0" w:type="dxa"/>
          </w:tblCellMar>
        </w:tblPrEx>
        <w:trPr>
          <w:trHeight w:val="283" w:hRule="atLeast"/>
          <w:jc w:val="center"/>
        </w:trPr>
        <w:tc>
          <w:tcPr>
            <w:tcW w:w="197"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影响评价</w:t>
            </w: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水污染控制和水环境影响减</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缓措施有效性评价</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区（流）域水环境质量改善目标□；替代削减源□</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水环境影响评价</w:t>
            </w:r>
          </w:p>
        </w:tc>
        <w:tc>
          <w:tcPr>
            <w:tcW w:w="4290" w:type="pct"/>
            <w:gridSpan w:val="9"/>
            <w:tcBorders>
              <w:top w:val="single" w:color="000000"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排放口混合区外满足水环境管理要求□</w:t>
            </w:r>
            <w:r>
              <w:rPr>
                <w:rFonts w:hint="default" w:ascii="Times New Roman" w:hAnsi="Times New Roman" w:cs="Times New Roman"/>
                <w:spacing w:val="-2"/>
                <w:highlight w:val="none"/>
              </w:rPr>
              <w:t>水环境功能区或水功能区、近岸海域环境功能区水质达标□</w:t>
            </w:r>
            <w:r>
              <w:rPr>
                <w:rFonts w:hint="default" w:ascii="Times New Roman" w:hAnsi="Times New Roman" w:cs="Times New Roman"/>
                <w:spacing w:val="-3"/>
                <w:highlight w:val="none"/>
              </w:rPr>
              <w:t xml:space="preserve"> </w:t>
            </w:r>
            <w:r>
              <w:rPr>
                <w:rFonts w:hint="default" w:ascii="Times New Roman" w:hAnsi="Times New Roman" w:cs="Times New Roman"/>
                <w:highlight w:val="none"/>
              </w:rPr>
              <w:t>满足水环境保护目标水域水环境质量要求</w:t>
            </w:r>
            <w:r>
              <w:rPr>
                <w:rFonts w:hint="default" w:ascii="Times New Roman" w:hAnsi="Times New Roman" w:cs="Times New Roman"/>
                <w:highlight w:val="none"/>
              </w:rPr>
              <w:sym w:font="Wingdings" w:char="00FE"/>
            </w:r>
            <w:r>
              <w:rPr>
                <w:rFonts w:hint="default" w:ascii="Times New Roman" w:hAnsi="Times New Roman" w:cs="Times New Roman"/>
                <w:highlight w:val="none"/>
              </w:rPr>
              <w:t>水环境控制单元或断面水质达标□</w:t>
            </w:r>
            <w:r>
              <w:rPr>
                <w:rFonts w:hint="default" w:ascii="Times New Roman" w:hAnsi="Times New Roman" w:cs="Times New Roman"/>
                <w:spacing w:val="-2"/>
                <w:highlight w:val="none"/>
              </w:rPr>
              <w:t>满足重点水污染物排放总量控制指标要求，重点行业建设项目，主要污染物排放满足等量或减量替代要求□</w:t>
            </w:r>
            <w:r>
              <w:rPr>
                <w:rFonts w:hint="default" w:ascii="Times New Roman" w:hAnsi="Times New Roman" w:cs="Times New Roman"/>
                <w:highlight w:val="none"/>
              </w:rPr>
              <w:t>满足区（流）域水环境质量改善目标要求□</w:t>
            </w:r>
            <w:r>
              <w:rPr>
                <w:rFonts w:hint="default" w:ascii="Times New Roman" w:hAnsi="Times New Roman" w:cs="Times New Roman"/>
                <w:spacing w:val="-2"/>
                <w:highlight w:val="none"/>
              </w:rPr>
              <w:t>水文要素影响型建设项目同时应包括水文情势变化评价、主要水文特征值影响评价、生态流量符合性评价</w:t>
            </w:r>
            <w:r>
              <w:rPr>
                <w:rFonts w:hint="default" w:ascii="Times New Roman" w:hAnsi="Times New Roman" w:cs="Times New Roman"/>
                <w:highlight w:val="none"/>
              </w:rPr>
              <w:sym w:font="Wingdings" w:char="00FE"/>
            </w:r>
            <w:r>
              <w:rPr>
                <w:rFonts w:hint="default" w:ascii="Times New Roman" w:hAnsi="Times New Roman" w:cs="Times New Roman"/>
                <w:highlight w:val="none"/>
              </w:rPr>
              <w:t>对于新设或调整入河（湖库、近岸海域）排放口的建设项目，应包括排放口设置的环境合理性评价□满足生态保护红线、水环境质量底线、资源利用上线和环境准入清单管理要求</w:t>
            </w:r>
            <w:r>
              <w:rPr>
                <w:rFonts w:hint="default" w:ascii="Times New Roman" w:hAnsi="Times New Roman" w:cs="Times New Roman"/>
                <w:highlight w:val="none"/>
              </w:rPr>
              <w:sym w:font="Wingdings" w:char="00FE"/>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污染源排放量核算</w:t>
            </w:r>
          </w:p>
        </w:tc>
        <w:tc>
          <w:tcPr>
            <w:tcW w:w="1760" w:type="pct"/>
            <w:gridSpan w:val="4"/>
            <w:tcBorders>
              <w:top w:val="single" w:color="000000"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污染物名称</w:t>
            </w:r>
          </w:p>
        </w:tc>
        <w:tc>
          <w:tcPr>
            <w:tcW w:w="1403" w:type="pct"/>
            <w:gridSpan w:val="3"/>
            <w:tcBorders>
              <w:top w:val="single" w:color="000000"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排放量/（t/a）</w:t>
            </w:r>
          </w:p>
        </w:tc>
        <w:tc>
          <w:tcPr>
            <w:tcW w:w="1127" w:type="pct"/>
            <w:gridSpan w:val="2"/>
            <w:tcBorders>
              <w:top w:val="single" w:color="000000"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排放浓度/（mg/L）</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continue"/>
            <w:tcBorders>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sz w:val="20"/>
                <w:szCs w:val="20"/>
                <w:highlight w:val="none"/>
              </w:rPr>
            </w:pPr>
          </w:p>
        </w:tc>
        <w:tc>
          <w:tcPr>
            <w:tcW w:w="1760" w:type="pct"/>
            <w:gridSpan w:val="4"/>
            <w:tcBorders>
              <w:top w:val="single" w:color="auto"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1403" w:type="pct"/>
            <w:gridSpan w:val="3"/>
            <w:tcBorders>
              <w:top w:val="single" w:color="auto"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1127" w:type="pct"/>
            <w:gridSpan w:val="2"/>
            <w:tcBorders>
              <w:top w:val="single" w:color="auto" w:sz="4" w:space="0"/>
              <w:left w:val="single" w:color="000000" w:sz="4" w:space="0"/>
              <w:bottom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restart"/>
            <w:tcBorders>
              <w:top w:val="single" w:color="000000" w:sz="4" w:space="0"/>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替代源排放情况</w:t>
            </w:r>
          </w:p>
        </w:tc>
        <w:tc>
          <w:tcPr>
            <w:tcW w:w="1020" w:type="pct"/>
            <w:tcBorders>
              <w:top w:val="single" w:color="000000"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污染源名称</w:t>
            </w:r>
          </w:p>
        </w:tc>
        <w:tc>
          <w:tcPr>
            <w:tcW w:w="740" w:type="pct"/>
            <w:gridSpan w:val="3"/>
            <w:tcBorders>
              <w:top w:val="single" w:color="000000" w:sz="4" w:space="0"/>
              <w:left w:val="single" w:color="auto"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排污许可证编号</w:t>
            </w:r>
          </w:p>
        </w:tc>
        <w:tc>
          <w:tcPr>
            <w:tcW w:w="624" w:type="pct"/>
            <w:gridSpan w:val="2"/>
            <w:tcBorders>
              <w:top w:val="single" w:color="000000"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污染物名称</w:t>
            </w:r>
          </w:p>
        </w:tc>
        <w:tc>
          <w:tcPr>
            <w:tcW w:w="779" w:type="pct"/>
            <w:tcBorders>
              <w:top w:val="single" w:color="000000" w:sz="4" w:space="0"/>
              <w:left w:val="single" w:color="auto"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排放量/（t/a）</w:t>
            </w:r>
          </w:p>
        </w:tc>
        <w:tc>
          <w:tcPr>
            <w:tcW w:w="1127" w:type="pct"/>
            <w:gridSpan w:val="2"/>
            <w:tcBorders>
              <w:top w:val="single" w:color="000000"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排放浓度/（mg/L）</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continue"/>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sz w:val="20"/>
                <w:szCs w:val="20"/>
                <w:highlight w:val="none"/>
              </w:rPr>
            </w:pPr>
          </w:p>
        </w:tc>
        <w:tc>
          <w:tcPr>
            <w:tcW w:w="1020" w:type="pct"/>
            <w:tcBorders>
              <w:top w:val="single" w:color="auto"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740" w:type="pct"/>
            <w:gridSpan w:val="3"/>
            <w:tcBorders>
              <w:top w:val="single" w:color="auto" w:sz="4" w:space="0"/>
              <w:left w:val="single" w:color="auto"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624" w:type="pct"/>
            <w:gridSpan w:val="2"/>
            <w:tcBorders>
              <w:top w:val="single" w:color="auto"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779" w:type="pct"/>
            <w:tcBorders>
              <w:top w:val="single" w:color="auto" w:sz="4" w:space="0"/>
              <w:left w:val="single" w:color="auto"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c>
          <w:tcPr>
            <w:tcW w:w="1127" w:type="pct"/>
            <w:gridSpan w:val="2"/>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生态流量确定</w:t>
            </w:r>
          </w:p>
        </w:tc>
        <w:tc>
          <w:tcPr>
            <w:tcW w:w="4290" w:type="pct"/>
            <w:gridSpan w:val="9"/>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生态流量：一般水期（）m</w:t>
            </w:r>
            <w:r>
              <w:rPr>
                <w:rFonts w:hint="default" w:ascii="Times New Roman" w:hAnsi="Times New Roman" w:cs="Times New Roman"/>
                <w:highlight w:val="none"/>
                <w:vertAlign w:val="superscript"/>
              </w:rPr>
              <w:t>3</w:t>
            </w:r>
            <w:r>
              <w:rPr>
                <w:rFonts w:hint="default" w:ascii="Times New Roman" w:hAnsi="Times New Roman" w:cs="Times New Roman"/>
                <w:highlight w:val="none"/>
              </w:rPr>
              <w:t>/s；鱼类繁殖期（）m</w:t>
            </w:r>
            <w:r>
              <w:rPr>
                <w:rFonts w:hint="default" w:ascii="Times New Roman" w:hAnsi="Times New Roman" w:cs="Times New Roman"/>
                <w:highlight w:val="none"/>
                <w:vertAlign w:val="superscript"/>
              </w:rPr>
              <w:t>3</w:t>
            </w:r>
            <w:r>
              <w:rPr>
                <w:rFonts w:hint="default" w:ascii="Times New Roman" w:hAnsi="Times New Roman" w:cs="Times New Roman"/>
                <w:highlight w:val="none"/>
              </w:rPr>
              <w:t>/s；其他（）m</w:t>
            </w:r>
            <w:r>
              <w:rPr>
                <w:rFonts w:hint="default" w:ascii="Times New Roman" w:hAnsi="Times New Roman" w:cs="Times New Roman"/>
                <w:highlight w:val="none"/>
                <w:vertAlign w:val="superscript"/>
              </w:rPr>
              <w:t>3</w:t>
            </w:r>
            <w:r>
              <w:rPr>
                <w:rFonts w:hint="default" w:ascii="Times New Roman" w:hAnsi="Times New Roman" w:cs="Times New Roman"/>
                <w:highlight w:val="none"/>
              </w:rPr>
              <w:t>/s</w:t>
            </w:r>
          </w:p>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生态水位：一般水期（）m；鱼类繁殖期（）m；其他（）m</w:t>
            </w:r>
          </w:p>
        </w:tc>
      </w:tr>
      <w:tr>
        <w:tblPrEx>
          <w:tblCellMar>
            <w:top w:w="0" w:type="dxa"/>
            <w:left w:w="0" w:type="dxa"/>
            <w:bottom w:w="0" w:type="dxa"/>
            <w:right w:w="0" w:type="dxa"/>
          </w:tblCellMar>
        </w:tblPrEx>
        <w:trPr>
          <w:trHeight w:val="283" w:hRule="atLeast"/>
          <w:jc w:val="center"/>
        </w:trPr>
        <w:tc>
          <w:tcPr>
            <w:tcW w:w="197" w:type="pct"/>
            <w:vMerge w:val="restart"/>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防治措施</w:t>
            </w:r>
          </w:p>
        </w:tc>
        <w:tc>
          <w:tcPr>
            <w:tcW w:w="513" w:type="pct"/>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环保措施</w:t>
            </w:r>
          </w:p>
        </w:tc>
        <w:tc>
          <w:tcPr>
            <w:tcW w:w="4290" w:type="pct"/>
            <w:gridSpan w:val="9"/>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污水处理设施回；水文减缓设施□；生态流量保障设施</w:t>
            </w:r>
            <w:r>
              <w:rPr>
                <w:rFonts w:hint="default" w:ascii="Times New Roman" w:hAnsi="Times New Roman" w:cs="Times New Roman"/>
                <w:highlight w:val="none"/>
              </w:rPr>
              <w:sym w:font="Wingdings" w:char="00FE"/>
            </w:r>
            <w:r>
              <w:rPr>
                <w:rFonts w:hint="default" w:ascii="Times New Roman" w:hAnsi="Times New Roman" w:cs="Times New Roman"/>
                <w:highlight w:val="none"/>
              </w:rPr>
              <w:t>；区域削减□；依托其他工程措施□；其他□</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restart"/>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监测计划</w:t>
            </w:r>
          </w:p>
        </w:tc>
        <w:tc>
          <w:tcPr>
            <w:tcW w:w="1280" w:type="pct"/>
            <w:gridSpan w:val="2"/>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2255" w:type="pct"/>
            <w:gridSpan w:val="6"/>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环境质量</w:t>
            </w:r>
          </w:p>
        </w:tc>
        <w:tc>
          <w:tcPr>
            <w:tcW w:w="756" w:type="pct"/>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污染源</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1280" w:type="pct"/>
            <w:gridSpan w:val="2"/>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监测方式</w:t>
            </w:r>
          </w:p>
        </w:tc>
        <w:tc>
          <w:tcPr>
            <w:tcW w:w="2255" w:type="pct"/>
            <w:gridSpan w:val="6"/>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手动</w:t>
            </w:r>
            <w:r>
              <w:rPr>
                <w:rFonts w:hint="default" w:ascii="Times New Roman" w:hAnsi="Times New Roman" w:cs="Times New Roman"/>
                <w:highlight w:val="none"/>
              </w:rPr>
              <w:sym w:font="Wingdings" w:char="00FE"/>
            </w:r>
            <w:r>
              <w:rPr>
                <w:rFonts w:hint="default" w:ascii="Times New Roman" w:hAnsi="Times New Roman" w:cs="Times New Roman"/>
                <w:highlight w:val="none"/>
              </w:rPr>
              <w:t>；自动□；无监测□</w:t>
            </w:r>
          </w:p>
        </w:tc>
        <w:tc>
          <w:tcPr>
            <w:tcW w:w="756" w:type="pct"/>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手动□；自动□；无监测□</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1280" w:type="pct"/>
            <w:gridSpan w:val="2"/>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监测点位</w:t>
            </w:r>
          </w:p>
        </w:tc>
        <w:tc>
          <w:tcPr>
            <w:tcW w:w="2255" w:type="pct"/>
            <w:gridSpan w:val="6"/>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（上安水库、天竹水库及龙井溪山涧水取水口附近）</w:t>
            </w:r>
          </w:p>
        </w:tc>
        <w:tc>
          <w:tcPr>
            <w:tcW w:w="756" w:type="pct"/>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vMerge w:val="continue"/>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p>
        </w:tc>
        <w:tc>
          <w:tcPr>
            <w:tcW w:w="1280" w:type="pct"/>
            <w:gridSpan w:val="2"/>
            <w:tcBorders>
              <w:top w:val="single" w:color="auto"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监测因子</w:t>
            </w:r>
          </w:p>
        </w:tc>
        <w:tc>
          <w:tcPr>
            <w:tcW w:w="2255" w:type="pct"/>
            <w:gridSpan w:val="6"/>
            <w:tcBorders>
              <w:top w:val="single" w:color="auto" w:sz="4" w:space="0"/>
              <w:left w:val="single" w:color="auto"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spacing w:val="-5"/>
                <w:highlight w:val="none"/>
              </w:rPr>
              <w:t>水质：</w:t>
            </w:r>
            <w:r>
              <w:rPr>
                <w:rFonts w:hint="default" w:ascii="Times New Roman" w:hAnsi="Times New Roman" w:cs="Times New Roman"/>
                <w:highlight w:val="none"/>
              </w:rPr>
              <w:t>pH、溶解氧、高锰酸盐指数、CODcr、BOD</w:t>
            </w:r>
            <w:r>
              <w:rPr>
                <w:rFonts w:hint="default" w:ascii="Times New Roman" w:hAnsi="Times New Roman" w:cs="Times New Roman"/>
                <w:highlight w:val="none"/>
                <w:vertAlign w:val="subscript"/>
              </w:rPr>
              <w:t>5</w:t>
            </w:r>
            <w:r>
              <w:rPr>
                <w:rFonts w:hint="default" w:ascii="Times New Roman" w:hAnsi="Times New Roman" w:cs="Times New Roman"/>
                <w:highlight w:val="none"/>
              </w:rPr>
              <w:t>、氨氮、总磷、总氮、铜、锌、氟化物、硒、砷、汞、镉、铬（六价）、铅、氰化物、挥发酚、石油类、阴离子表面活性剂、硫化物、粪大肠菌群、硫酸盐、氯化物、硝酸盐、铁、锰、悬浮物、全盐量；底泥：pH、镉、汞、砷、铅、铬、铜、镍、锌</w:t>
            </w:r>
          </w:p>
        </w:tc>
        <w:tc>
          <w:tcPr>
            <w:tcW w:w="756" w:type="pct"/>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197" w:type="pct"/>
            <w:vMerge w:val="continue"/>
            <w:tcBorders>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b/>
                <w:highlight w:val="none"/>
              </w:rPr>
            </w:pPr>
          </w:p>
        </w:tc>
        <w:tc>
          <w:tcPr>
            <w:tcW w:w="513" w:type="pct"/>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污染物排放清单</w:t>
            </w:r>
          </w:p>
        </w:tc>
        <w:tc>
          <w:tcPr>
            <w:tcW w:w="4290" w:type="pct"/>
            <w:gridSpan w:val="9"/>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w:t>
            </w:r>
          </w:p>
        </w:tc>
      </w:tr>
      <w:tr>
        <w:tblPrEx>
          <w:tblCellMar>
            <w:top w:w="0" w:type="dxa"/>
            <w:left w:w="0" w:type="dxa"/>
            <w:bottom w:w="0" w:type="dxa"/>
            <w:right w:w="0" w:type="dxa"/>
          </w:tblCellMar>
        </w:tblPrEx>
        <w:trPr>
          <w:trHeight w:val="283" w:hRule="atLeast"/>
          <w:jc w:val="center"/>
        </w:trPr>
        <w:tc>
          <w:tcPr>
            <w:tcW w:w="710" w:type="pct"/>
            <w:gridSpan w:val="2"/>
            <w:tcBorders>
              <w:top w:val="single" w:color="auto" w:sz="4" w:space="0"/>
              <w:left w:val="single" w:color="000000" w:sz="4" w:space="0"/>
              <w:bottom w:val="single" w:color="auto" w:sz="4" w:space="0"/>
              <w:right w:val="single" w:color="auto"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评价结论</w:t>
            </w:r>
          </w:p>
        </w:tc>
        <w:tc>
          <w:tcPr>
            <w:tcW w:w="4290" w:type="pct"/>
            <w:gridSpan w:val="9"/>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可以接受</w:t>
            </w:r>
            <w:r>
              <w:rPr>
                <w:rFonts w:hint="default" w:ascii="Times New Roman" w:hAnsi="Times New Roman" w:cs="Times New Roman"/>
                <w:highlight w:val="none"/>
              </w:rPr>
              <w:sym w:font="Wingdings" w:char="00FE"/>
            </w:r>
            <w:r>
              <w:rPr>
                <w:rFonts w:hint="default" w:ascii="Times New Roman" w:hAnsi="Times New Roman" w:cs="Times New Roman"/>
                <w:highlight w:val="none"/>
              </w:rPr>
              <w:t>；不可以接受□</w:t>
            </w:r>
          </w:p>
        </w:tc>
      </w:tr>
      <w:tr>
        <w:tblPrEx>
          <w:tblCellMar>
            <w:top w:w="0" w:type="dxa"/>
            <w:left w:w="0" w:type="dxa"/>
            <w:bottom w:w="0" w:type="dxa"/>
            <w:right w:w="0" w:type="dxa"/>
          </w:tblCellMar>
        </w:tblPrEx>
        <w:trPr>
          <w:trHeight w:val="283" w:hRule="atLeast"/>
          <w:jc w:val="center"/>
        </w:trPr>
        <w:tc>
          <w:tcPr>
            <w:tcW w:w="5000" w:type="pct"/>
            <w:gridSpan w:val="11"/>
            <w:tcBorders>
              <w:top w:val="single" w:color="auto" w:sz="4" w:space="0"/>
              <w:left w:val="single" w:color="000000" w:sz="4" w:space="0"/>
              <w:bottom w:val="single" w:color="auto" w:sz="4" w:space="0"/>
              <w:right w:val="single" w:color="000000" w:sz="4" w:space="0"/>
            </w:tcBorders>
            <w:vAlign w:val="center"/>
          </w:tcPr>
          <w:p>
            <w:pPr>
              <w:pStyle w:val="19"/>
              <w:spacing w:line="260" w:lineRule="exact"/>
              <w:rPr>
                <w:rFonts w:hint="default" w:ascii="Times New Roman" w:hAnsi="Times New Roman" w:cs="Times New Roman"/>
                <w:highlight w:val="none"/>
              </w:rPr>
            </w:pPr>
            <w:r>
              <w:rPr>
                <w:rFonts w:hint="default" w:ascii="Times New Roman" w:hAnsi="Times New Roman" w:cs="Times New Roman"/>
                <w:highlight w:val="none"/>
              </w:rPr>
              <w:t>注：“□”为勾选项，可√；“（）”为内容填写项；“备注”为其他补充内容。</w:t>
            </w:r>
          </w:p>
        </w:tc>
      </w:tr>
    </w:tbl>
    <w:p>
      <w:pPr>
        <w:pStyle w:val="3"/>
        <w:numPr>
          <w:ilvl w:val="1"/>
          <w:numId w:val="5"/>
        </w:numPr>
        <w:spacing w:before="120" w:after="120"/>
        <w:rPr>
          <w:rFonts w:hint="default" w:ascii="Times New Roman" w:hAnsi="Times New Roman" w:cs="Times New Roman"/>
          <w:color w:val="auto"/>
          <w:highlight w:val="none"/>
        </w:rPr>
      </w:pPr>
      <w:bookmarkStart w:id="131" w:name="_Toc24514"/>
      <w:bookmarkStart w:id="132" w:name="_Toc52"/>
      <w:r>
        <w:rPr>
          <w:rFonts w:hint="default" w:ascii="Times New Roman" w:hAnsi="Times New Roman" w:cs="Times New Roman"/>
          <w:color w:val="auto"/>
          <w:highlight w:val="none"/>
        </w:rPr>
        <w:t>地下水环境影响分析</w:t>
      </w:r>
      <w:bookmarkEnd w:id="131"/>
      <w:bookmarkEnd w:id="132"/>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工程区场地及管道沿线地表水大多表现为雨季坡面流、小冲沟迳流及河道河水等。场地地下水主要类型为赋存于第四系松散堆积物中的孔隙潜水及赋存于下部基岩裂隙中的裂隙潜水。其中孔隙潜水主要接受大气降水和地表径流补给，富水性较弱，受气候环境影响较大；基岩裂隙潜水主要接受大气降水和地下水侧向补给。</w:t>
      </w:r>
    </w:p>
    <w:p>
      <w:pPr>
        <w:tabs>
          <w:tab w:val="left" w:pos="0"/>
        </w:tabs>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本项目工程分为取水工程及配水工程，根据总则部分地下水评价等级，取水工程地下水评价等级属于三级；配水工程属于Ⅳ类，不评价地下水工作等级。因此，本环评地下水环境影响分析仅分析取水工程对地下水的影响。分析如下：</w:t>
      </w:r>
    </w:p>
    <w:p>
      <w:pPr>
        <w:tabs>
          <w:tab w:val="left" w:pos="0"/>
        </w:tabs>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本项目取水工程对地下水的影响仅为施工期，项目取水工程施工期管道埋深很浅</w:t>
      </w:r>
      <w:r>
        <w:rPr>
          <w:rFonts w:hint="default" w:ascii="Times New Roman" w:hAnsi="Times New Roman" w:cs="Times New Roman"/>
          <w:color w:val="auto"/>
          <w:highlight w:val="none"/>
        </w:rPr>
        <w:t>，涉及的地下水属孔隙潜水，丰水期接受大气降水补给，排泄补给地表水，</w:t>
      </w:r>
      <w:r>
        <w:rPr>
          <w:rFonts w:hint="default" w:ascii="Times New Roman" w:hAnsi="Times New Roman" w:cs="Times New Roman"/>
          <w:color w:val="auto"/>
          <w:highlight w:val="none"/>
          <w:lang w:val="en-US"/>
        </w:rPr>
        <w:t>枯水期地下水水位下降。埋管施工基本上不会造成地下水水位的变化。</w:t>
      </w:r>
    </w:p>
    <w:p>
      <w:pPr>
        <w:tabs>
          <w:tab w:val="left" w:pos="0"/>
        </w:tabs>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施工期间，施工工区产生的施工废水和施工营地人员的生活污水、余泥、建筑垃圾及施工过程中机械维修产生的</w:t>
      </w:r>
      <w:r>
        <w:rPr>
          <w:rFonts w:hint="default" w:ascii="Times New Roman" w:hAnsi="Times New Roman" w:cs="Times New Roman"/>
          <w:color w:val="auto"/>
          <w:highlight w:val="none"/>
          <w:lang w:val="en-US" w:eastAsia="zh-CN"/>
        </w:rPr>
        <w:t>废</w:t>
      </w:r>
      <w:r>
        <w:rPr>
          <w:rFonts w:hint="default" w:ascii="Times New Roman" w:hAnsi="Times New Roman" w:cs="Times New Roman"/>
          <w:color w:val="auto"/>
          <w:highlight w:val="none"/>
        </w:rPr>
        <w:t>油滴漏等若处理不当，可能对当地地下水产生不良影响。</w:t>
      </w:r>
    </w:p>
    <w:p>
      <w:pPr>
        <w:tabs>
          <w:tab w:val="left" w:pos="0"/>
        </w:tabs>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本项目沿线无地下水集中式饮用水水源地一级、二级及准保护区，不会引起地下水流场或地下水水位变化，地下水环境敏感程度属于不敏感，本工程建设不会引起水文地质问题，但是要防止施工过程中出现的机械漏油等污染物经淋滤进入地下水并对地下水造成影响。</w:t>
      </w:r>
    </w:p>
    <w:p>
      <w:pPr>
        <w:tabs>
          <w:tab w:val="left" w:pos="0"/>
        </w:tabs>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本工程施工污废水经处理达标后尽量回用，余泥及建筑垃圾等统一收集后外运综合利用，因此，只要加强施工期环境管理，并且按照相关工程施工要求，施工工区对地下水环境影响较小。</w:t>
      </w:r>
    </w:p>
    <w:p>
      <w:pPr>
        <w:pStyle w:val="3"/>
        <w:numPr>
          <w:ilvl w:val="1"/>
          <w:numId w:val="5"/>
        </w:numPr>
        <w:spacing w:before="120" w:after="120"/>
        <w:rPr>
          <w:rFonts w:hint="default" w:ascii="Times New Roman" w:hAnsi="Times New Roman" w:cs="Times New Roman"/>
          <w:color w:val="auto"/>
          <w:highlight w:val="none"/>
        </w:rPr>
      </w:pPr>
      <w:bookmarkStart w:id="133" w:name="_Toc30337"/>
      <w:bookmarkStart w:id="134" w:name="_Toc24455"/>
      <w:r>
        <w:rPr>
          <w:rFonts w:hint="default" w:ascii="Times New Roman" w:hAnsi="Times New Roman" w:cs="Times New Roman"/>
          <w:color w:val="auto"/>
          <w:highlight w:val="none"/>
        </w:rPr>
        <w:t>声环境影响分析</w:t>
      </w:r>
      <w:bookmarkEnd w:id="133"/>
      <w:bookmarkEnd w:id="134"/>
    </w:p>
    <w:p>
      <w:pPr>
        <w:pStyle w:val="4"/>
        <w:numPr>
          <w:ilvl w:val="2"/>
          <w:numId w:val="5"/>
        </w:numPr>
        <w:tabs>
          <w:tab w:val="left" w:pos="420"/>
        </w:tabs>
        <w:spacing w:before="120" w:after="12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施工期声环境影响分析</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施工噪声影响</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(1)噪声源强</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项目各种施工机械设备和施工车辆噪声源强如下表所示。</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项目施工期主要噪声源强一览表</w:t>
      </w:r>
    </w:p>
    <w:tbl>
      <w:tblPr>
        <w:tblStyle w:val="16"/>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12"/>
        <w:gridCol w:w="1774"/>
        <w:gridCol w:w="2321"/>
        <w:gridCol w:w="2217"/>
        <w:gridCol w:w="140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19"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施工阶段</w:t>
            </w:r>
          </w:p>
        </w:tc>
        <w:tc>
          <w:tcPr>
            <w:tcW w:w="961"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施工设备</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测点与设备距离（m）</w:t>
            </w:r>
          </w:p>
        </w:tc>
        <w:tc>
          <w:tcPr>
            <w:tcW w:w="1201"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近场声级（dB</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土石方阶段</w:t>
            </w:r>
          </w:p>
        </w:tc>
        <w:tc>
          <w:tcPr>
            <w:tcW w:w="96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推土机</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反铲挖掘机</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84</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手风钻</w:t>
            </w:r>
          </w:p>
        </w:tc>
        <w:tc>
          <w:tcPr>
            <w:tcW w:w="1257"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混凝土施工</w:t>
            </w:r>
          </w:p>
        </w:tc>
        <w:tc>
          <w:tcPr>
            <w:tcW w:w="96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砼拌和机</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砂浆搅拌机</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水泵</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交通运输车辆</w:t>
            </w:r>
          </w:p>
        </w:tc>
        <w:tc>
          <w:tcPr>
            <w:tcW w:w="961" w:type="pct"/>
            <w:noWrap w:val="0"/>
            <w:vAlign w:val="center"/>
          </w:tcPr>
          <w:p>
            <w:pPr>
              <w:pStyle w:val="19"/>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装载机</w:t>
            </w:r>
          </w:p>
        </w:tc>
        <w:tc>
          <w:tcPr>
            <w:tcW w:w="1257"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59"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自卸手扶拖拉机</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86</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自卸汽车</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82</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动力翻斗车</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83</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汽车起重机</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restar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其他</w:t>
            </w:r>
          </w:p>
        </w:tc>
        <w:tc>
          <w:tcPr>
            <w:tcW w:w="961" w:type="pct"/>
            <w:noWrap w:val="0"/>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空压机</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88</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lang w:val="en-US" w:eastAsia="zh-CN"/>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轴流风机</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lang w:val="en-US" w:eastAsia="zh-CN"/>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变压器</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73</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lang w:val="en-US" w:eastAsia="zh-CN"/>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柴油发电机</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95</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lang w:val="en-US" w:eastAsia="zh-CN"/>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木材加工设备</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93</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9" w:type="pct"/>
            <w:vMerge w:val="continue"/>
            <w:noWrap w:val="0"/>
            <w:vAlign w:val="center"/>
          </w:tcPr>
          <w:p>
            <w:pPr>
              <w:pStyle w:val="19"/>
              <w:bidi w:val="0"/>
              <w:rPr>
                <w:rFonts w:hint="default" w:ascii="Times New Roman" w:hAnsi="Times New Roman" w:cs="Times New Roman"/>
                <w:color w:val="auto"/>
                <w:highlight w:val="none"/>
                <w:lang w:val="en-US" w:eastAsia="zh-CN"/>
              </w:rPr>
            </w:pPr>
          </w:p>
        </w:tc>
        <w:tc>
          <w:tcPr>
            <w:tcW w:w="961"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钢筋加工设备</w:t>
            </w:r>
          </w:p>
        </w:tc>
        <w:tc>
          <w:tcPr>
            <w:tcW w:w="1257"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201" w:type="pct"/>
            <w:noWrap w:val="0"/>
            <w:vAlign w:val="center"/>
          </w:tcPr>
          <w:p>
            <w:pPr>
              <w:pStyle w:val="19"/>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95</w:t>
            </w:r>
          </w:p>
        </w:tc>
        <w:tc>
          <w:tcPr>
            <w:tcW w:w="759" w:type="pct"/>
            <w:noWrap w:val="0"/>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6套</w:t>
            </w:r>
          </w:p>
        </w:tc>
      </w:tr>
    </w:tbl>
    <w:p>
      <w:pPr>
        <w:ind w:firstLine="480"/>
        <w:rPr>
          <w:rFonts w:hint="default" w:ascii="Times New Roman" w:hAnsi="Times New Roman" w:cs="Times New Roman"/>
          <w:color w:val="auto"/>
          <w:highlight w:val="none"/>
        </w:rPr>
      </w:pP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(2)预测模式</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施工噪声可近似视为点声源处理，其衰减模式如下：</w:t>
      </w:r>
    </w:p>
    <w:p>
      <w:pPr>
        <w:ind w:firstLine="480"/>
        <w:jc w:val="center"/>
        <w:rPr>
          <w:rFonts w:hint="default" w:ascii="Times New Roman" w:hAnsi="Times New Roman" w:cs="Times New Roman"/>
          <w:color w:val="auto"/>
          <w:highlight w:val="none"/>
        </w:rPr>
      </w:pPr>
      <w:r>
        <w:rPr>
          <w:rFonts w:hint="default" w:ascii="Times New Roman" w:hAnsi="Times New Roman" w:cs="Times New Roman"/>
          <w:color w:val="auto"/>
          <w:position w:val="-14"/>
          <w:highlight w:val="none"/>
        </w:rPr>
        <w:object>
          <v:shape id="_x0000_i1067" o:spt="75" type="#_x0000_t75" style="height:17.85pt;width:152.05pt;" o:ole="t" filled="f" o:preferrelative="t" stroked="f" coordsize="21600,21600">
            <v:path/>
            <v:fill on="f" focussize="0,0"/>
            <v:stroke on="f" joinstyle="miter"/>
            <v:imagedata r:id="rId128" o:title=""/>
            <o:lock v:ext="edit" aspectratio="t"/>
            <w10:wrap type="none"/>
            <w10:anchorlock/>
          </v:shape>
          <o:OLEObject Type="Embed" ProgID="Equation.3" ShapeID="_x0000_i1067" DrawAspect="Content" ObjectID="_1468075767" r:id="rId127">
            <o:LockedField>false</o:LockedField>
          </o:OLEObject>
        </w:object>
      </w:r>
    </w:p>
    <w:p>
      <w:pPr>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式中：Lp——距声源r米处的施工噪声预测值，dB(A)；</w:t>
      </w:r>
    </w:p>
    <w:p>
      <w:pPr>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Lp</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——距声源r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米处的参考声级，dB(A)；</w:t>
      </w:r>
    </w:p>
    <w:p>
      <w:pPr>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——Lp</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噪声的测点距离(5m或1m)，m。</w:t>
      </w:r>
    </w:p>
    <w:p>
      <w:pPr>
        <w:ind w:firstLine="679" w:firstLineChars="283"/>
        <w:rPr>
          <w:rFonts w:hint="default" w:ascii="Times New Roman" w:hAnsi="Times New Roman" w:cs="Times New Roman"/>
          <w:color w:val="auto"/>
          <w:highlight w:val="none"/>
        </w:rPr>
      </w:pPr>
      <w:r>
        <w:rPr>
          <w:rFonts w:hint="default" w:ascii="Times New Roman" w:hAnsi="Times New Roman" w:cs="Times New Roman"/>
          <w:color w:val="auto"/>
          <w:highlight w:val="none"/>
        </w:rPr>
        <w:t>△L——采取各种措施后的噪声衰减量，dB(A)。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施工期主要噪声源有施工机械如挖掘机、运输车辆、搅拌机等，以及基础开挖等施工行为。</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对于多台施工机械对某个预测点的影响，进行声级迭加：</w:t>
      </w:r>
    </w:p>
    <w:p>
      <w:pPr>
        <w:ind w:firstLine="480"/>
        <w:jc w:val="center"/>
        <w:rPr>
          <w:rFonts w:hint="default" w:ascii="Times New Roman" w:hAnsi="Times New Roman" w:cs="Times New Roman"/>
          <w:color w:val="auto"/>
          <w:highlight w:val="none"/>
        </w:rPr>
      </w:pPr>
      <w:r>
        <w:rPr>
          <w:rFonts w:hint="default" w:ascii="Times New Roman" w:hAnsi="Times New Roman" w:cs="Times New Roman"/>
          <w:color w:val="auto"/>
          <w:position w:val="-14"/>
          <w:highlight w:val="none"/>
        </w:rPr>
        <w:object>
          <v:shape id="_x0000_i1068" o:spt="75" type="#_x0000_t75" style="height:23.05pt;width:101.95pt;" o:ole="t" filled="f" o:preferrelative="t" stroked="f" coordsize="21600,21600">
            <v:path/>
            <v:fill on="f" focussize="0,0"/>
            <v:stroke on="f" joinstyle="miter"/>
            <v:imagedata r:id="rId130" o:title=""/>
            <o:lock v:ext="edit" aspectratio="t"/>
            <w10:wrap type="none"/>
            <w10:anchorlock/>
          </v:shape>
          <o:OLEObject Type="Embed" ProgID="Equation.3" ShapeID="_x0000_i1068" DrawAspect="Content" ObjectID="_1468075768" r:id="rId129">
            <o:LockedField>false</o:LockedField>
          </o:OLEObject>
        </w:objec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(3)根据源强及预测模式，可得出如下预测结果：</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噪声预测结果一览表    单位：dB(A)</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554"/>
        <w:gridCol w:w="590"/>
        <w:gridCol w:w="590"/>
        <w:gridCol w:w="590"/>
        <w:gridCol w:w="590"/>
        <w:gridCol w:w="695"/>
        <w:gridCol w:w="695"/>
        <w:gridCol w:w="695"/>
        <w:gridCol w:w="695"/>
        <w:gridCol w:w="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6" w:type="pct"/>
            <w:vMerge w:val="restar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设备名称</w:t>
            </w:r>
          </w:p>
        </w:tc>
        <w:tc>
          <w:tcPr>
            <w:tcW w:w="998" w:type="pct"/>
            <w:vMerge w:val="restar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声级（5m处）</w:t>
            </w:r>
          </w:p>
        </w:tc>
        <w:tc>
          <w:tcPr>
            <w:tcW w:w="2904" w:type="pct"/>
            <w:gridSpan w:val="9"/>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6" w:type="pct"/>
            <w:vMerge w:val="continue"/>
            <w:vAlign w:val="center"/>
          </w:tcPr>
          <w:p>
            <w:pPr>
              <w:pStyle w:val="19"/>
              <w:bidi w:val="0"/>
              <w:rPr>
                <w:rFonts w:hint="default" w:ascii="Times New Roman" w:hAnsi="Times New Roman" w:cs="Times New Roman"/>
                <w:color w:val="auto"/>
                <w:highlight w:val="none"/>
              </w:rPr>
            </w:pPr>
          </w:p>
        </w:tc>
        <w:tc>
          <w:tcPr>
            <w:tcW w:w="998" w:type="pct"/>
            <w:vMerge w:val="continue"/>
            <w:vAlign w:val="center"/>
          </w:tcPr>
          <w:p>
            <w:pPr>
              <w:pStyle w:val="19"/>
              <w:bidi w:val="0"/>
              <w:rPr>
                <w:rFonts w:hint="default" w:ascii="Times New Roman" w:hAnsi="Times New Roman" w:cs="Times New Roman"/>
                <w:color w:val="auto"/>
                <w:highlight w:val="none"/>
              </w:rPr>
            </w:pPr>
          </w:p>
        </w:tc>
        <w:tc>
          <w:tcPr>
            <w:tcW w:w="276" w:type="pct"/>
            <w:vAlign w:val="center"/>
          </w:tcPr>
          <w:p>
            <w:pPr>
              <w:pStyle w:val="19"/>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15m</w:t>
            </w:r>
          </w:p>
        </w:tc>
        <w:tc>
          <w:tcPr>
            <w:tcW w:w="27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25m</w:t>
            </w:r>
          </w:p>
        </w:tc>
        <w:tc>
          <w:tcPr>
            <w:tcW w:w="27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50m</w:t>
            </w:r>
          </w:p>
        </w:tc>
        <w:tc>
          <w:tcPr>
            <w:tcW w:w="27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75m</w:t>
            </w:r>
          </w:p>
        </w:tc>
        <w:tc>
          <w:tcPr>
            <w:tcW w:w="345"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100m</w:t>
            </w:r>
          </w:p>
        </w:tc>
        <w:tc>
          <w:tcPr>
            <w:tcW w:w="345"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200m</w:t>
            </w:r>
          </w:p>
        </w:tc>
        <w:tc>
          <w:tcPr>
            <w:tcW w:w="345"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300m</w:t>
            </w:r>
          </w:p>
        </w:tc>
        <w:tc>
          <w:tcPr>
            <w:tcW w:w="345"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500m</w:t>
            </w:r>
          </w:p>
        </w:tc>
        <w:tc>
          <w:tcPr>
            <w:tcW w:w="417" w:type="pct"/>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推土机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反铲挖掘机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84</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74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60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52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44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38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手风钻</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砼拌和机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砂浆搅拌机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水泵</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装载机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自卸手扶拖拉机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86</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72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62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60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46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自卸汽车</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82</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72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68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62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42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动力翻斗车</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83</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69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43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汽车起重机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90</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76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70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58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50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空压机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88</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78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74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68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64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62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56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52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48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轴流风机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85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39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变压器</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73</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41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37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33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27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柴油发电机</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木材加工设备</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93</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79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73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57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53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47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6"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钢筋加工设备</w:t>
            </w:r>
          </w:p>
        </w:tc>
        <w:tc>
          <w:tcPr>
            <w:tcW w:w="998" w:type="pct"/>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95</w:t>
            </w:r>
          </w:p>
        </w:tc>
        <w:tc>
          <w:tcPr>
            <w:tcW w:w="590"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81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75 </w:t>
            </w:r>
          </w:p>
        </w:tc>
        <w:tc>
          <w:tcPr>
            <w:tcW w:w="502"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71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63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59 </w:t>
            </w:r>
          </w:p>
        </w:tc>
        <w:tc>
          <w:tcPr>
            <w:tcW w:w="629" w:type="dxa"/>
            <w:vAlign w:val="center"/>
          </w:tcPr>
          <w:p>
            <w:pPr>
              <w:pStyle w:val="19"/>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55 </w:t>
            </w:r>
          </w:p>
        </w:tc>
        <w:tc>
          <w:tcPr>
            <w:tcW w:w="767" w:type="dxa"/>
            <w:vAlign w:val="center"/>
          </w:tcPr>
          <w:p>
            <w:pPr>
              <w:pStyle w:val="1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49 </w:t>
            </w:r>
          </w:p>
        </w:tc>
      </w:tr>
    </w:tbl>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(4)影响分析</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从表4.5-2可知：单一设备运行时，昼间在距施工场地</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m、夜间距施工场地</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00m处才能满足《建筑施工场界环境噪声排放标准》(GB12523-2011)[即昼间≤70dB(A)、夜间≤55dB(A)]要求。</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多台设备同时运行时(假定为2台，在5m处的噪声级均为8</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dB(A))，昼间在距施工场地</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m、夜间距施工场地</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20m处才能满足GB12523-2011要求。</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因此，为使施工场界噪声达标，建设单位应合理布设施工区，尽量将高噪声设备远离场界布置，避免高噪声设备同时作业，并采取隔声、减震等措施。</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本项目取水工程周边无敏感目标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供水管道入城区域沿线分布有较多的居民，且均从这些居住区穿越，供水管道施工噪声对周边敏感点产生的影响较大，施工噪声主要影响沿线住户，对后排住户的影响较小。由于项目夜间不施工，通过采取设置移动式声屏障、禁止午间12:00~14:30施工等措施，能最大限度的降低噪声对沿线居民的影响。</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运输噪声影响</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过程中，需进行管材、土方、水泥、固废的运输，在物料运输过程中，交通噪声将对运输路线沿途声环境产生一定的影响，通过采取调整运输车辆车速、禁鸣喇叭，合理安排运输时间等措施，运输车辆对沿线声环境的噪声贡献值较小，且随着工期结束，产生的影响也随之消失。</w:t>
      </w:r>
    </w:p>
    <w:p>
      <w:pPr>
        <w:pStyle w:val="4"/>
        <w:numPr>
          <w:ilvl w:val="2"/>
          <w:numId w:val="5"/>
        </w:numPr>
        <w:tabs>
          <w:tab w:val="left" w:pos="420"/>
        </w:tabs>
        <w:spacing w:before="120" w:after="12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运行期</w:t>
      </w:r>
      <w:r>
        <w:rPr>
          <w:rFonts w:hint="default" w:ascii="Times New Roman" w:hAnsi="Times New Roman" w:cs="Times New Roman"/>
          <w:color w:val="auto"/>
          <w:highlight w:val="none"/>
        </w:rPr>
        <w:t>声环境影响分析</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预测模式</w:t>
      </w:r>
    </w:p>
    <w:p>
      <w:pPr>
        <w:widowControl/>
        <w:ind w:firstLine="480"/>
        <w:jc w:val="left"/>
        <w:rPr>
          <w:rFonts w:hint="default" w:ascii="Times New Roman" w:hAnsi="Times New Roman" w:cs="Times New Roman"/>
          <w:color w:val="auto"/>
          <w:highlight w:val="none"/>
        </w:rPr>
      </w:pPr>
      <w:r>
        <w:rPr>
          <w:rFonts w:hint="default" w:ascii="Times New Roman" w:hAnsi="Times New Roman" w:cs="Times New Roman"/>
          <w:color w:val="auto"/>
          <w:szCs w:val="24"/>
          <w:highlight w:val="none"/>
          <w:lang w:bidi="ar"/>
        </w:rPr>
        <w:t>根据《环境影响评价技术导则 》(HJ 2.4-2009)，以点声源衰减模式进行工程噪声计算时，仅考虑点声源到不同距离处经距离衰减  的噪声，并对声源的贡献值进行分析。</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(1)声级计算</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建设项目声源在预测点产生的等级贡献值(</w:t>
      </w:r>
      <w:r>
        <w:rPr>
          <w:rFonts w:hint="default" w:ascii="Times New Roman" w:hAnsi="Times New Roman" w:cs="Times New Roman"/>
          <w:color w:val="auto"/>
          <w:position w:val="-14"/>
          <w:highlight w:val="none"/>
          <w:lang w:val="en-US"/>
        </w:rPr>
        <w:drawing>
          <wp:inline distT="0" distB="0" distL="0" distR="0">
            <wp:extent cx="280035" cy="238760"/>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280035" cy="238760"/>
                    </a:xfrm>
                    <a:prstGeom prst="rect">
                      <a:avLst/>
                    </a:prstGeom>
                    <a:noFill/>
                    <a:ln>
                      <a:noFill/>
                    </a:ln>
                  </pic:spPr>
                </pic:pic>
              </a:graphicData>
            </a:graphic>
          </wp:inline>
        </w:drawing>
      </w:r>
      <w:r>
        <w:rPr>
          <w:rFonts w:hint="default" w:ascii="Times New Roman" w:hAnsi="Times New Roman" w:cs="Times New Roman"/>
          <w:color w:val="auto"/>
          <w:highlight w:val="none"/>
        </w:rPr>
        <w:t>)计算公式：</w:t>
      </w:r>
    </w:p>
    <w:p>
      <w:pPr>
        <w:ind w:firstLine="0" w:firstLineChars="0"/>
        <w:jc w:val="center"/>
        <w:rPr>
          <w:rFonts w:hint="default" w:ascii="Times New Roman" w:hAnsi="Times New Roman" w:cs="Times New Roman"/>
          <w:color w:val="0000FF"/>
          <w:highlight w:val="none"/>
        </w:rPr>
      </w:pPr>
      <w:r>
        <w:rPr>
          <w:rFonts w:hint="default" w:ascii="Times New Roman" w:hAnsi="Times New Roman" w:cs="Times New Roman"/>
          <w:color w:val="0000FF"/>
          <w:position w:val="-28"/>
          <w:highlight w:val="none"/>
          <w:lang w:val="en-US"/>
        </w:rPr>
        <w:drawing>
          <wp:inline distT="0" distB="0" distL="0" distR="0">
            <wp:extent cx="1664970" cy="416560"/>
            <wp:effectExtent l="0" t="0" r="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1664970" cy="416560"/>
                    </a:xfrm>
                    <a:prstGeom prst="rect">
                      <a:avLst/>
                    </a:prstGeom>
                    <a:noFill/>
                    <a:ln>
                      <a:noFill/>
                    </a:ln>
                  </pic:spPr>
                </pic:pic>
              </a:graphicData>
            </a:graphic>
          </wp:inline>
        </w:drawing>
      </w:r>
    </w:p>
    <w:p>
      <w:pPr>
        <w:spacing w:line="56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position w:val="-14"/>
          <w:highlight w:val="none"/>
          <w:lang w:val="en-US"/>
        </w:rPr>
        <w:drawing>
          <wp:inline distT="0" distB="0" distL="0" distR="0">
            <wp:extent cx="280035" cy="238760"/>
            <wp:effectExtent l="0" t="0" r="571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80035" cy="238760"/>
                    </a:xfrm>
                    <a:prstGeom prst="rect">
                      <a:avLst/>
                    </a:prstGeom>
                    <a:noFill/>
                    <a:ln>
                      <a:noFill/>
                    </a:ln>
                  </pic:spPr>
                </pic:pic>
              </a:graphicData>
            </a:graphic>
          </wp:inline>
        </w:drawing>
      </w:r>
      <w:r>
        <w:rPr>
          <w:rFonts w:hint="default" w:ascii="Times New Roman" w:hAnsi="Times New Roman" w:cs="Times New Roman"/>
          <w:color w:val="auto"/>
          <w:highlight w:val="none"/>
        </w:rPr>
        <w:t>—建设项目声源在预测点的等效声级贡献值，dB(A)</w:t>
      </w:r>
    </w:p>
    <w:p>
      <w:pPr>
        <w:spacing w:line="560" w:lineRule="exact"/>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lang w:val="en-US"/>
        </w:rPr>
        <w:drawing>
          <wp:inline distT="0" distB="0" distL="0" distR="0">
            <wp:extent cx="334645" cy="3003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334645" cy="300355"/>
                    </a:xfrm>
                    <a:prstGeom prst="rect">
                      <a:avLst/>
                    </a:prstGeom>
                    <a:noFill/>
                    <a:ln>
                      <a:noFill/>
                    </a:ln>
                  </pic:spPr>
                </pic:pic>
              </a:graphicData>
            </a:graphic>
          </wp:inline>
        </w:drawing>
      </w:r>
      <w:r>
        <w:rPr>
          <w:rFonts w:hint="default" w:ascii="Times New Roman" w:hAnsi="Times New Roman" w:cs="Times New Roman"/>
          <w:color w:val="auto"/>
          <w:highlight w:val="none"/>
        </w:rPr>
        <w:t>—</w:t>
      </w:r>
      <w:r>
        <w:rPr>
          <w:rFonts w:hint="default" w:ascii="Times New Roman" w:hAnsi="Times New Roman" w:cs="Times New Roman"/>
          <w:color w:val="auto"/>
          <w:position w:val="-6"/>
          <w:highlight w:val="none"/>
          <w:lang w:val="en-US"/>
        </w:rPr>
        <w:drawing>
          <wp:inline distT="0" distB="0" distL="0" distR="0">
            <wp:extent cx="88900" cy="163830"/>
            <wp:effectExtent l="0" t="0" r="635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88900" cy="163830"/>
                    </a:xfrm>
                    <a:prstGeom prst="rect">
                      <a:avLst/>
                    </a:prstGeom>
                    <a:noFill/>
                    <a:ln>
                      <a:noFill/>
                    </a:ln>
                  </pic:spPr>
                </pic:pic>
              </a:graphicData>
            </a:graphic>
          </wp:inline>
        </w:drawing>
      </w:r>
      <w:r>
        <w:rPr>
          <w:rFonts w:hint="default" w:ascii="Times New Roman" w:hAnsi="Times New Roman" w:cs="Times New Roman"/>
          <w:color w:val="auto"/>
          <w:highlight w:val="none"/>
        </w:rPr>
        <w:t>声源在预测点产生的A声级，dB(A)</w:t>
      </w:r>
    </w:p>
    <w:p>
      <w:pPr>
        <w:spacing w:line="560" w:lineRule="exact"/>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position w:val="-4"/>
          <w:highlight w:val="none"/>
          <w:lang w:val="en-US"/>
        </w:rPr>
        <w:drawing>
          <wp:inline distT="0" distB="0" distL="0" distR="0">
            <wp:extent cx="136525" cy="163830"/>
            <wp:effectExtent l="0" t="0" r="1587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136525" cy="163830"/>
                    </a:xfrm>
                    <a:prstGeom prst="rect">
                      <a:avLst/>
                    </a:prstGeom>
                    <a:noFill/>
                    <a:ln>
                      <a:noFill/>
                    </a:ln>
                  </pic:spPr>
                </pic:pic>
              </a:graphicData>
            </a:graphic>
          </wp:inline>
        </w:drawing>
      </w:r>
      <w:r>
        <w:rPr>
          <w:rFonts w:hint="default" w:ascii="Times New Roman" w:hAnsi="Times New Roman" w:cs="Times New Roman"/>
          <w:color w:val="auto"/>
          <w:highlight w:val="none"/>
        </w:rPr>
        <w:t>—预测计算的时间段，s</w:t>
      </w:r>
    </w:p>
    <w:p>
      <w:pPr>
        <w:spacing w:line="560" w:lineRule="exact"/>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lang w:val="en-US"/>
        </w:rPr>
        <w:drawing>
          <wp:inline distT="0" distB="0" distL="0" distR="0">
            <wp:extent cx="129540" cy="231775"/>
            <wp:effectExtent l="0" t="0" r="3810" b="171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129540" cy="231775"/>
                    </a:xfrm>
                    <a:prstGeom prst="rect">
                      <a:avLst/>
                    </a:prstGeom>
                    <a:noFill/>
                    <a:ln>
                      <a:noFill/>
                    </a:ln>
                  </pic:spPr>
                </pic:pic>
              </a:graphicData>
            </a:graphic>
          </wp:inline>
        </w:drawing>
      </w:r>
      <w:r>
        <w:rPr>
          <w:rFonts w:hint="default" w:ascii="Times New Roman" w:hAnsi="Times New Roman" w:cs="Times New Roman"/>
          <w:color w:val="auto"/>
          <w:highlight w:val="none"/>
        </w:rPr>
        <w:t>—</w:t>
      </w:r>
      <w:r>
        <w:rPr>
          <w:rFonts w:hint="default" w:ascii="Times New Roman" w:hAnsi="Times New Roman" w:cs="Times New Roman"/>
          <w:color w:val="auto"/>
          <w:position w:val="-6"/>
          <w:highlight w:val="none"/>
          <w:lang w:val="en-US"/>
        </w:rPr>
        <w:drawing>
          <wp:inline distT="0" distB="0" distL="0" distR="0">
            <wp:extent cx="88900" cy="163830"/>
            <wp:effectExtent l="0" t="0" r="635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88900" cy="163830"/>
                    </a:xfrm>
                    <a:prstGeom prst="rect">
                      <a:avLst/>
                    </a:prstGeom>
                    <a:noFill/>
                    <a:ln>
                      <a:noFill/>
                    </a:ln>
                  </pic:spPr>
                </pic:pic>
              </a:graphicData>
            </a:graphic>
          </wp:inline>
        </w:drawing>
      </w:r>
      <w:r>
        <w:rPr>
          <w:rFonts w:hint="default" w:ascii="Times New Roman" w:hAnsi="Times New Roman" w:cs="Times New Roman"/>
          <w:color w:val="auto"/>
          <w:highlight w:val="none"/>
        </w:rPr>
        <w:t>声源在</w:t>
      </w:r>
      <w:r>
        <w:rPr>
          <w:rFonts w:hint="default" w:ascii="Times New Roman" w:hAnsi="Times New Roman" w:cs="Times New Roman"/>
          <w:color w:val="auto"/>
          <w:position w:val="-4"/>
          <w:highlight w:val="none"/>
          <w:lang w:val="en-US"/>
        </w:rPr>
        <w:drawing>
          <wp:inline distT="0" distB="0" distL="0" distR="0">
            <wp:extent cx="136525" cy="163830"/>
            <wp:effectExtent l="0" t="0" r="15875"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136525" cy="163830"/>
                    </a:xfrm>
                    <a:prstGeom prst="rect">
                      <a:avLst/>
                    </a:prstGeom>
                    <a:noFill/>
                    <a:ln>
                      <a:noFill/>
                    </a:ln>
                  </pic:spPr>
                </pic:pic>
              </a:graphicData>
            </a:graphic>
          </wp:inline>
        </w:drawing>
      </w:r>
      <w:r>
        <w:rPr>
          <w:rFonts w:hint="default" w:ascii="Times New Roman" w:hAnsi="Times New Roman" w:cs="Times New Roman"/>
          <w:color w:val="auto"/>
          <w:highlight w:val="none"/>
        </w:rPr>
        <w:t>时段内的运行时间，s</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(2)预测点的预测等效声级(Leq)计算公式：</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预测点的预测等效声级计算公式：</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w:t>
      </w:r>
      <w:r>
        <w:rPr>
          <w:rFonts w:hint="default" w:ascii="Times New Roman" w:hAnsi="Times New Roman" w:cs="Times New Roman"/>
          <w:color w:val="auto"/>
          <w:kern w:val="44"/>
          <w:position w:val="-16"/>
          <w:highlight w:val="none"/>
        </w:rPr>
        <w:object>
          <v:shape id="_x0000_i1069" o:spt="75" type="#_x0000_t75" style="height:21.3pt;width:179.15pt;" o:ole="t" filled="f" o:preferrelative="t" stroked="f" coordsize="21600,21600">
            <v:path/>
            <v:fill on="f" focussize="0,0"/>
            <v:stroke on="f" joinstyle="miter"/>
            <v:imagedata r:id="rId141" o:title=""/>
            <o:lock v:ext="edit" aspectratio="t"/>
            <w10:wrap type="none"/>
            <w10:anchorlock/>
          </v:shape>
          <o:OLEObject Type="Embed" ProgID="Equation.3" ShapeID="_x0000_i1069" DrawAspect="Content" ObjectID="_1468075769" r:id="rId140">
            <o:LockedField>false</o:LockedField>
          </o:OLEObject>
        </w:object>
      </w:r>
      <w:r>
        <w:rPr>
          <w:rFonts w:hint="default" w:ascii="Times New Roman" w:hAnsi="Times New Roman" w:cs="Times New Roman"/>
          <w:color w:val="auto"/>
          <w:highlight w:val="none"/>
        </w:rPr>
        <w:t xml:space="preserve">   </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kern w:val="44"/>
          <w:position w:val="-16"/>
          <w:szCs w:val="24"/>
          <w:highlight w:val="none"/>
        </w:rPr>
        <w:object>
          <v:shape id="_x0000_i1070" o:spt="75" type="#_x0000_t75" style="height:19pt;width:36.3pt;" o:ole="t" filled="f" o:preferrelative="t" stroked="f" coordsize="21600,21600">
            <v:path/>
            <v:fill on="f" focussize="0,0"/>
            <v:stroke on="f" joinstyle="miter"/>
            <v:imagedata r:id="rId143" o:title=""/>
            <o:lock v:ext="edit" aspectratio="t"/>
            <w10:wrap type="none"/>
            <w10:anchorlock/>
          </v:shape>
          <o:OLEObject Type="Embed" ProgID="Equation.3" ShapeID="_x0000_i1070" DrawAspect="Content" ObjectID="_1468075770" r:id="rId142">
            <o:LockedField>false</o:LockedField>
          </o:OLEObject>
        </w:object>
      </w:r>
      <w:r>
        <w:rPr>
          <w:rFonts w:hint="default" w:ascii="Times New Roman" w:hAnsi="Times New Roman" w:cs="Times New Roman"/>
          <w:color w:val="auto"/>
          <w:kern w:val="44"/>
          <w:szCs w:val="24"/>
          <w:highlight w:val="none"/>
        </w:rPr>
        <w:t>—</w:t>
      </w:r>
      <w:r>
        <w:rPr>
          <w:rFonts w:hint="default" w:ascii="Times New Roman" w:hAnsi="Times New Roman" w:cs="Times New Roman"/>
          <w:color w:val="auto"/>
          <w:szCs w:val="24"/>
          <w:highlight w:val="none"/>
        </w:rPr>
        <w:t>预测点环境噪声预测值，</w:t>
      </w:r>
      <w:r>
        <w:rPr>
          <w:rFonts w:hint="default" w:ascii="Times New Roman" w:hAnsi="Times New Roman" w:cs="Times New Roman"/>
          <w:color w:val="auto"/>
          <w:highlight w:val="none"/>
        </w:rPr>
        <w:t>dB(A)</w:t>
      </w:r>
      <w:r>
        <w:rPr>
          <w:rFonts w:hint="default" w:ascii="Times New Roman" w:hAnsi="Times New Roman" w:cs="Times New Roman"/>
          <w:color w:val="auto"/>
          <w:kern w:val="44"/>
          <w:szCs w:val="24"/>
          <w:highlight w:val="none"/>
        </w:rPr>
        <w:t>；</w:t>
      </w:r>
      <w:r>
        <w:rPr>
          <w:rFonts w:hint="default" w:ascii="Times New Roman" w:hAnsi="Times New Roman" w:cs="Times New Roman"/>
          <w:color w:val="auto"/>
          <w:highlight w:val="none"/>
        </w:rPr>
        <w:t xml:space="preserve">  </w:t>
      </w:r>
    </w:p>
    <w:p>
      <w:pPr>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Leqg—建设项目声源在预测点的等效声级贡献值，dB(A)；</w:t>
      </w:r>
    </w:p>
    <w:p>
      <w:pPr>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Leqb—预测点的背景值，dB(A)。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(3)室外声源</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影响噪声衰减的因素很多，本次评价主要考虑噪声随距离空间衰减及普通厂房的隔声损失，设备机械噪声向车间外环境的传播可近似认为在半自由声场中的扩散，因此预测模式采用半自由声场模式计算： </w:t>
      </w:r>
    </w:p>
    <w:p>
      <w:pPr>
        <w:widowControl/>
        <w:ind w:firstLine="480"/>
        <w:jc w:val="left"/>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rPr>
        <w:t>Lp=Lw-20Lg(</w:t>
      </w:r>
      <w:r>
        <w:rPr>
          <w:rFonts w:hint="default" w:ascii="Times New Roman" w:hAnsi="Times New Roman" w:cs="Times New Roman"/>
          <w:color w:val="auto"/>
          <w:szCs w:val="24"/>
          <w:highlight w:val="none"/>
          <w:lang w:val="en-US" w:bidi="ar"/>
        </w:rPr>
        <w:t>r/ r</w:t>
      </w:r>
      <w:r>
        <w:rPr>
          <w:rFonts w:hint="default" w:ascii="Times New Roman" w:hAnsi="Times New Roman" w:cs="Times New Roman"/>
          <w:color w:val="auto"/>
          <w:sz w:val="16"/>
          <w:szCs w:val="16"/>
          <w:highlight w:val="none"/>
          <w:lang w:val="en-US" w:bidi="ar"/>
        </w:rPr>
        <w:t>o</w:t>
      </w:r>
      <w:r>
        <w:rPr>
          <w:rFonts w:hint="default" w:ascii="Times New Roman" w:hAnsi="Times New Roman" w:cs="Times New Roman"/>
          <w:color w:val="auto"/>
          <w:highlight w:val="none"/>
          <w:lang w:val="en-US"/>
        </w:rPr>
        <w:t xml:space="preserve">)-△L-8                     </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式中：Lp——预测点声级，dB（A）；</w:t>
      </w:r>
    </w:p>
    <w:p>
      <w:pPr>
        <w:ind w:firstLine="960" w:firstLineChars="40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  Lw——声源噪声功率级，dB（A）；</w:t>
      </w:r>
    </w:p>
    <w:p>
      <w:pPr>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r——预测点距声源的距离，m；</w:t>
      </w:r>
    </w:p>
    <w:p>
      <w:pPr>
        <w:adjustRightInd w:val="0"/>
        <w:snapToGrid w:val="0"/>
        <w:ind w:firstLine="1159" w:firstLineChars="483"/>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r</w:t>
      </w:r>
      <w:r>
        <w:rPr>
          <w:rFonts w:hint="default" w:ascii="Times New Roman" w:hAnsi="Times New Roman" w:cs="Times New Roman"/>
          <w:color w:val="auto"/>
          <w:highlight w:val="none"/>
          <w:vertAlign w:val="subscript"/>
          <w:lang w:bidi="ar"/>
        </w:rPr>
        <w:t>0</w:t>
      </w:r>
      <w:r>
        <w:rPr>
          <w:rFonts w:hint="default" w:ascii="Times New Roman" w:hAnsi="Times New Roman" w:cs="Times New Roman"/>
          <w:color w:val="auto"/>
          <w:highlight w:val="none"/>
          <w:lang w:bidi="ar"/>
        </w:rPr>
        <w:t>——参考位置距声源的距离，m；</w:t>
      </w:r>
    </w:p>
    <w:p>
      <w:pPr>
        <w:adjustRightInd w:val="0"/>
        <w:snapToGrid w:val="0"/>
        <w:ind w:firstLine="1159" w:firstLineChars="483"/>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△L</w:t>
      </w:r>
      <w:r>
        <w:rPr>
          <w:rFonts w:hint="default" w:ascii="Times New Roman" w:hAnsi="Times New Roman" w:cs="Times New Roman"/>
          <w:color w:val="auto"/>
          <w:highlight w:val="none"/>
          <w:vertAlign w:val="subscript"/>
          <w:lang w:bidi="ar"/>
        </w:rPr>
        <w:t>A</w:t>
      </w:r>
      <w:r>
        <w:rPr>
          <w:rFonts w:hint="default" w:ascii="Times New Roman" w:hAnsi="Times New Roman" w:cs="Times New Roman"/>
          <w:color w:val="auto"/>
          <w:highlight w:val="none"/>
          <w:lang w:bidi="ar"/>
        </w:rPr>
        <w:t>——因各种因素引起的附加衰减量，dB(A)。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附加衰减量包括声屏障、遮挡物、空气吸收、地面效应等引起的衰减量。本次预测计算中只考虑各设备声源至受声点(预测点)的距离衰减、隔墙(或窗户)的传输损失及降噪设备引起的噪声衰减。各声源由于厂区内外其它遮挡物引起的衰减、空气吸收引起的衰减，由于云、雾、温度梯度、风及地面效应等引起的声能量衰减等，其引起的衰减量不大，本次计算中忽略不计。</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预测结果及分析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本项目投入运行后，噪声源主要来源于管阳片区设置的1座输水泵房和2座供水泵房，泵在运行过程中会产生噪声，</w:t>
      </w:r>
      <w:r>
        <w:rPr>
          <w:rFonts w:hint="default" w:ascii="Times New Roman" w:hAnsi="Times New Roman" w:eastAsia="宋体" w:cs="Times New Roman"/>
          <w:color w:val="auto"/>
          <w:highlight w:val="none"/>
          <w:lang w:val="en-GB"/>
        </w:rPr>
        <w:t>拟采用减震、隔声并布置在室内等方式降低噪声源强，减少噪声对外界环境的影响。</w:t>
      </w:r>
      <w:r>
        <w:rPr>
          <w:rFonts w:hint="default" w:ascii="Times New Roman" w:hAnsi="Times New Roman" w:cs="Times New Roman"/>
          <w:color w:val="auto"/>
          <w:highlight w:val="none"/>
          <w:lang w:val="en-US" w:eastAsia="zh-CN"/>
        </w:rPr>
        <w:t>西阳片区输配水主要依靠重力流，运行过程基噪声产生。</w:t>
      </w:r>
    </w:p>
    <w:p>
      <w:pP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rPr>
        <w:t>各声源与预测点间的距离见</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_Ref23262 \n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表4.5-3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p>
    <w:p>
      <w:pPr>
        <w:pStyle w:val="21"/>
        <w:numPr>
          <w:ilvl w:val="5"/>
          <w:numId w:val="5"/>
        </w:numPr>
        <w:bidi w:val="0"/>
        <w:rPr>
          <w:rFonts w:hint="default" w:ascii="Times New Roman" w:hAnsi="Times New Roman" w:cs="Times New Roman"/>
          <w:color w:val="auto"/>
          <w:highlight w:val="none"/>
          <w:lang w:val="en-US" w:eastAsia="zh-CN"/>
        </w:rPr>
      </w:pPr>
      <w:bookmarkStart w:id="135" w:name="_Ref23262"/>
      <w:r>
        <w:rPr>
          <w:rFonts w:hint="default" w:ascii="Times New Roman" w:hAnsi="Times New Roman" w:cs="Times New Roman"/>
          <w:color w:val="auto"/>
          <w:highlight w:val="none"/>
        </w:rPr>
        <w:t>各声源距离与预测点距离</w:t>
      </w:r>
      <w:bookmarkEnd w:id="135"/>
    </w:p>
    <w:tbl>
      <w:tblPr>
        <w:tblStyle w:val="16"/>
        <w:tblW w:w="4996" w:type="pct"/>
        <w:tblInd w:w="0" w:type="dxa"/>
        <w:tblBorders>
          <w:top w:val="none" w:color="auto" w:sz="0"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76"/>
        <w:gridCol w:w="1051"/>
        <w:gridCol w:w="820"/>
        <w:gridCol w:w="1009"/>
        <w:gridCol w:w="715"/>
        <w:gridCol w:w="944"/>
        <w:gridCol w:w="796"/>
        <w:gridCol w:w="796"/>
        <w:gridCol w:w="796"/>
        <w:gridCol w:w="796"/>
      </w:tblGrid>
      <w:tr>
        <w:tblPrEx>
          <w:tblBorders>
            <w:top w:val="none" w:color="auto" w:sz="0"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序号</w:t>
            </w:r>
          </w:p>
        </w:tc>
        <w:tc>
          <w:tcPr>
            <w:tcW w:w="583"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噪声源</w:t>
            </w:r>
          </w:p>
        </w:tc>
        <w:tc>
          <w:tcPr>
            <w:tcW w:w="569" w:type="pct"/>
            <w:tcBorders>
              <w:top w:val="single" w:color="auto" w:sz="12" w:space="0"/>
            </w:tcBorders>
            <w:vAlign w:val="center"/>
          </w:tcPr>
          <w:p>
            <w:pPr>
              <w:pStyle w:val="19"/>
              <w:bidi w:val="0"/>
              <w:ind w:left="0" w:leftChars="0" w:firstLine="0" w:firstLineChars="0"/>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highlight w:val="none"/>
                <w:lang w:val="en-US" w:eastAsia="zh-CN"/>
              </w:rPr>
              <w:t>提升泵</w:t>
            </w:r>
          </w:p>
        </w:tc>
        <w:tc>
          <w:tcPr>
            <w:tcW w:w="444"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0"/>
                <w:highlight w:val="none"/>
              </w:rPr>
              <w:t>源强dB</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A</w:t>
            </w:r>
            <w:r>
              <w:rPr>
                <w:rFonts w:hint="default" w:ascii="Times New Roman" w:hAnsi="Times New Roman" w:cs="Times New Roman"/>
                <w:color w:val="auto"/>
                <w:kern w:val="0"/>
                <w:sz w:val="21"/>
                <w:szCs w:val="20"/>
                <w:highlight w:val="none"/>
                <w:lang w:eastAsia="zh-CN"/>
              </w:rPr>
              <w:t>)</w:t>
            </w:r>
          </w:p>
        </w:tc>
        <w:tc>
          <w:tcPr>
            <w:tcW w:w="546"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1"/>
                <w:highlight w:val="none"/>
              </w:rPr>
              <w:t>治理措施</w:t>
            </w:r>
          </w:p>
        </w:tc>
        <w:tc>
          <w:tcPr>
            <w:tcW w:w="387"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数量</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台/套</w:t>
            </w:r>
            <w:r>
              <w:rPr>
                <w:rFonts w:hint="default" w:ascii="Times New Roman" w:hAnsi="Times New Roman" w:eastAsia="宋体" w:cs="Times New Roman"/>
                <w:color w:val="auto"/>
                <w:kern w:val="0"/>
                <w:sz w:val="21"/>
                <w:szCs w:val="20"/>
                <w:highlight w:val="none"/>
              </w:rPr>
              <w:t>)</w:t>
            </w:r>
          </w:p>
        </w:tc>
        <w:tc>
          <w:tcPr>
            <w:tcW w:w="511"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降噪后源强dB</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A</w:t>
            </w:r>
            <w:r>
              <w:rPr>
                <w:rFonts w:hint="default" w:ascii="Times New Roman" w:hAnsi="Times New Roman" w:eastAsia="宋体" w:cs="Times New Roman"/>
                <w:color w:val="auto"/>
                <w:kern w:val="0"/>
                <w:sz w:val="21"/>
                <w:szCs w:val="20"/>
                <w:highlight w:val="none"/>
              </w:rPr>
              <w:t>)</w:t>
            </w:r>
          </w:p>
        </w:tc>
        <w:tc>
          <w:tcPr>
            <w:tcW w:w="431"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距离厂</w:t>
            </w:r>
            <w:r>
              <w:rPr>
                <w:rFonts w:hint="default" w:ascii="Times New Roman" w:hAnsi="Times New Roman" w:eastAsia="宋体" w:cs="Times New Roman"/>
                <w:color w:val="auto"/>
                <w:kern w:val="0"/>
                <w:sz w:val="21"/>
                <w:szCs w:val="20"/>
                <w:highlight w:val="none"/>
              </w:rPr>
              <w:t>界东</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m</w:t>
            </w:r>
            <w:r>
              <w:rPr>
                <w:rFonts w:hint="default" w:ascii="Times New Roman" w:hAnsi="Times New Roman" w:eastAsia="宋体" w:cs="Times New Roman"/>
                <w:color w:val="auto"/>
                <w:kern w:val="0"/>
                <w:sz w:val="21"/>
                <w:szCs w:val="20"/>
                <w:highlight w:val="none"/>
              </w:rPr>
              <w:t>)</w:t>
            </w:r>
          </w:p>
        </w:tc>
        <w:tc>
          <w:tcPr>
            <w:tcW w:w="431"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距离厂</w:t>
            </w:r>
            <w:r>
              <w:rPr>
                <w:rFonts w:hint="default" w:ascii="Times New Roman" w:hAnsi="Times New Roman" w:eastAsia="宋体" w:cs="Times New Roman"/>
                <w:color w:val="auto"/>
                <w:kern w:val="0"/>
                <w:sz w:val="21"/>
                <w:szCs w:val="20"/>
                <w:highlight w:val="none"/>
              </w:rPr>
              <w:t>界南</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m</w:t>
            </w:r>
            <w:r>
              <w:rPr>
                <w:rFonts w:hint="default" w:ascii="Times New Roman" w:hAnsi="Times New Roman" w:eastAsia="宋体" w:cs="Times New Roman"/>
                <w:color w:val="auto"/>
                <w:kern w:val="0"/>
                <w:sz w:val="21"/>
                <w:szCs w:val="20"/>
                <w:highlight w:val="none"/>
              </w:rPr>
              <w:t>)</w:t>
            </w:r>
          </w:p>
        </w:tc>
        <w:tc>
          <w:tcPr>
            <w:tcW w:w="431"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距离厂</w:t>
            </w:r>
            <w:r>
              <w:rPr>
                <w:rFonts w:hint="default" w:ascii="Times New Roman" w:hAnsi="Times New Roman" w:eastAsia="宋体" w:cs="Times New Roman"/>
                <w:color w:val="auto"/>
                <w:kern w:val="0"/>
                <w:sz w:val="21"/>
                <w:szCs w:val="20"/>
                <w:highlight w:val="none"/>
              </w:rPr>
              <w:t>界西</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m</w:t>
            </w:r>
            <w:r>
              <w:rPr>
                <w:rFonts w:hint="default" w:ascii="Times New Roman" w:hAnsi="Times New Roman" w:eastAsia="宋体" w:cs="Times New Roman"/>
                <w:color w:val="auto"/>
                <w:kern w:val="0"/>
                <w:sz w:val="21"/>
                <w:szCs w:val="20"/>
                <w:highlight w:val="none"/>
              </w:rPr>
              <w:t>)</w:t>
            </w:r>
          </w:p>
        </w:tc>
        <w:tc>
          <w:tcPr>
            <w:tcW w:w="431" w:type="pct"/>
            <w:tcBorders>
              <w:top w:val="single" w:color="auto" w:sz="12" w:space="0"/>
            </w:tcBorders>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eastAsia="宋体" w:cs="Times New Roman"/>
                <w:color w:val="auto"/>
                <w:kern w:val="0"/>
                <w:sz w:val="21"/>
                <w:szCs w:val="20"/>
                <w:highlight w:val="none"/>
              </w:rPr>
              <w:t>距离厂</w:t>
            </w:r>
            <w:r>
              <w:rPr>
                <w:rFonts w:hint="default" w:ascii="Times New Roman" w:hAnsi="Times New Roman" w:eastAsia="宋体" w:cs="Times New Roman"/>
                <w:color w:val="auto"/>
                <w:kern w:val="0"/>
                <w:sz w:val="21"/>
                <w:szCs w:val="20"/>
                <w:highlight w:val="none"/>
              </w:rPr>
              <w:t>界北</w:t>
            </w:r>
            <w:r>
              <w:rPr>
                <w:rFonts w:hint="default" w:ascii="Times New Roman" w:hAnsi="Times New Roman" w:eastAsia="宋体" w:cs="Times New Roman"/>
                <w:color w:val="auto"/>
                <w:kern w:val="0"/>
                <w:sz w:val="21"/>
                <w:szCs w:val="20"/>
                <w:highlight w:val="none"/>
              </w:rPr>
              <w:t>(</w:t>
            </w:r>
            <w:r>
              <w:rPr>
                <w:rFonts w:hint="default" w:ascii="Times New Roman" w:hAnsi="Times New Roman" w:eastAsia="宋体" w:cs="Times New Roman"/>
                <w:color w:val="auto"/>
                <w:kern w:val="0"/>
                <w:sz w:val="21"/>
                <w:szCs w:val="20"/>
                <w:highlight w:val="none"/>
              </w:rPr>
              <w:t>m</w:t>
            </w:r>
            <w:r>
              <w:rPr>
                <w:rFonts w:hint="default" w:ascii="Times New Roman" w:hAnsi="Times New Roman" w:eastAsia="宋体" w:cs="Times New Roman"/>
                <w:color w:val="auto"/>
                <w:kern w:val="0"/>
                <w:sz w:val="21"/>
                <w:szCs w:val="20"/>
                <w:highlight w:val="none"/>
              </w:rPr>
              <w:t>)</w:t>
            </w:r>
          </w:p>
        </w:tc>
      </w:tr>
      <w:tr>
        <w:tblPrEx>
          <w:tblBorders>
            <w:top w:val="none" w:color="auto" w:sz="0"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 w:type="pct"/>
            <w:vAlign w:val="center"/>
          </w:tcPr>
          <w:p>
            <w:pPr>
              <w:pStyle w:val="19"/>
              <w:bidi w:val="0"/>
              <w:ind w:left="0" w:leftChars="0" w:firstLine="0" w:firstLineChars="0"/>
              <w:rPr>
                <w:rFonts w:hint="default" w:ascii="Times New Roman" w:hAnsi="Times New Roman" w:eastAsia="宋体" w:cs="Times New Roman"/>
                <w:color w:val="auto"/>
                <w:kern w:val="0"/>
                <w:sz w:val="21"/>
                <w:szCs w:val="20"/>
                <w:highlight w:val="none"/>
              </w:rPr>
            </w:pPr>
            <w:r>
              <w:rPr>
                <w:rFonts w:hint="default" w:ascii="Times New Roman" w:hAnsi="Times New Roman" w:cs="Times New Roman"/>
                <w:color w:val="auto"/>
                <w:highlight w:val="none"/>
                <w:lang w:val="en-US" w:eastAsia="zh-CN"/>
              </w:rPr>
              <w:t>1</w:t>
            </w:r>
          </w:p>
        </w:tc>
        <w:tc>
          <w:tcPr>
            <w:tcW w:w="583" w:type="pct"/>
            <w:vAlign w:val="center"/>
          </w:tcPr>
          <w:p>
            <w:pPr>
              <w:pStyle w:val="19"/>
              <w:bidi w:val="0"/>
              <w:ind w:left="0" w:leftChars="0" w:firstLine="0" w:firstLineChars="0"/>
              <w:rPr>
                <w:rFonts w:hint="default" w:ascii="Times New Roman" w:hAnsi="Times New Roman" w:eastAsia="宋体" w:cs="Times New Roman"/>
                <w:b w:val="0"/>
                <w:bCs w:val="0"/>
                <w:color w:val="auto"/>
                <w:kern w:val="0"/>
                <w:sz w:val="21"/>
                <w:szCs w:val="20"/>
                <w:highlight w:val="none"/>
              </w:rPr>
            </w:pPr>
            <w:r>
              <w:rPr>
                <w:rFonts w:hint="default" w:ascii="Times New Roman" w:hAnsi="Times New Roman" w:cs="Times New Roman"/>
                <w:color w:val="auto"/>
                <w:highlight w:val="none"/>
                <w:lang w:val="en-US" w:eastAsia="zh-CN"/>
              </w:rPr>
              <w:t>原水提升泵房</w:t>
            </w:r>
          </w:p>
        </w:tc>
        <w:tc>
          <w:tcPr>
            <w:tcW w:w="569" w:type="pct"/>
            <w:vAlign w:val="center"/>
          </w:tcPr>
          <w:p>
            <w:pPr>
              <w:pStyle w:val="19"/>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变频增压泵</w:t>
            </w:r>
          </w:p>
        </w:tc>
        <w:tc>
          <w:tcPr>
            <w:tcW w:w="444" w:type="pct"/>
            <w:vAlign w:val="center"/>
          </w:tcPr>
          <w:p>
            <w:pPr>
              <w:pStyle w:val="19"/>
              <w:bidi w:val="0"/>
              <w:ind w:left="0" w:leftChars="0" w:firstLine="0" w:firstLineChars="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highlight w:val="none"/>
                <w:lang w:val="en-US" w:eastAsia="zh-CN"/>
              </w:rPr>
              <w:t>85</w:t>
            </w:r>
          </w:p>
        </w:tc>
        <w:tc>
          <w:tcPr>
            <w:tcW w:w="546" w:type="pct"/>
            <w:vMerge w:val="restar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r>
              <w:rPr>
                <w:rFonts w:hint="default" w:ascii="Times New Roman" w:hAnsi="Times New Roman" w:cs="Times New Roman"/>
                <w:color w:val="auto"/>
                <w:sz w:val="21"/>
                <w:szCs w:val="20"/>
                <w:highlight w:val="none"/>
                <w:lang w:val="en-US" w:eastAsia="zh-CN"/>
              </w:rPr>
              <w:t>隔声、减震、消声等综合降噪措施</w:t>
            </w:r>
          </w:p>
        </w:tc>
        <w:tc>
          <w:tcPr>
            <w:tcW w:w="387"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eastAsia="zh-CN"/>
              </w:rPr>
            </w:pPr>
            <w:r>
              <w:rPr>
                <w:rFonts w:hint="default" w:ascii="Times New Roman" w:hAnsi="Times New Roman" w:eastAsia="宋体" w:cs="Times New Roman"/>
                <w:color w:val="auto"/>
                <w:kern w:val="0"/>
                <w:sz w:val="21"/>
                <w:szCs w:val="20"/>
                <w:highlight w:val="none"/>
                <w:lang w:val="en-US" w:eastAsia="zh-CN"/>
              </w:rPr>
              <w:t>2</w:t>
            </w:r>
          </w:p>
        </w:tc>
        <w:tc>
          <w:tcPr>
            <w:tcW w:w="511" w:type="pct"/>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highlight w:val="none"/>
                <w:lang w:val="en-US" w:eastAsia="zh-CN"/>
              </w:rPr>
              <w:t>50</w:t>
            </w:r>
          </w:p>
        </w:tc>
        <w:tc>
          <w:tcPr>
            <w:tcW w:w="431"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3</w:t>
            </w:r>
          </w:p>
        </w:tc>
        <w:tc>
          <w:tcPr>
            <w:tcW w:w="431"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rPr>
            </w:pPr>
            <w:r>
              <w:rPr>
                <w:rFonts w:hint="default" w:ascii="Times New Roman" w:hAnsi="Times New Roman" w:eastAsia="宋体" w:cs="Times New Roman"/>
                <w:color w:val="auto"/>
                <w:kern w:val="0"/>
                <w:sz w:val="21"/>
                <w:szCs w:val="20"/>
                <w:highlight w:val="none"/>
                <w:lang w:val="en-US" w:eastAsia="zh-CN"/>
              </w:rPr>
              <w:t>1.5</w:t>
            </w:r>
          </w:p>
        </w:tc>
        <w:tc>
          <w:tcPr>
            <w:tcW w:w="431"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3</w:t>
            </w:r>
          </w:p>
        </w:tc>
        <w:tc>
          <w:tcPr>
            <w:tcW w:w="431"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1.5</w:t>
            </w:r>
          </w:p>
        </w:tc>
      </w:tr>
      <w:tr>
        <w:tblPrEx>
          <w:tblBorders>
            <w:top w:val="none" w:color="auto" w:sz="0"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 w:type="pct"/>
            <w:vAlign w:val="center"/>
          </w:tcPr>
          <w:p>
            <w:pPr>
              <w:pStyle w:val="19"/>
              <w:bidi w:val="0"/>
              <w:ind w:left="0" w:leftChars="0" w:firstLine="0" w:firstLineChars="0"/>
              <w:rPr>
                <w:rFonts w:hint="default" w:ascii="Times New Roman" w:hAnsi="Times New Roman" w:eastAsia="宋体" w:cs="Times New Roman"/>
                <w:color w:val="auto"/>
                <w:kern w:val="0"/>
                <w:sz w:val="21"/>
                <w:szCs w:val="20"/>
                <w:highlight w:val="none"/>
              </w:rPr>
            </w:pPr>
            <w:r>
              <w:rPr>
                <w:rFonts w:hint="default" w:ascii="Times New Roman" w:hAnsi="Times New Roman" w:cs="Times New Roman"/>
                <w:color w:val="auto"/>
                <w:highlight w:val="none"/>
                <w:lang w:val="en-US" w:eastAsia="zh-CN"/>
              </w:rPr>
              <w:t>2</w:t>
            </w:r>
          </w:p>
        </w:tc>
        <w:tc>
          <w:tcPr>
            <w:tcW w:w="583" w:type="pct"/>
            <w:vAlign w:val="center"/>
          </w:tcPr>
          <w:p>
            <w:pPr>
              <w:pStyle w:val="19"/>
              <w:bidi w:val="0"/>
              <w:ind w:left="0" w:leftChars="0" w:firstLine="0" w:firstLineChars="0"/>
              <w:rPr>
                <w:rFonts w:hint="default" w:ascii="Times New Roman" w:hAnsi="Times New Roman" w:eastAsia="宋体" w:cs="Times New Roman"/>
                <w:b w:val="0"/>
                <w:bCs w:val="0"/>
                <w:color w:val="auto"/>
                <w:kern w:val="0"/>
                <w:sz w:val="21"/>
                <w:szCs w:val="20"/>
                <w:highlight w:val="none"/>
              </w:rPr>
            </w:pPr>
            <w:r>
              <w:rPr>
                <w:rFonts w:hint="default" w:ascii="Times New Roman" w:hAnsi="Times New Roman" w:cs="Times New Roman"/>
                <w:color w:val="auto"/>
                <w:highlight w:val="none"/>
                <w:lang w:val="en-US" w:eastAsia="zh-CN"/>
              </w:rPr>
              <w:t>鱼池泵站</w:t>
            </w:r>
          </w:p>
        </w:tc>
        <w:tc>
          <w:tcPr>
            <w:tcW w:w="569" w:type="pct"/>
            <w:vAlign w:val="center"/>
          </w:tcPr>
          <w:p>
            <w:pPr>
              <w:pStyle w:val="19"/>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变频增压泵</w:t>
            </w:r>
          </w:p>
        </w:tc>
        <w:tc>
          <w:tcPr>
            <w:tcW w:w="444" w:type="pct"/>
            <w:vAlign w:val="center"/>
          </w:tcPr>
          <w:p>
            <w:pPr>
              <w:pStyle w:val="19"/>
              <w:bidi w:val="0"/>
              <w:ind w:left="0" w:leftChars="0" w:firstLine="0" w:firstLineChars="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highlight w:val="none"/>
                <w:lang w:val="en-US" w:eastAsia="zh-CN"/>
              </w:rPr>
              <w:t>80</w:t>
            </w:r>
          </w:p>
        </w:tc>
        <w:tc>
          <w:tcPr>
            <w:tcW w:w="546" w:type="pct"/>
            <w:vMerge w:val="continue"/>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rPr>
            </w:pPr>
          </w:p>
        </w:tc>
        <w:tc>
          <w:tcPr>
            <w:tcW w:w="387"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eastAsia="宋体" w:cs="Times New Roman"/>
                <w:color w:val="auto"/>
                <w:kern w:val="0"/>
                <w:sz w:val="21"/>
                <w:szCs w:val="20"/>
                <w:highlight w:val="none"/>
                <w:lang w:val="en-US" w:eastAsia="zh-CN"/>
              </w:rPr>
              <w:t>1</w:t>
            </w:r>
          </w:p>
        </w:tc>
        <w:tc>
          <w:tcPr>
            <w:tcW w:w="511" w:type="pct"/>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highlight w:val="none"/>
                <w:lang w:val="en-US" w:eastAsia="zh-CN"/>
              </w:rPr>
              <w:t>45</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r>
      <w:tr>
        <w:tblPrEx>
          <w:tblBorders>
            <w:top w:val="none" w:color="auto" w:sz="0"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 w:type="pct"/>
            <w:vAlign w:val="center"/>
          </w:tcPr>
          <w:p>
            <w:pPr>
              <w:pStyle w:val="19"/>
              <w:bidi w:val="0"/>
              <w:ind w:left="0" w:leftChars="0" w:firstLine="0" w:firstLineChars="0"/>
              <w:rPr>
                <w:rFonts w:hint="default" w:ascii="Times New Roman" w:hAnsi="Times New Roman" w:eastAsia="宋体" w:cs="Times New Roman"/>
                <w:color w:val="auto"/>
                <w:kern w:val="0"/>
                <w:sz w:val="21"/>
                <w:szCs w:val="20"/>
                <w:highlight w:val="none"/>
              </w:rPr>
            </w:pPr>
            <w:r>
              <w:rPr>
                <w:rFonts w:hint="default" w:ascii="Times New Roman" w:hAnsi="Times New Roman" w:cs="Times New Roman"/>
                <w:color w:val="auto"/>
                <w:highlight w:val="none"/>
                <w:lang w:val="en-US" w:eastAsia="zh-CN"/>
              </w:rPr>
              <w:t>3</w:t>
            </w:r>
          </w:p>
        </w:tc>
        <w:tc>
          <w:tcPr>
            <w:tcW w:w="583" w:type="pct"/>
            <w:vAlign w:val="center"/>
          </w:tcPr>
          <w:p>
            <w:pPr>
              <w:pStyle w:val="19"/>
              <w:bidi w:val="0"/>
              <w:ind w:left="0" w:leftChars="0" w:firstLine="0" w:firstLineChars="0"/>
              <w:rPr>
                <w:rFonts w:hint="default" w:ascii="Times New Roman" w:hAnsi="Times New Roman" w:cs="Times New Roman"/>
                <w:b w:val="0"/>
                <w:bCs w:val="0"/>
                <w:color w:val="auto"/>
                <w:szCs w:val="20"/>
                <w:highlight w:val="none"/>
              </w:rPr>
            </w:pPr>
            <w:r>
              <w:rPr>
                <w:rFonts w:hint="default" w:ascii="Times New Roman" w:hAnsi="Times New Roman" w:cs="Times New Roman"/>
                <w:color w:val="auto"/>
                <w:highlight w:val="none"/>
                <w:lang w:val="en-US" w:eastAsia="zh-CN"/>
              </w:rPr>
              <w:t>广化泵站</w:t>
            </w:r>
          </w:p>
        </w:tc>
        <w:tc>
          <w:tcPr>
            <w:tcW w:w="569" w:type="pct"/>
            <w:vAlign w:val="center"/>
          </w:tcPr>
          <w:p>
            <w:pPr>
              <w:pStyle w:val="19"/>
              <w:bidi w:val="0"/>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提升泵</w:t>
            </w:r>
          </w:p>
        </w:tc>
        <w:tc>
          <w:tcPr>
            <w:tcW w:w="444" w:type="pct"/>
            <w:vAlign w:val="center"/>
          </w:tcPr>
          <w:p>
            <w:pPr>
              <w:pStyle w:val="19"/>
              <w:bidi w:val="0"/>
              <w:ind w:left="0" w:leftChars="0" w:firstLine="0" w:firstLineChars="0"/>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highlight w:val="none"/>
                <w:lang w:val="en-US" w:eastAsia="zh-CN"/>
              </w:rPr>
              <w:t>80</w:t>
            </w:r>
          </w:p>
        </w:tc>
        <w:tc>
          <w:tcPr>
            <w:tcW w:w="546" w:type="pct"/>
            <w:vMerge w:val="continue"/>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rPr>
            </w:pPr>
          </w:p>
        </w:tc>
        <w:tc>
          <w:tcPr>
            <w:tcW w:w="387" w:type="pct"/>
            <w:vAlign w:val="center"/>
          </w:tcPr>
          <w:p>
            <w:pPr>
              <w:keepNext w:val="0"/>
              <w:keepLines w:val="0"/>
              <w:suppressLineNumbers w:val="0"/>
              <w:tabs>
                <w:tab w:val="left" w:pos="648"/>
              </w:tabs>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0"/>
                <w:highlight w:val="none"/>
                <w:lang w:val="en-US" w:eastAsia="zh-CN"/>
              </w:rPr>
            </w:pPr>
            <w:r>
              <w:rPr>
                <w:rFonts w:hint="default" w:ascii="Times New Roman" w:hAnsi="Times New Roman" w:eastAsia="宋体" w:cs="Times New Roman"/>
                <w:color w:val="auto"/>
                <w:kern w:val="0"/>
                <w:sz w:val="21"/>
                <w:szCs w:val="20"/>
                <w:highlight w:val="none"/>
                <w:lang w:val="en-US" w:eastAsia="zh-CN"/>
              </w:rPr>
              <w:t>1</w:t>
            </w:r>
          </w:p>
        </w:tc>
        <w:tc>
          <w:tcPr>
            <w:tcW w:w="511" w:type="pct"/>
            <w:vAlign w:val="center"/>
          </w:tcPr>
          <w:p>
            <w:pPr>
              <w:pStyle w:val="19"/>
              <w:bidi w:val="0"/>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highlight w:val="none"/>
                <w:lang w:val="en-US" w:eastAsia="zh-CN"/>
              </w:rPr>
              <w:t>45</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c>
          <w:tcPr>
            <w:tcW w:w="431" w:type="pct"/>
            <w:vAlign w:val="center"/>
          </w:tcPr>
          <w:p>
            <w:pPr>
              <w:keepNext w:val="0"/>
              <w:keepLines w:val="0"/>
              <w:suppressLineNumbers w:val="0"/>
              <w:tabs>
                <w:tab w:val="left" w:pos="648"/>
              </w:tabs>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0"/>
                <w:highlight w:val="none"/>
                <w:lang w:val="en-US" w:eastAsia="zh-CN"/>
              </w:rPr>
            </w:pPr>
            <w:r>
              <w:rPr>
                <w:rFonts w:hint="default" w:ascii="Times New Roman" w:hAnsi="Times New Roman" w:cs="Times New Roman"/>
                <w:color w:val="auto"/>
                <w:kern w:val="0"/>
                <w:sz w:val="21"/>
                <w:szCs w:val="20"/>
                <w:highlight w:val="none"/>
                <w:lang w:val="en-US" w:eastAsia="zh-CN"/>
              </w:rPr>
              <w:t>0.6</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由于</w:t>
      </w:r>
      <w:r>
        <w:rPr>
          <w:rFonts w:hint="default" w:ascii="Times New Roman" w:hAnsi="Times New Roman" w:cs="Times New Roman"/>
          <w:color w:val="auto"/>
          <w:highlight w:val="none"/>
          <w:lang w:val="en-US" w:eastAsia="zh-CN"/>
        </w:rPr>
        <w:t>鱼池泵站和广化泵站内的产噪设备距离厂界不足1m，因此鱼池泵站和广化泵站厂界噪声近似设备降噪后源强。由表4.5-3可知，鱼池泵站和广化泵站内的产噪设备降噪后噪声均符合</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bidi="th-TH"/>
        </w:rPr>
        <w:t>《</w:t>
      </w:r>
      <w:r>
        <w:rPr>
          <w:rFonts w:hint="default" w:ascii="Times New Roman" w:hAnsi="Times New Roman" w:cs="Times New Roman"/>
          <w:color w:val="auto"/>
          <w:highlight w:val="none"/>
        </w:rPr>
        <w:t>工业企业厂界环境噪声排放标准</w:t>
      </w:r>
      <w:r>
        <w:rPr>
          <w:rFonts w:hint="default" w:ascii="Times New Roman" w:hAnsi="Times New Roman" w:cs="Times New Roman"/>
          <w:color w:val="auto"/>
          <w:highlight w:val="none"/>
          <w:lang w:bidi="th-TH"/>
        </w:rPr>
        <w:t>》中的</w:t>
      </w:r>
      <w:r>
        <w:rPr>
          <w:rFonts w:hint="default" w:ascii="Times New Roman" w:hAnsi="Times New Roman" w:cs="Times New Roman"/>
          <w:color w:val="auto"/>
          <w:highlight w:val="none"/>
        </w:rPr>
        <w:t>2类标准要求，即昼间≤60dB(A)，夜间≤50dB(A)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对周围环境影响较小。</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根据上表4.5-3，计算</w:t>
      </w:r>
      <w:r>
        <w:rPr>
          <w:rFonts w:hint="default" w:ascii="Times New Roman" w:hAnsi="Times New Roman" w:cs="Times New Roman"/>
          <w:color w:val="auto"/>
          <w:highlight w:val="none"/>
          <w:lang w:val="en-US" w:eastAsia="zh-CN"/>
        </w:rPr>
        <w:t>原水提升泵房</w:t>
      </w:r>
      <w:r>
        <w:rPr>
          <w:rFonts w:hint="default" w:ascii="Times New Roman" w:hAnsi="Times New Roman" w:cs="Times New Roman"/>
          <w:color w:val="auto"/>
          <w:highlight w:val="none"/>
        </w:rPr>
        <w:t>厂界四周噪声影响值结果见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_Ref23455 \n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表4.5-4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pPr>
        <w:pStyle w:val="21"/>
        <w:bidi w:val="0"/>
        <w:rPr>
          <w:rFonts w:hint="default" w:ascii="Times New Roman" w:hAnsi="Times New Roman" w:cs="Times New Roman"/>
          <w:highlight w:val="none"/>
        </w:rPr>
      </w:pPr>
      <w:bookmarkStart w:id="136" w:name="_Ref23455"/>
      <w:r>
        <w:rPr>
          <w:rFonts w:hint="default" w:ascii="Times New Roman" w:hAnsi="Times New Roman" w:cs="Times New Roman"/>
          <w:highlight w:val="none"/>
        </w:rPr>
        <w:t>噪声预测结果一览表(单位：dB(A))</w:t>
      </w:r>
      <w:bookmarkEnd w:id="136"/>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2064"/>
        <w:gridCol w:w="1407"/>
        <w:gridCol w:w="1778"/>
        <w:gridCol w:w="1544"/>
        <w:gridCol w:w="15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Merge w:val="restar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序号</w:t>
            </w:r>
          </w:p>
        </w:tc>
        <w:tc>
          <w:tcPr>
            <w:tcW w:w="1118" w:type="pct"/>
            <w:vMerge w:val="restar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预测点位</w:t>
            </w:r>
          </w:p>
        </w:tc>
        <w:tc>
          <w:tcPr>
            <w:tcW w:w="762" w:type="pct"/>
            <w:vMerge w:val="restar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贡献值</w:t>
            </w:r>
          </w:p>
        </w:tc>
        <w:tc>
          <w:tcPr>
            <w:tcW w:w="1799" w:type="pct"/>
            <w:gridSpan w:val="2"/>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执行标准</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达标分析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Merge w:val="continue"/>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p>
        </w:tc>
        <w:tc>
          <w:tcPr>
            <w:tcW w:w="1118" w:type="pct"/>
            <w:vMerge w:val="continue"/>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p>
        </w:tc>
        <w:tc>
          <w:tcPr>
            <w:tcW w:w="762" w:type="pct"/>
            <w:vMerge w:val="continue"/>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p>
        </w:tc>
        <w:tc>
          <w:tcPr>
            <w:tcW w:w="963"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昼  间</w:t>
            </w:r>
          </w:p>
        </w:tc>
        <w:tc>
          <w:tcPr>
            <w:tcW w:w="836" w:type="pct"/>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夜 间</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昼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1</w:t>
            </w:r>
          </w:p>
        </w:tc>
        <w:tc>
          <w:tcPr>
            <w:tcW w:w="1118"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东面厂界</w:t>
            </w:r>
          </w:p>
        </w:tc>
        <w:tc>
          <w:tcPr>
            <w:tcW w:w="76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2"/>
                <w:highlight w:val="none"/>
              </w:rPr>
              <w:t xml:space="preserve">43.5 </w:t>
            </w:r>
          </w:p>
        </w:tc>
        <w:tc>
          <w:tcPr>
            <w:tcW w:w="963"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60</w:t>
            </w:r>
          </w:p>
        </w:tc>
        <w:tc>
          <w:tcPr>
            <w:tcW w:w="836" w:type="pct"/>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50</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2</w:t>
            </w:r>
          </w:p>
        </w:tc>
        <w:tc>
          <w:tcPr>
            <w:tcW w:w="1118"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南面厂界</w:t>
            </w:r>
          </w:p>
        </w:tc>
        <w:tc>
          <w:tcPr>
            <w:tcW w:w="762" w:type="pct"/>
            <w:vAlign w:val="center"/>
          </w:tcPr>
          <w:p>
            <w:pPr>
              <w:tabs>
                <w:tab w:val="left" w:pos="648"/>
              </w:tabs>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default" w:ascii="Times New Roman" w:hAnsi="Times New Roman" w:cs="Times New Roman"/>
                <w:color w:val="auto"/>
                <w:sz w:val="22"/>
                <w:highlight w:val="none"/>
                <w:lang w:val="en-US" w:eastAsia="zh-CN"/>
              </w:rPr>
              <w:t>49.5</w:t>
            </w:r>
          </w:p>
        </w:tc>
        <w:tc>
          <w:tcPr>
            <w:tcW w:w="963"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60</w:t>
            </w:r>
          </w:p>
        </w:tc>
        <w:tc>
          <w:tcPr>
            <w:tcW w:w="836" w:type="pct"/>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50</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3</w:t>
            </w:r>
          </w:p>
        </w:tc>
        <w:tc>
          <w:tcPr>
            <w:tcW w:w="1118"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西面厂界</w:t>
            </w:r>
          </w:p>
        </w:tc>
        <w:tc>
          <w:tcPr>
            <w:tcW w:w="76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2"/>
                <w:highlight w:val="none"/>
              </w:rPr>
              <w:t xml:space="preserve">43.5 </w:t>
            </w:r>
          </w:p>
        </w:tc>
        <w:tc>
          <w:tcPr>
            <w:tcW w:w="963"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60</w:t>
            </w:r>
          </w:p>
        </w:tc>
        <w:tc>
          <w:tcPr>
            <w:tcW w:w="836" w:type="pct"/>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50</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8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4</w:t>
            </w:r>
          </w:p>
        </w:tc>
        <w:tc>
          <w:tcPr>
            <w:tcW w:w="1118"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北面厂界</w:t>
            </w:r>
          </w:p>
        </w:tc>
        <w:tc>
          <w:tcPr>
            <w:tcW w:w="762"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2"/>
                <w:highlight w:val="none"/>
                <w:lang w:val="en-US" w:eastAsia="zh-CN"/>
              </w:rPr>
              <w:t>49.5</w:t>
            </w:r>
          </w:p>
        </w:tc>
        <w:tc>
          <w:tcPr>
            <w:tcW w:w="963"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60</w:t>
            </w:r>
          </w:p>
        </w:tc>
        <w:tc>
          <w:tcPr>
            <w:tcW w:w="836" w:type="pct"/>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50</w:t>
            </w:r>
          </w:p>
        </w:tc>
        <w:tc>
          <w:tcPr>
            <w:tcW w:w="836" w:type="pct"/>
            <w:vAlign w:val="center"/>
          </w:tcPr>
          <w:p>
            <w:pPr>
              <w:tabs>
                <w:tab w:val="left" w:pos="648"/>
              </w:tabs>
              <w:spacing w:line="240" w:lineRule="auto"/>
              <w:ind w:firstLine="0" w:firstLineChars="0"/>
              <w:jc w:val="center"/>
              <w:rPr>
                <w:rFonts w:hint="default" w:ascii="Times New Roman" w:hAnsi="Times New Roman" w:cs="Times New Roman"/>
                <w:color w:val="auto"/>
                <w:sz w:val="21"/>
                <w:szCs w:val="20"/>
                <w:highlight w:val="none"/>
              </w:rPr>
            </w:pPr>
            <w:r>
              <w:rPr>
                <w:rFonts w:hint="default" w:ascii="Times New Roman" w:hAnsi="Times New Roman" w:cs="Times New Roman"/>
                <w:color w:val="auto"/>
                <w:sz w:val="21"/>
                <w:szCs w:val="20"/>
                <w:highlight w:val="none"/>
              </w:rPr>
              <w:t>达标</w:t>
            </w:r>
          </w:p>
        </w:tc>
      </w:tr>
    </w:tbl>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bidi="th-TH"/>
        </w:rPr>
        <w:t>从表4.5-4的预测结果表明，</w:t>
      </w:r>
      <w:r>
        <w:rPr>
          <w:rFonts w:hint="default" w:ascii="Times New Roman" w:hAnsi="Times New Roman" w:cs="Times New Roman"/>
          <w:color w:val="auto"/>
          <w:highlight w:val="none"/>
          <w:lang w:val="en-US" w:eastAsia="zh-CN"/>
        </w:rPr>
        <w:t>原水提升泵房内的变频增压泵</w:t>
      </w:r>
      <w:r>
        <w:rPr>
          <w:rFonts w:hint="default" w:ascii="Times New Roman" w:hAnsi="Times New Roman" w:cs="Times New Roman"/>
          <w:color w:val="auto"/>
          <w:highlight w:val="none"/>
          <w:lang w:bidi="th-TH"/>
        </w:rPr>
        <w:t>在采取有效降噪措施后，项目厂界噪声均符合</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bidi="th-TH"/>
        </w:rPr>
        <w:t>《</w:t>
      </w:r>
      <w:r>
        <w:rPr>
          <w:rFonts w:hint="default" w:ascii="Times New Roman" w:hAnsi="Times New Roman" w:cs="Times New Roman"/>
          <w:color w:val="auto"/>
          <w:highlight w:val="none"/>
        </w:rPr>
        <w:t>工业企业厂界环境噪声排放标准</w:t>
      </w:r>
      <w:r>
        <w:rPr>
          <w:rFonts w:hint="default" w:ascii="Times New Roman" w:hAnsi="Times New Roman" w:cs="Times New Roman"/>
          <w:color w:val="auto"/>
          <w:highlight w:val="none"/>
          <w:lang w:bidi="th-TH"/>
        </w:rPr>
        <w:t>》中的</w:t>
      </w:r>
      <w:r>
        <w:rPr>
          <w:rFonts w:hint="default" w:ascii="Times New Roman" w:hAnsi="Times New Roman" w:cs="Times New Roman"/>
          <w:color w:val="auto"/>
          <w:highlight w:val="none"/>
        </w:rPr>
        <w:t>2类标准要求，即昼间≤60dB(A)，夜间≤50dB(A)。因此，项目在采取相应的隔声、减震措施后，可确保</w:t>
      </w:r>
      <w:r>
        <w:rPr>
          <w:rFonts w:hint="default" w:ascii="Times New Roman" w:hAnsi="Times New Roman" w:cs="Times New Roman"/>
          <w:color w:val="auto"/>
          <w:highlight w:val="none"/>
          <w:lang w:eastAsia="zh-CN"/>
        </w:rPr>
        <w:t>运行期</w:t>
      </w:r>
      <w:r>
        <w:rPr>
          <w:rFonts w:hint="default" w:ascii="Times New Roman" w:hAnsi="Times New Roman" w:cs="Times New Roman"/>
          <w:color w:val="auto"/>
          <w:highlight w:val="none"/>
        </w:rPr>
        <w:t>生产过程中厂界噪声达标，对周围环境影响不大。</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w:t>
      </w:r>
      <w:r>
        <w:rPr>
          <w:rFonts w:hint="default" w:ascii="Times New Roman" w:hAnsi="Times New Roman" w:cs="Times New Roman"/>
          <w:color w:val="auto"/>
          <w:highlight w:val="none"/>
          <w:lang w:val="en-US" w:eastAsia="zh-CN"/>
        </w:rPr>
        <w:t>管阳片区设置的1座输水泵房和2座供水泵房，泵在运行过程中产生的噪声</w:t>
      </w:r>
      <w:r>
        <w:rPr>
          <w:rFonts w:hint="default" w:ascii="Times New Roman" w:hAnsi="Times New Roman" w:cs="Times New Roman"/>
          <w:color w:val="auto"/>
          <w:highlight w:val="none"/>
        </w:rPr>
        <w:t>可确保厂界噪声达标，对周边声环境影响较小。</w:t>
      </w:r>
    </w:p>
    <w:p>
      <w:pPr>
        <w:pStyle w:val="3"/>
        <w:numPr>
          <w:ilvl w:val="1"/>
          <w:numId w:val="5"/>
        </w:numPr>
        <w:spacing w:before="120" w:after="120"/>
        <w:rPr>
          <w:rFonts w:hint="default" w:ascii="Times New Roman" w:hAnsi="Times New Roman" w:cs="Times New Roman"/>
          <w:color w:val="auto"/>
          <w:highlight w:val="none"/>
        </w:rPr>
      </w:pPr>
      <w:bookmarkStart w:id="137" w:name="_Toc29246"/>
      <w:bookmarkStart w:id="138" w:name="_Toc3211"/>
      <w:r>
        <w:rPr>
          <w:rFonts w:hint="default" w:ascii="Times New Roman" w:hAnsi="Times New Roman" w:cs="Times New Roman"/>
          <w:color w:val="auto"/>
          <w:highlight w:val="none"/>
        </w:rPr>
        <w:t>固体废物环境影响分析</w:t>
      </w:r>
      <w:bookmarkEnd w:id="137"/>
      <w:bookmarkEnd w:id="138"/>
    </w:p>
    <w:p>
      <w:pPr>
        <w:pStyle w:val="4"/>
        <w:numPr>
          <w:ilvl w:val="2"/>
          <w:numId w:val="5"/>
        </w:numPr>
        <w:tabs>
          <w:tab w:val="left" w:pos="420"/>
        </w:tabs>
        <w:spacing w:before="120" w:after="12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施工期固体废物环境影响分析</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拟建项目施工期固体废物主要包括施工过程中产生的</w:t>
      </w:r>
      <w:r>
        <w:rPr>
          <w:rFonts w:hint="default" w:ascii="Times New Roman" w:hAnsi="Times New Roman" w:cs="Times New Roman"/>
          <w:color w:val="auto"/>
          <w:highlight w:val="none"/>
          <w:lang w:val="en-US"/>
        </w:rPr>
        <w:t>建筑垃圾、</w:t>
      </w:r>
      <w:r>
        <w:rPr>
          <w:rFonts w:hint="default" w:ascii="Times New Roman" w:hAnsi="Times New Roman" w:cs="Times New Roman"/>
          <w:color w:val="auto"/>
          <w:highlight w:val="none"/>
        </w:rPr>
        <w:t>弃土石方、施工人员生活垃圾。</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建筑垃圾</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施工过程中产生的建筑垃圾主要为</w:t>
      </w:r>
      <w:r>
        <w:rPr>
          <w:rFonts w:hint="default" w:ascii="Times New Roman" w:hAnsi="Times New Roman" w:cs="Times New Roman"/>
          <w:color w:val="auto"/>
          <w:szCs w:val="28"/>
          <w:highlight w:val="none"/>
        </w:rPr>
        <w:t>石块、砖头、废钢筋、</w:t>
      </w:r>
      <w:r>
        <w:rPr>
          <w:rFonts w:hint="default" w:ascii="Times New Roman" w:hAnsi="Times New Roman" w:cs="Times New Roman"/>
          <w:color w:val="auto"/>
          <w:highlight w:val="none"/>
          <w:lang w:val="en-US"/>
        </w:rPr>
        <w:t>混凝土、铁皮等，应集中安排堆放和处理。</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（2）生活垃圾</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施工人员产生的生活垃圾根据我国生活垃圾排放系数经验值估算，每人每天生活垃</w:t>
      </w:r>
      <w:r>
        <w:rPr>
          <w:rFonts w:hint="default" w:ascii="Times New Roman" w:hAnsi="Times New Roman" w:cs="Times New Roman"/>
          <w:color w:val="auto"/>
          <w:highlight w:val="none"/>
          <w:lang w:val="en-US"/>
        </w:rPr>
        <w:t>圾产生量按1.0 kg计，施工高峰期人员为</w:t>
      </w:r>
      <w:r>
        <w:rPr>
          <w:rFonts w:hint="default" w:ascii="Times New Roman" w:hAnsi="Times New Roman" w:cs="Times New Roman"/>
          <w:color w:val="auto"/>
          <w:highlight w:val="none"/>
          <w:lang w:val="en-US" w:eastAsia="zh-CN"/>
        </w:rPr>
        <w:t>150</w:t>
      </w:r>
      <w:r>
        <w:rPr>
          <w:rFonts w:hint="default" w:ascii="Times New Roman" w:hAnsi="Times New Roman" w:cs="Times New Roman"/>
          <w:color w:val="auto"/>
          <w:highlight w:val="none"/>
          <w:lang w:val="en-US"/>
        </w:rPr>
        <w:t>人，则施工期生活垃圾产生量为0.</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lang w:val="en-US"/>
        </w:rPr>
        <w:t xml:space="preserve"> t/d。</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（3）弃土石方</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本工程管沟和泵房挖填过程中共计挖方量2.65万m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rPr>
        <w:t>自然方</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其中管道部分开挖土方可以堆在开挖管沟两侧用于主体工程回填和场地回填，泵站开挖土方用于土方回填及填筑围堰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尚余1.12万m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rPr>
        <w:t>自然方</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需作为弃</w:t>
      </w:r>
      <w:r>
        <w:rPr>
          <w:rFonts w:hint="default" w:ascii="Times New Roman" w:hAnsi="Times New Roman" w:cs="Times New Roman"/>
          <w:color w:val="auto"/>
          <w:highlight w:val="none"/>
          <w:lang w:val="en-US" w:eastAsia="zh-CN"/>
        </w:rPr>
        <w:t>方</w:t>
      </w:r>
      <w:r>
        <w:rPr>
          <w:rFonts w:hint="default" w:ascii="Times New Roman" w:hAnsi="Times New Roman" w:cs="Times New Roman"/>
          <w:color w:val="auto"/>
          <w:highlight w:val="none"/>
        </w:rPr>
        <w:t>处理。弃</w:t>
      </w:r>
      <w:r>
        <w:rPr>
          <w:rFonts w:hint="default" w:ascii="Times New Roman" w:hAnsi="Times New Roman" w:cs="Times New Roman"/>
          <w:color w:val="auto"/>
          <w:highlight w:val="none"/>
          <w:lang w:val="en-US" w:eastAsia="zh-CN"/>
        </w:rPr>
        <w:t>方</w:t>
      </w:r>
      <w:r>
        <w:rPr>
          <w:rFonts w:hint="default" w:ascii="Times New Roman" w:hAnsi="Times New Roman" w:cs="Times New Roman"/>
          <w:color w:val="auto"/>
          <w:highlight w:val="none"/>
        </w:rPr>
        <w:t>可以结合低洼地回填利用一部分，其余可运至当地主管部门指定的位置堆放。</w:t>
      </w:r>
    </w:p>
    <w:p>
      <w:pPr>
        <w:pStyle w:val="4"/>
        <w:numPr>
          <w:ilvl w:val="2"/>
          <w:numId w:val="5"/>
        </w:numPr>
        <w:tabs>
          <w:tab w:val="left" w:pos="420"/>
        </w:tabs>
        <w:spacing w:before="120" w:after="12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运行期</w:t>
      </w:r>
      <w:r>
        <w:rPr>
          <w:rFonts w:hint="default" w:ascii="Times New Roman" w:hAnsi="Times New Roman" w:cs="Times New Roman"/>
          <w:color w:val="auto"/>
          <w:highlight w:val="none"/>
        </w:rPr>
        <w:t>固体废物环境影响分析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项目运行期无固体废物产生，巡检人员产生的生活垃圾不随意丢弃，收集后由当地环卫部门清运处置。</w:t>
      </w:r>
    </w:p>
    <w:p>
      <w:pPr>
        <w:ind w:firstLine="480"/>
        <w:rPr>
          <w:rFonts w:hint="default" w:ascii="Times New Roman" w:hAnsi="Times New Roman" w:cs="Times New Roman"/>
          <w:highlight w:val="none"/>
        </w:rPr>
      </w:pPr>
    </w:p>
    <w:p>
      <w:pPr>
        <w:ind w:firstLine="480"/>
        <w:rPr>
          <w:rFonts w:hint="default" w:ascii="Times New Roman" w:hAnsi="Times New Roman" w:cs="Times New Roman"/>
          <w:highlight w:val="none"/>
          <w:lang w:val="en-US"/>
        </w:rPr>
      </w:pPr>
    </w:p>
    <w:p>
      <w:pPr>
        <w:ind w:firstLine="480"/>
        <w:rPr>
          <w:rFonts w:hint="default" w:ascii="Times New Roman" w:hAnsi="Times New Roman" w:cs="Times New Roman"/>
          <w:highlight w:val="none"/>
          <w:lang w:val="en-US"/>
        </w:rPr>
        <w:sectPr>
          <w:headerReference r:id="rId12" w:type="first"/>
          <w:footerReference r:id="rId15" w:type="first"/>
          <w:headerReference r:id="rId10" w:type="default"/>
          <w:footerReference r:id="rId13" w:type="default"/>
          <w:headerReference r:id="rId11" w:type="even"/>
          <w:footerReference r:id="rId14" w:type="even"/>
          <w:pgSz w:w="11850" w:h="16783"/>
          <w:pgMar w:top="1417" w:right="1417" w:bottom="1417" w:left="1417" w:header="850" w:footer="992" w:gutter="0"/>
          <w:pgBorders>
            <w:top w:val="none" w:sz="0" w:space="0"/>
            <w:left w:val="none" w:sz="0" w:space="0"/>
            <w:bottom w:val="none" w:sz="0" w:space="0"/>
            <w:right w:val="none" w:sz="0" w:space="0"/>
          </w:pgBorders>
          <w:pgNumType w:fmt="decimal"/>
          <w:cols w:space="720" w:num="1"/>
          <w:docGrid w:linePitch="1" w:charSpace="0"/>
        </w:sectPr>
      </w:pPr>
    </w:p>
    <w:p>
      <w:pPr>
        <w:pStyle w:val="2"/>
        <w:numPr>
          <w:ilvl w:val="0"/>
          <w:numId w:val="5"/>
        </w:numPr>
        <w:tabs>
          <w:tab w:val="left" w:pos="0"/>
        </w:tabs>
        <w:rPr>
          <w:rFonts w:hint="default" w:ascii="Times New Roman" w:hAnsi="Times New Roman" w:cs="Times New Roman"/>
          <w:color w:val="auto"/>
          <w:highlight w:val="none"/>
          <w:lang w:val="en-US"/>
        </w:rPr>
      </w:pPr>
      <w:bookmarkStart w:id="139" w:name="_Toc18611"/>
      <w:bookmarkStart w:id="140" w:name="_Toc7430"/>
      <w:r>
        <w:rPr>
          <w:rFonts w:hint="default" w:ascii="Times New Roman" w:hAnsi="Times New Roman" w:cs="Times New Roman"/>
          <w:color w:val="auto"/>
          <w:highlight w:val="none"/>
          <w:lang w:val="en-US"/>
        </w:rPr>
        <w:t>环境保护措施</w:t>
      </w:r>
      <w:bookmarkEnd w:id="139"/>
      <w:bookmarkEnd w:id="140"/>
    </w:p>
    <w:p>
      <w:pPr>
        <w:pStyle w:val="3"/>
        <w:numPr>
          <w:ilvl w:val="1"/>
          <w:numId w:val="5"/>
        </w:numPr>
        <w:spacing w:before="120" w:after="120"/>
        <w:rPr>
          <w:rFonts w:hint="default" w:ascii="Times New Roman" w:hAnsi="Times New Roman" w:cs="Times New Roman"/>
          <w:color w:val="auto"/>
          <w:highlight w:val="none"/>
          <w:lang w:val="en-US"/>
        </w:rPr>
      </w:pPr>
      <w:bookmarkStart w:id="141" w:name="_Toc21730"/>
      <w:bookmarkStart w:id="142" w:name="_Toc12817"/>
      <w:r>
        <w:rPr>
          <w:rFonts w:hint="default" w:ascii="Times New Roman" w:hAnsi="Times New Roman" w:cs="Times New Roman"/>
          <w:color w:val="auto"/>
          <w:highlight w:val="none"/>
          <w:lang w:val="en-US"/>
        </w:rPr>
        <w:t>施工期环境保护措施</w:t>
      </w:r>
      <w:bookmarkEnd w:id="141"/>
      <w:bookmarkEnd w:id="142"/>
    </w:p>
    <w:p>
      <w:pPr>
        <w:pStyle w:val="4"/>
        <w:numPr>
          <w:ilvl w:val="2"/>
          <w:numId w:val="5"/>
        </w:numPr>
        <w:tabs>
          <w:tab w:val="left" w:pos="420"/>
        </w:tabs>
        <w:spacing w:before="120" w:after="12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施工期水环境污染控制措施</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施工</w:t>
      </w:r>
      <w:r>
        <w:rPr>
          <w:rFonts w:hint="default" w:ascii="Times New Roman" w:hAnsi="Times New Roman" w:cs="Times New Roman"/>
          <w:color w:val="auto"/>
          <w:highlight w:val="none"/>
          <w:lang w:val="en-US"/>
        </w:rPr>
        <w:t>营地</w:t>
      </w:r>
      <w:r>
        <w:rPr>
          <w:rFonts w:hint="default" w:ascii="Times New Roman" w:hAnsi="Times New Roman" w:cs="Times New Roman"/>
          <w:color w:val="auto"/>
          <w:highlight w:val="none"/>
        </w:rPr>
        <w:t>生活废水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本工程所有施工场地均不设员工住宿，施工人员全部</w:t>
      </w:r>
      <w:r>
        <w:rPr>
          <w:rFonts w:hint="default" w:ascii="Times New Roman" w:hAnsi="Times New Roman" w:cs="Times New Roman"/>
          <w:color w:val="auto"/>
          <w:highlight w:val="none"/>
          <w:lang w:val="en-US"/>
        </w:rPr>
        <w:t>雇佣当地</w:t>
      </w:r>
      <w:r>
        <w:rPr>
          <w:rFonts w:hint="default" w:ascii="Times New Roman" w:hAnsi="Times New Roman" w:cs="Times New Roman"/>
          <w:color w:val="auto"/>
          <w:highlight w:val="none"/>
        </w:rPr>
        <w:t>民</w:t>
      </w:r>
      <w:r>
        <w:rPr>
          <w:rFonts w:hint="default" w:ascii="Times New Roman" w:hAnsi="Times New Roman" w:cs="Times New Roman"/>
          <w:color w:val="auto"/>
          <w:highlight w:val="none"/>
          <w:lang w:val="en-US"/>
        </w:rPr>
        <w:t>工</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施工人员就近村落如厕，</w:t>
      </w:r>
      <w:r>
        <w:rPr>
          <w:rFonts w:hint="default" w:ascii="Times New Roman" w:hAnsi="Times New Roman" w:cs="Times New Roman"/>
          <w:color w:val="auto"/>
          <w:highlight w:val="none"/>
        </w:rPr>
        <w:t>因而这部分施工人员产生的生活污水和生活垃圾可依托</w:t>
      </w:r>
      <w:r>
        <w:rPr>
          <w:rFonts w:hint="default" w:ascii="Times New Roman" w:hAnsi="Times New Roman" w:cs="Times New Roman"/>
          <w:color w:val="auto"/>
          <w:highlight w:val="none"/>
          <w:lang w:val="en-US"/>
        </w:rPr>
        <w:t>附近民房</w:t>
      </w:r>
      <w:r>
        <w:rPr>
          <w:rFonts w:hint="default" w:ascii="Times New Roman" w:hAnsi="Times New Roman" w:cs="Times New Roman"/>
          <w:color w:val="auto"/>
          <w:highlight w:val="none"/>
        </w:rPr>
        <w:t>现有的处置方式。由于本工程施工人数相对较少，污染物产生量不大，且是临时性的，因而对当地受纳水体的影响较小，因而本工程</w:t>
      </w:r>
      <w:r>
        <w:rPr>
          <w:rFonts w:hint="default" w:ascii="Times New Roman" w:hAnsi="Times New Roman" w:cs="Times New Roman"/>
          <w:color w:val="auto"/>
          <w:highlight w:val="none"/>
          <w:lang w:val="en-US"/>
        </w:rPr>
        <w:t>的生活废水处理方式</w:t>
      </w:r>
      <w:r>
        <w:rPr>
          <w:rFonts w:hint="default" w:ascii="Times New Roman" w:hAnsi="Times New Roman" w:cs="Times New Roman"/>
          <w:color w:val="auto"/>
          <w:highlight w:val="none"/>
        </w:rPr>
        <w:t>是可行的。</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施工生产废水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由于施工用水对水质要求较低，因此要求施工废水经处理后循环用于车辆冲洗或用于施工场地抑尘洒水、周边林地浇灌。</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（1）含泥沙废水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主要来自</w:t>
      </w:r>
      <w:r>
        <w:rPr>
          <w:rFonts w:hint="default" w:ascii="Times New Roman" w:hAnsi="Times New Roman" w:cs="Times New Roman"/>
          <w:color w:val="auto"/>
          <w:highlight w:val="none"/>
          <w:lang w:val="en-US"/>
        </w:rPr>
        <w:t>土方施工泥水、</w:t>
      </w:r>
      <w:r>
        <w:rPr>
          <w:rFonts w:hint="default" w:ascii="Times New Roman" w:hAnsi="Times New Roman" w:cs="Times New Roman"/>
          <w:color w:val="auto"/>
          <w:highlight w:val="none"/>
        </w:rPr>
        <w:t>施工场地、弃渣场等冲刷雨水，</w:t>
      </w:r>
      <w:r>
        <w:rPr>
          <w:rFonts w:hint="default" w:ascii="Times New Roman" w:hAnsi="Times New Roman" w:cs="Times New Roman"/>
          <w:color w:val="auto"/>
          <w:highlight w:val="none"/>
          <w:lang w:val="en-US"/>
        </w:rPr>
        <w:t>以及混凝土浇筑过程产生的废水</w:t>
      </w:r>
      <w:r>
        <w:rPr>
          <w:rFonts w:hint="default" w:ascii="Times New Roman" w:hAnsi="Times New Roman" w:cs="Times New Roman"/>
          <w:color w:val="auto"/>
          <w:highlight w:val="none"/>
        </w:rPr>
        <w:t>，可采用自然沉降法进行处理。该类废水经沉淀后可回用于施工区的日常洒水，沉渣则与其他土石方一起外运处理。</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（2）含油废水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主要来自车辆设备临时保养场地的施工车辆设备冲洗和维护保养废水，应首先采用施工过程控制和清洁生产进行源头控制。</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除上述治理措施外，施工过程还应注意以下几点：</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严格施工管理，采用先进施工工艺减少泥沙散落。施工材料的堆放场地应设围挡措施，并加篷布覆盖，以免雨水冲刷造成污染。工程承包合同中应明确材料的运输过程中防止洒漏条款。禁止在水体附近设置各种散装材料或废弃物的堆放场地，以免随雨水冲入水体，造成水体污染。</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②合理安排施工时间，控制施工时间，尽量缩短工期，减少施工</w:t>
      </w:r>
      <w:r>
        <w:rPr>
          <w:rFonts w:hint="default" w:ascii="Times New Roman" w:hAnsi="Times New Roman" w:cs="Times New Roman"/>
          <w:color w:val="auto"/>
          <w:highlight w:val="none"/>
          <w:lang w:val="en-US"/>
        </w:rPr>
        <w:t>对水环境</w:t>
      </w:r>
      <w:r>
        <w:rPr>
          <w:rFonts w:hint="default" w:ascii="Times New Roman" w:hAnsi="Times New Roman" w:cs="Times New Roman"/>
          <w:color w:val="auto"/>
          <w:highlight w:val="none"/>
        </w:rPr>
        <w:t>的影响时间。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③规范施工行为，加强施工管理，做好防护，施工过程中严禁将防渗材料、混凝土石块等丢弃至输水渠道内，待施工结束后，需要全面清理输水渠道内残余的垃圾等物质后方可引水。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④明渠沿线施工对临时堆放物料应做好围挡防止水土流失进入</w:t>
      </w:r>
      <w:r>
        <w:rPr>
          <w:rFonts w:hint="default" w:ascii="Times New Roman" w:hAnsi="Times New Roman" w:cs="Times New Roman"/>
          <w:color w:val="auto"/>
          <w:highlight w:val="none"/>
          <w:lang w:val="en-US"/>
        </w:rPr>
        <w:t>水库及河流</w:t>
      </w:r>
      <w:r>
        <w:rPr>
          <w:rFonts w:hint="default" w:ascii="Times New Roman" w:hAnsi="Times New Roman" w:cs="Times New Roman"/>
          <w:color w:val="auto"/>
          <w:highlight w:val="none"/>
        </w:rPr>
        <w:t>。</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⑤施工</w:t>
      </w:r>
      <w:r>
        <w:rPr>
          <w:rFonts w:hint="default" w:ascii="Times New Roman" w:hAnsi="Times New Roman" w:cs="Times New Roman"/>
          <w:color w:val="auto"/>
          <w:highlight w:val="none"/>
          <w:lang w:val="en-US"/>
        </w:rPr>
        <w:t>临建区</w:t>
      </w:r>
      <w:r>
        <w:rPr>
          <w:rFonts w:hint="default" w:ascii="Times New Roman" w:hAnsi="Times New Roman" w:cs="Times New Roman"/>
          <w:color w:val="auto"/>
          <w:highlight w:val="none"/>
        </w:rPr>
        <w:t>需要设置隔油沉淀池，处理达标后用于场地洒水降尘或同边林地灌溉，</w:t>
      </w:r>
      <w:r>
        <w:rPr>
          <w:rFonts w:hint="default" w:ascii="Times New Roman" w:hAnsi="Times New Roman" w:cs="Times New Roman"/>
          <w:color w:val="auto"/>
          <w:highlight w:val="none"/>
          <w:lang w:val="en-US"/>
        </w:rPr>
        <w:t>严禁排入水体。</w:t>
      </w:r>
    </w:p>
    <w:p>
      <w:pPr>
        <w:pStyle w:val="4"/>
        <w:bidi w:val="0"/>
        <w:rPr>
          <w:rFonts w:hint="default" w:ascii="Times New Roman" w:hAnsi="Times New Roman" w:cs="Times New Roman"/>
          <w:highlight w:val="none"/>
          <w:lang w:val="en-US"/>
        </w:rPr>
      </w:pPr>
      <w:r>
        <w:rPr>
          <w:rFonts w:hint="default" w:ascii="Times New Roman" w:hAnsi="Times New Roman" w:cs="Times New Roman"/>
          <w:highlight w:val="none"/>
          <w:lang w:val="en-US"/>
        </w:rPr>
        <w:t>施工期废气污染防治措施</w:t>
      </w:r>
      <w:r>
        <w:rPr>
          <w:rFonts w:hint="default" w:ascii="Times New Roman" w:hAnsi="Times New Roman" w:cs="Times New Roman"/>
          <w:highlight w:val="none"/>
        </w:rPr>
        <w:t>道路运输扬尘防治措施</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（1）运输车辆行至人口分布较为集中的路段时，应低速行驶或限速行驶，以减少扬尘产生量，同时对这些路段应定时进行路面洒水。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运输车辆的载重应符合有关规定，防止超载。运送土石方和建筑材料的车辆应按规定配置防洒装备，装载不宜过满，实行密闭运输，装载的物料、渣土高度不得超过车辆槽帮上沿，避免在运输过程中发生遗撒或泄漏。对不慎洒落地面的建筑材料，应及时进行清理。</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（3）工程开挖土方及时回填，减小扬尘影响时间。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（4）开挖过程中，洒水作业保持一定的湿度；对施工场地内松散、干涸的表土，也应该经常洒水防治粉尘；回填土方时，在表层土质干燥时应适当洒水，防止粉尘飞扬。</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（5）加强回填土方堆放场的管理，采取土方表面压实、定期喷水、覆盖等措施。不需要的建筑材料等应及时运走，不宜长时间堆积。</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建筑工地主要道路应硬化并保持清洁，出口处应设置冲洗设施，运输车辆驶出现场前应将槽帮和车轮冲洗干净，严禁带尘出场；施工过程应设置密目网，防止和减少物料、渣土和垃圾外溢；物料和垃圾应密闭运输，严禁凌空抛散、野蛮装卸；施工土方和水泥、石灰等易产生扬尘污染的料堆应严密遮盖或在库房内存放；工地应设立临时密闭式垃圾堆，堆放不能及时清运的垃圾、渣土；一次性浇注混凝土量在30m³以上的工程应使用预拌混凝土，现场搅拌设备应采取有效防尘措施。</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（7）工程建设期间，施工场地内车行路径应铺设钢板、混凝土或其他功能相当的材料，出口处硬化路面不小于出口宽度，防止机动车扬尘。</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（8）施工场内的混凝土拌和站设置须符合卫生要求，并在施工时选择合适的风向。水泥、混凝土等散体建筑材料采用仓库、封闭堆场、储藏罐等形式堆放，避免作业起尘和风蚀起尘。</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9）若在工地内露天堆置砂石，应采取覆盖防尘布、防尘网等措施，必要时进行喷淋，防止风蚀起尘。材料仓库和临时材料堆放应尽量不靠近水环境等敏感目标，并防止物料散漏污染。仓库四周应有疏水沟系，防止雨水浸湿，水流引起物料流失。</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（10）施工过程中，严禁将废弃的建筑材料作为燃料燃烧。</w:t>
      </w:r>
    </w:p>
    <w:p>
      <w:pPr>
        <w:pStyle w:val="4"/>
        <w:numPr>
          <w:ilvl w:val="2"/>
          <w:numId w:val="5"/>
        </w:numPr>
        <w:tabs>
          <w:tab w:val="left" w:pos="420"/>
        </w:tabs>
        <w:spacing w:before="120" w:after="12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施工期噪声污染防治措施</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作业噪声不可避免，但为减少其噪声对周围环境的影响，建设单位必须要求施工单位严格按照《中华人民共和国环境噪声污染防治法》的要求施工，强化施工期环境监理，并从以下几个方面着手，采取适当的措施来减轻其噪声的影响。</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施工避让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（1）根据有关法规，加强施工管理，严格执行《建筑施工场界环境噪声排放标准》（GB12523-2011），落实施工方案有关环保措施，合理安排施工时间。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（2）合理安排好施工时间和施工场所布局，对设备定期保养，严格操作规范，土方工程尽量采取多台设备同时作业，缩短影响时间。</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（3）施工运输车辆进出场地应安排在远离居民住宅区的一侧，途径村庄等声环境敏感点时应减速慢行、禁鸣喇叭。</w:t>
      </w:r>
    </w:p>
    <w:p>
      <w:pPr>
        <w:pStyle w:val="5"/>
        <w:numPr>
          <w:ilvl w:val="3"/>
          <w:numId w:val="5"/>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禁止采用落后工艺和设备</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的噪声主要来自施工机械和运输车辆。低噪型运载车在行驶中的噪声声级比同类水平其它车辆约降低10~15dB（A），不同型号的压路机噪声声级可相差5dB（A），施工单位必须选用符合国家有关标准的施工机具和运输车辆，尽量选用低噪声的施工机械和工艺，振动较大的固定机械设备应加装减振机座，固定强噪声源应考虑加装隔声罩，同时应加强各类施工设备的维护和保养，保持其良好的运转，以便从根本上降低噪声源强。</w:t>
      </w:r>
    </w:p>
    <w:p>
      <w:pPr>
        <w:pStyle w:val="4"/>
        <w:numPr>
          <w:ilvl w:val="2"/>
          <w:numId w:val="5"/>
        </w:numPr>
        <w:tabs>
          <w:tab w:val="left" w:pos="420"/>
        </w:tabs>
        <w:spacing w:before="120" w:after="120"/>
        <w:rPr>
          <w:rFonts w:hint="default" w:ascii="Times New Roman" w:hAnsi="Times New Roman" w:cs="Times New Roman"/>
          <w:highlight w:val="none"/>
          <w:lang w:val="en-US"/>
        </w:rPr>
      </w:pPr>
      <w:r>
        <w:rPr>
          <w:rFonts w:hint="default" w:ascii="Times New Roman" w:hAnsi="Times New Roman" w:cs="Times New Roman"/>
          <w:highlight w:val="none"/>
          <w:lang w:val="en-US"/>
        </w:rPr>
        <w:t>施工期固体废物控制措施</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项目施工的建筑垃圾主要包括废弃土方、建筑弃渣和生活垃圾。</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（1）弃土方：</w:t>
      </w:r>
      <w:r>
        <w:rPr>
          <w:rFonts w:hint="default" w:ascii="Times New Roman" w:hAnsi="Times New Roman" w:cs="Times New Roman"/>
          <w:color w:val="auto"/>
          <w:highlight w:val="none"/>
          <w:lang w:val="en-US" w:eastAsia="zh-CN"/>
        </w:rPr>
        <w:t>本工程管沟和泵房挖填过程中共计挖方量2.65万m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rPr>
        <w:t>自然方</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其中管道部分开挖土方可以堆在开挖管沟两侧用于主体工程回填和场地回填，泵站开挖土方用于土方回填及填筑围堰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尚余1.12万m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rPr>
        <w:t>自然方</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需作为弃</w:t>
      </w:r>
      <w:r>
        <w:rPr>
          <w:rFonts w:hint="default" w:ascii="Times New Roman" w:hAnsi="Times New Roman" w:cs="Times New Roman"/>
          <w:color w:val="auto"/>
          <w:highlight w:val="none"/>
          <w:lang w:val="en-US" w:eastAsia="zh-CN"/>
        </w:rPr>
        <w:t>方</w:t>
      </w:r>
      <w:r>
        <w:rPr>
          <w:rFonts w:hint="default" w:ascii="Times New Roman" w:hAnsi="Times New Roman" w:cs="Times New Roman"/>
          <w:color w:val="auto"/>
          <w:highlight w:val="none"/>
        </w:rPr>
        <w:t>处理。弃</w:t>
      </w:r>
      <w:r>
        <w:rPr>
          <w:rFonts w:hint="default" w:ascii="Times New Roman" w:hAnsi="Times New Roman" w:cs="Times New Roman"/>
          <w:color w:val="auto"/>
          <w:highlight w:val="none"/>
          <w:lang w:val="en-US" w:eastAsia="zh-CN"/>
        </w:rPr>
        <w:t>方</w:t>
      </w:r>
      <w:r>
        <w:rPr>
          <w:rFonts w:hint="default" w:ascii="Times New Roman" w:hAnsi="Times New Roman" w:cs="Times New Roman"/>
          <w:color w:val="auto"/>
          <w:highlight w:val="none"/>
        </w:rPr>
        <w:t>可以结合低洼地回填利用一部分，其余可运至当地主管部门指定的位置堆放。</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（2）建筑弃渣：建筑弃渣主要为混凝土等，项目建筑垃圾尽量作为填方回填，不能利用的应设专门的堆放场所妥善放置，按当地环保部门的要求运至指定的地方填埋，避免其流入水体。</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（3）生活垃圾：本项目施工期高峰产生生活垃圾收集后交由项目所在地环卫部门统一处理。</w:t>
      </w:r>
    </w:p>
    <w:p>
      <w:pPr>
        <w:pStyle w:val="3"/>
        <w:numPr>
          <w:ilvl w:val="1"/>
          <w:numId w:val="5"/>
        </w:numPr>
        <w:spacing w:before="120" w:after="120"/>
        <w:rPr>
          <w:rFonts w:hint="default" w:ascii="Times New Roman" w:hAnsi="Times New Roman" w:cs="Times New Roman"/>
          <w:color w:val="auto"/>
          <w:highlight w:val="none"/>
          <w:lang w:val="en-US"/>
        </w:rPr>
      </w:pPr>
      <w:bookmarkStart w:id="143" w:name="_Toc9764"/>
      <w:bookmarkStart w:id="144" w:name="_Toc3619"/>
      <w:r>
        <w:rPr>
          <w:rFonts w:hint="default" w:ascii="Times New Roman" w:hAnsi="Times New Roman" w:cs="Times New Roman"/>
          <w:color w:val="auto"/>
          <w:highlight w:val="none"/>
          <w:lang w:val="en-US" w:eastAsia="zh-CN"/>
        </w:rPr>
        <w:t>运行期</w:t>
      </w:r>
      <w:r>
        <w:rPr>
          <w:rFonts w:hint="default" w:ascii="Times New Roman" w:hAnsi="Times New Roman" w:cs="Times New Roman"/>
          <w:color w:val="auto"/>
          <w:highlight w:val="none"/>
          <w:lang w:val="en-US"/>
        </w:rPr>
        <w:t>环境保护措施</w:t>
      </w:r>
      <w:bookmarkEnd w:id="143"/>
      <w:bookmarkEnd w:id="144"/>
    </w:p>
    <w:p>
      <w:pPr>
        <w:pStyle w:val="4"/>
        <w:numPr>
          <w:ilvl w:val="2"/>
          <w:numId w:val="5"/>
        </w:numPr>
        <w:tabs>
          <w:tab w:val="left" w:pos="420"/>
        </w:tabs>
        <w:spacing w:before="120" w:after="12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运行期</w:t>
      </w:r>
      <w:r>
        <w:rPr>
          <w:rFonts w:hint="default" w:ascii="Times New Roman" w:hAnsi="Times New Roman" w:cs="Times New Roman"/>
          <w:color w:val="auto"/>
          <w:highlight w:val="none"/>
          <w:lang w:val="en-US"/>
        </w:rPr>
        <w:t>水环境污染防治措施</w:t>
      </w:r>
    </w:p>
    <w:p>
      <w:pPr>
        <w:pStyle w:val="5"/>
        <w:numPr>
          <w:ilvl w:val="3"/>
          <w:numId w:val="5"/>
        </w:numPr>
        <w:tabs>
          <w:tab w:val="left" w:pos="420"/>
        </w:tabs>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取水过程减缓措施</w:t>
      </w:r>
    </w:p>
    <w:p>
      <w:pPr>
        <w:kinsoku w:val="0"/>
        <w:overflowPunct w:val="0"/>
        <w:ind w:firstLine="48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rPr>
        <w:t>1、加强取水管理，严禁超采；</w:t>
      </w:r>
    </w:p>
    <w:p>
      <w:pPr>
        <w:kinsoku w:val="0"/>
        <w:overflowPunct w:val="0"/>
        <w:ind w:firstLine="48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rPr>
        <w:t>2、对</w:t>
      </w:r>
      <w:r>
        <w:rPr>
          <w:rFonts w:hint="default" w:ascii="Times New Roman" w:hAnsi="Times New Roman" w:cs="Times New Roman"/>
          <w:color w:val="auto"/>
          <w:spacing w:val="-2"/>
          <w:highlight w:val="none"/>
        </w:rPr>
        <w:t>西阳村龙井溪山涧取水</w:t>
      </w:r>
      <w:r>
        <w:rPr>
          <w:rFonts w:hint="default" w:ascii="Times New Roman" w:hAnsi="Times New Roman" w:cs="Times New Roman"/>
          <w:color w:val="auto"/>
          <w:kern w:val="2"/>
          <w:highlight w:val="none"/>
          <w:lang w:val="en-US"/>
        </w:rPr>
        <w:t>尽量采取对水文情势影响小的取水口形式；</w:t>
      </w:r>
    </w:p>
    <w:p>
      <w:pPr>
        <w:kinsoku w:val="0"/>
        <w:overflowPunct w:val="0"/>
        <w:ind w:firstLine="48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rPr>
        <w:t>3、</w:t>
      </w:r>
      <w:r>
        <w:rPr>
          <w:rFonts w:hint="default" w:ascii="Times New Roman" w:hAnsi="Times New Roman" w:cs="Times New Roman"/>
          <w:color w:val="auto"/>
          <w:spacing w:val="-2"/>
          <w:highlight w:val="none"/>
          <w:lang w:eastAsia="zh-CN"/>
        </w:rPr>
        <w:t>龙井溪山涧水</w:t>
      </w:r>
      <w:r>
        <w:rPr>
          <w:rFonts w:hint="default" w:ascii="Times New Roman" w:hAnsi="Times New Roman" w:cs="Times New Roman"/>
          <w:color w:val="auto"/>
          <w:kern w:val="2"/>
          <w:highlight w:val="none"/>
          <w:lang w:val="en-US"/>
        </w:rPr>
        <w:t>通过引水管自流进取水井可减少取水过程对</w:t>
      </w:r>
      <w:r>
        <w:rPr>
          <w:rFonts w:hint="default" w:ascii="Times New Roman" w:hAnsi="Times New Roman" w:cs="Times New Roman"/>
          <w:color w:val="auto"/>
          <w:spacing w:val="-2"/>
          <w:highlight w:val="none"/>
        </w:rPr>
        <w:t>管阳溪</w:t>
      </w:r>
      <w:r>
        <w:rPr>
          <w:rFonts w:hint="default" w:ascii="Times New Roman" w:hAnsi="Times New Roman" w:cs="Times New Roman"/>
          <w:color w:val="auto"/>
          <w:kern w:val="2"/>
          <w:highlight w:val="none"/>
          <w:lang w:val="en-US"/>
        </w:rPr>
        <w:t>的扰动，减少对水文情势的影响；</w:t>
      </w:r>
    </w:p>
    <w:p>
      <w:pPr>
        <w:kinsoku w:val="0"/>
        <w:overflowPunct w:val="0"/>
        <w:ind w:firstLine="48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rPr>
        <w:t>4、在枯水年，为了减少取水工程对</w:t>
      </w:r>
      <w:r>
        <w:rPr>
          <w:rFonts w:hint="default" w:ascii="Times New Roman" w:hAnsi="Times New Roman" w:cs="Times New Roman"/>
          <w:color w:val="auto"/>
          <w:spacing w:val="-2"/>
          <w:highlight w:val="none"/>
        </w:rPr>
        <w:t>管阳溪</w:t>
      </w:r>
      <w:r>
        <w:rPr>
          <w:rFonts w:hint="default" w:ascii="Times New Roman" w:hAnsi="Times New Roman" w:cs="Times New Roman"/>
          <w:color w:val="auto"/>
          <w:kern w:val="2"/>
          <w:highlight w:val="none"/>
          <w:lang w:val="en-US"/>
        </w:rPr>
        <w:t>水文情势的影响，为了保障河道中的生态需水量，结合闸坝管理部门的运行调度方案，调整项目取水方案，保障河道中生态需水，如果当项目取水影响</w:t>
      </w:r>
      <w:r>
        <w:rPr>
          <w:rFonts w:hint="default" w:ascii="Times New Roman" w:hAnsi="Times New Roman" w:cs="Times New Roman"/>
          <w:color w:val="auto"/>
          <w:spacing w:val="-2"/>
          <w:highlight w:val="none"/>
        </w:rPr>
        <w:t>管阳溪</w:t>
      </w:r>
      <w:r>
        <w:rPr>
          <w:rFonts w:hint="default" w:ascii="Times New Roman" w:hAnsi="Times New Roman" w:cs="Times New Roman"/>
          <w:color w:val="auto"/>
          <w:kern w:val="2"/>
          <w:highlight w:val="none"/>
          <w:lang w:val="en-US"/>
        </w:rPr>
        <w:t>生态用水时，则需要停止取水；</w:t>
      </w:r>
    </w:p>
    <w:p>
      <w:pPr>
        <w:kinsoku w:val="0"/>
        <w:overflowPunct w:val="0"/>
        <w:ind w:firstLine="480"/>
        <w:rPr>
          <w:rFonts w:hint="default" w:ascii="Times New Roman" w:hAnsi="Times New Roman" w:cs="Times New Roman"/>
          <w:color w:val="auto"/>
          <w:kern w:val="2"/>
          <w:highlight w:val="none"/>
          <w:lang w:val="en-US"/>
        </w:rPr>
      </w:pPr>
      <w:r>
        <w:rPr>
          <w:rFonts w:hint="default" w:ascii="Times New Roman" w:hAnsi="Times New Roman" w:cs="Times New Roman"/>
          <w:color w:val="auto"/>
          <w:kern w:val="2"/>
          <w:highlight w:val="none"/>
          <w:lang w:val="en-US"/>
        </w:rPr>
        <w:t>5、加强河道内取水口附近水质、水量等的监测，制定监测计划，提高取水水质安全性及生态流量的保障性；</w:t>
      </w:r>
    </w:p>
    <w:p>
      <w:pPr>
        <w:ind w:firstLine="480"/>
        <w:rPr>
          <w:rFonts w:hint="default" w:ascii="Times New Roman" w:hAnsi="Times New Roman" w:cs="Times New Roman"/>
          <w:bCs/>
          <w:color w:val="auto"/>
          <w:highlight w:val="none"/>
        </w:rPr>
      </w:pPr>
      <w:r>
        <w:rPr>
          <w:rFonts w:hint="default" w:ascii="Times New Roman" w:hAnsi="Times New Roman" w:cs="Times New Roman"/>
          <w:color w:val="auto"/>
          <w:szCs w:val="24"/>
          <w:highlight w:val="none"/>
        </w:rPr>
        <w:t>6、</w:t>
      </w:r>
      <w:r>
        <w:rPr>
          <w:rFonts w:hint="default" w:ascii="Times New Roman" w:hAnsi="Times New Roman" w:cs="Times New Roman"/>
          <w:bCs/>
          <w:color w:val="auto"/>
          <w:highlight w:val="none"/>
        </w:rPr>
        <w:t>建立与水利、净水厂的联动机制，一旦发生事故，同时与地方政府建立应急供水预案，积极采取有效的措施，减少对地表水环境的影响，同时保证郯城经济开发区工业用水安全。</w:t>
      </w:r>
    </w:p>
    <w:p>
      <w:pPr>
        <w:pStyle w:val="5"/>
        <w:numPr>
          <w:ilvl w:val="3"/>
          <w:numId w:val="5"/>
        </w:numPr>
        <w:tabs>
          <w:tab w:val="left" w:pos="420"/>
        </w:tabs>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地下水污染防治措施</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项目拟采取的污染防治措施：</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fldChar w:fldCharType="begin"/>
      </w:r>
      <w:r>
        <w:rPr>
          <w:rFonts w:hint="default" w:ascii="Times New Roman" w:hAnsi="Times New Roman" w:cs="Times New Roman"/>
          <w:bCs/>
          <w:color w:val="auto"/>
          <w:highlight w:val="none"/>
        </w:rPr>
        <w:instrText xml:space="preserve"> = 1 \* GB3 </w:instrText>
      </w:r>
      <w:r>
        <w:rPr>
          <w:rFonts w:hint="default" w:ascii="Times New Roman" w:hAnsi="Times New Roman" w:cs="Times New Roman"/>
          <w:bCs/>
          <w:color w:val="auto"/>
          <w:highlight w:val="none"/>
        </w:rPr>
        <w:fldChar w:fldCharType="separate"/>
      </w:r>
      <w:r>
        <w:rPr>
          <w:rFonts w:hint="default" w:ascii="Times New Roman" w:hAnsi="Times New Roman" w:cs="Times New Roman"/>
          <w:bCs/>
          <w:color w:val="auto"/>
          <w:highlight w:val="none"/>
        </w:rPr>
        <w:t>①</w:t>
      </w:r>
      <w:r>
        <w:rPr>
          <w:rFonts w:hint="default" w:ascii="Times New Roman" w:hAnsi="Times New Roman" w:cs="Times New Roman"/>
          <w:bCs/>
          <w:color w:val="auto"/>
          <w:highlight w:val="none"/>
        </w:rPr>
        <w:fldChar w:fldCharType="end"/>
      </w:r>
      <w:r>
        <w:rPr>
          <w:rFonts w:hint="default" w:ascii="Times New Roman" w:hAnsi="Times New Roman" w:cs="Times New Roman"/>
          <w:bCs/>
          <w:color w:val="auto"/>
          <w:highlight w:val="none"/>
        </w:rPr>
        <w:t xml:space="preserve">取水泵房、管阳水厂、西阳水厂及配水泵房地面硬化，降低地面渗透系数。 </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②吸水井、进水井井壁、井底全部为钢筋混凝土结构，具有防渗效果。</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③水厂实行雨污分流制，水厂管道全部采用防渗管道，如混凝土排水管或防渗塑料管材，并加强对管道的排查和管理。</w:t>
      </w:r>
    </w:p>
    <w:p>
      <w:pPr>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fldChar w:fldCharType="begin"/>
      </w:r>
      <w:r>
        <w:rPr>
          <w:rFonts w:hint="default" w:ascii="Times New Roman" w:hAnsi="Times New Roman" w:cs="Times New Roman"/>
          <w:bCs/>
          <w:color w:val="auto"/>
          <w:highlight w:val="none"/>
        </w:rPr>
        <w:instrText xml:space="preserve"> = 4 \* GB3 </w:instrText>
      </w:r>
      <w:r>
        <w:rPr>
          <w:rFonts w:hint="default" w:ascii="Times New Roman" w:hAnsi="Times New Roman" w:cs="Times New Roman"/>
          <w:bCs/>
          <w:color w:val="auto"/>
          <w:highlight w:val="none"/>
        </w:rPr>
        <w:fldChar w:fldCharType="separate"/>
      </w:r>
      <w:r>
        <w:rPr>
          <w:rFonts w:hint="default" w:ascii="Times New Roman" w:hAnsi="Times New Roman" w:cs="Times New Roman"/>
          <w:bCs/>
          <w:color w:val="auto"/>
          <w:highlight w:val="none"/>
        </w:rPr>
        <w:t>④</w:t>
      </w:r>
      <w:r>
        <w:rPr>
          <w:rFonts w:hint="default" w:ascii="Times New Roman" w:hAnsi="Times New Roman" w:cs="Times New Roman"/>
          <w:bCs/>
          <w:color w:val="auto"/>
          <w:highlight w:val="none"/>
        </w:rPr>
        <w:fldChar w:fldCharType="end"/>
      </w:r>
      <w:r>
        <w:rPr>
          <w:rFonts w:hint="default" w:ascii="Times New Roman" w:hAnsi="Times New Roman" w:cs="Times New Roman"/>
          <w:bCs/>
          <w:color w:val="auto"/>
          <w:highlight w:val="none"/>
        </w:rPr>
        <w:t>加强事故防范，设置管道检修制度，定期组织人员对管道进行检查与维护。</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5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⑤</w:t>
      </w:r>
      <w:r>
        <w:rPr>
          <w:rFonts w:hint="default" w:ascii="Times New Roman" w:hAnsi="Times New Roman" w:cs="Times New Roman"/>
          <w:color w:val="auto"/>
          <w:highlight w:val="none"/>
        </w:rPr>
        <w:fldChar w:fldCharType="end"/>
      </w:r>
      <w:r>
        <w:rPr>
          <w:rFonts w:hint="default" w:ascii="Times New Roman" w:hAnsi="Times New Roman" w:cs="Times New Roman"/>
          <w:bCs/>
          <w:color w:val="auto"/>
          <w:highlight w:val="none"/>
        </w:rPr>
        <w:t>建立与水利、净水厂的联动机制，一旦发生事故，同时与地方政府建立应急供水预案，积极采取有效的措施，减少对地表水环境的影响，间接减少对地下水的影响，同时保证管阳镇用水安全。</w:t>
      </w:r>
    </w:p>
    <w:p>
      <w:pPr>
        <w:pStyle w:val="4"/>
        <w:numPr>
          <w:ilvl w:val="2"/>
          <w:numId w:val="5"/>
        </w:numPr>
        <w:tabs>
          <w:tab w:val="left" w:pos="420"/>
        </w:tabs>
        <w:spacing w:before="120" w:after="12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运行期</w:t>
      </w:r>
      <w:r>
        <w:rPr>
          <w:rFonts w:hint="default" w:ascii="Times New Roman" w:hAnsi="Times New Roman" w:cs="Times New Roman"/>
          <w:color w:val="auto"/>
          <w:highlight w:val="none"/>
          <w:lang w:val="en-US"/>
        </w:rPr>
        <w:t>噪声污染防治措施</w:t>
      </w:r>
    </w:p>
    <w:p>
      <w:pPr>
        <w:numPr>
          <w:ilvl w:val="0"/>
          <w:numId w:val="6"/>
        </w:numPr>
        <w:autoSpaceDE/>
        <w:autoSpaceDN/>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水泵等设备应安装减振台座、减振垫片等减振降噪设施。</w:t>
      </w:r>
    </w:p>
    <w:p>
      <w:pPr>
        <w:numPr>
          <w:ilvl w:val="0"/>
          <w:numId w:val="6"/>
        </w:numPr>
        <w:autoSpaceDE/>
        <w:autoSpaceDN/>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选用低噪声设备，并加强设备的安装、调试、使用和维护管理。防止因零部件的松、动、磨损和设备运转状态下降，导致噪声值增大。</w:t>
      </w:r>
    </w:p>
    <w:p>
      <w:pPr>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rPr>
        <w:t>采取上述措施后，本项目</w:t>
      </w:r>
      <w:r>
        <w:rPr>
          <w:rFonts w:hint="default" w:ascii="Times New Roman" w:hAnsi="Times New Roman" w:cs="Times New Roman"/>
          <w:color w:val="auto"/>
          <w:highlight w:val="none"/>
          <w:lang w:val="en-US" w:eastAsia="zh-CN"/>
        </w:rPr>
        <w:t>泵房</w:t>
      </w:r>
      <w:r>
        <w:rPr>
          <w:rFonts w:hint="default" w:ascii="Times New Roman" w:hAnsi="Times New Roman" w:cs="Times New Roman"/>
          <w:color w:val="auto"/>
          <w:highlight w:val="none"/>
          <w:lang w:val="en-US"/>
        </w:rPr>
        <w:t>厂界噪声均可满足《工业企业厂界噪声排放标准》（GB12348-2008）表1中2类标准，因此本项目噪声防治措施可行。</w:t>
      </w:r>
    </w:p>
    <w:p>
      <w:pPr>
        <w:rPr>
          <w:rFonts w:hint="default" w:ascii="Times New Roman" w:hAnsi="Times New Roman" w:cs="Times New Roman"/>
          <w:highlight w:val="none"/>
          <w:lang w:val="en-US" w:eastAsia="zh-CN"/>
        </w:rPr>
        <w:sectPr>
          <w:pgSz w:w="11850" w:h="16783"/>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pPr>
    </w:p>
    <w:p>
      <w:pPr>
        <w:pStyle w:val="2"/>
        <w:bidi w:val="0"/>
        <w:rPr>
          <w:rFonts w:hint="default" w:ascii="Times New Roman" w:hAnsi="Times New Roman" w:cs="Times New Roman"/>
          <w:highlight w:val="none"/>
        </w:rPr>
      </w:pPr>
      <w:bookmarkStart w:id="145" w:name="_Toc5283771"/>
      <w:bookmarkStart w:id="146" w:name="_Toc533846006"/>
      <w:bookmarkStart w:id="147" w:name="_Toc362250768"/>
      <w:bookmarkStart w:id="148" w:name="_Toc333864108"/>
      <w:bookmarkStart w:id="149" w:name="_Toc23640"/>
      <w:bookmarkStart w:id="150" w:name="_Toc25488"/>
      <w:bookmarkStart w:id="151" w:name="_Toc444183844"/>
      <w:bookmarkStart w:id="152" w:name="_Toc361592738"/>
      <w:r>
        <w:rPr>
          <w:rFonts w:hint="default" w:ascii="Times New Roman" w:hAnsi="Times New Roman" w:cs="Times New Roman"/>
          <w:highlight w:val="none"/>
        </w:rPr>
        <w:t>环境经济损益分析</w:t>
      </w:r>
      <w:bookmarkEnd w:id="145"/>
      <w:bookmarkEnd w:id="146"/>
      <w:bookmarkEnd w:id="147"/>
      <w:bookmarkEnd w:id="148"/>
      <w:bookmarkEnd w:id="149"/>
      <w:bookmarkEnd w:id="150"/>
      <w:bookmarkEnd w:id="151"/>
      <w:bookmarkEnd w:id="152"/>
    </w:p>
    <w:p>
      <w:pPr>
        <w:pStyle w:val="3"/>
        <w:bidi w:val="0"/>
        <w:rPr>
          <w:rFonts w:hint="default" w:ascii="Times New Roman" w:hAnsi="Times New Roman" w:cs="Times New Roman"/>
          <w:highlight w:val="none"/>
        </w:rPr>
      </w:pPr>
      <w:bookmarkStart w:id="153" w:name="_Toc5283772"/>
      <w:bookmarkStart w:id="154" w:name="_Toc533846007"/>
      <w:bookmarkStart w:id="155" w:name="_Toc22952"/>
      <w:bookmarkStart w:id="156" w:name="_Toc444183845"/>
      <w:bookmarkStart w:id="157" w:name="_Toc13480"/>
      <w:r>
        <w:rPr>
          <w:rFonts w:hint="default" w:ascii="Times New Roman" w:hAnsi="Times New Roman" w:cs="Times New Roman"/>
          <w:highlight w:val="none"/>
        </w:rPr>
        <w:t>国民经济效益分析</w:t>
      </w:r>
      <w:bookmarkEnd w:id="153"/>
      <w:bookmarkEnd w:id="154"/>
      <w:bookmarkEnd w:id="155"/>
      <w:bookmarkEnd w:id="156"/>
      <w:bookmarkEnd w:id="157"/>
    </w:p>
    <w:p>
      <w:pPr>
        <w:tabs>
          <w:tab w:val="left" w:pos="1980"/>
          <w:tab w:val="left" w:pos="3825"/>
          <w:tab w:val="left" w:pos="4680"/>
        </w:tabs>
        <w:spacing w:line="360" w:lineRule="auto"/>
        <w:ind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福鼎市管阳片区农村安全饮水工程管网部分（福鼎市城乡供水一体化二期）</w:t>
      </w:r>
      <w:r>
        <w:rPr>
          <w:rFonts w:hint="default" w:ascii="Times New Roman" w:hAnsi="Times New Roman" w:eastAsia="宋体" w:cs="Times New Roman"/>
          <w:sz w:val="24"/>
          <w:szCs w:val="24"/>
          <w:highlight w:val="none"/>
        </w:rPr>
        <w:t>项目是为了落实“城乡供水一体化”的供水规划，彻底解决该片区居民生活和生产用水问题</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是实现供水安全，水资源宏观调控和规模化效益的重要措施；是改善供水格局、水质达标的必要内容；是发展当地经济，提高当地居民生活卫生及健康水平的基础保障。其国民经济评价结果如下：当社会折现率</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财务基准内部收益率</w:t>
      </w:r>
      <w:r>
        <w:rPr>
          <w:rFonts w:hint="default" w:ascii="Times New Roman" w:hAnsi="Times New Roman" w:eastAsia="宋体" w:cs="Times New Roman"/>
          <w:sz w:val="24"/>
          <w:szCs w:val="24"/>
          <w:highlight w:val="none"/>
          <w:lang w:eastAsia="zh-CN"/>
        </w:rPr>
        <w:t>）为</w:t>
      </w:r>
      <w:r>
        <w:rPr>
          <w:rFonts w:hint="default" w:ascii="Times New Roman" w:hAnsi="Times New Roman" w:eastAsia="宋体" w:cs="Times New Roman"/>
          <w:sz w:val="24"/>
          <w:szCs w:val="24"/>
          <w:highlight w:val="none"/>
        </w:rPr>
        <w:t>8%时，投资项目</w:t>
      </w:r>
      <w:r>
        <w:rPr>
          <w:rFonts w:hint="default" w:ascii="Times New Roman" w:hAnsi="Times New Roman" w:eastAsia="宋体" w:cs="Times New Roman"/>
          <w:sz w:val="24"/>
          <w:szCs w:val="24"/>
          <w:highlight w:val="none"/>
          <w:lang w:eastAsia="zh-CN"/>
        </w:rPr>
        <w:t>财务内部</w:t>
      </w:r>
      <w:r>
        <w:rPr>
          <w:rFonts w:hint="default" w:ascii="Times New Roman" w:hAnsi="Times New Roman" w:eastAsia="宋体" w:cs="Times New Roman"/>
          <w:sz w:val="24"/>
          <w:szCs w:val="24"/>
          <w:highlight w:val="none"/>
        </w:rPr>
        <w:t>收益率</w:t>
      </w:r>
      <w:r>
        <w:rPr>
          <w:rFonts w:hint="default" w:ascii="Times New Roman" w:hAnsi="Times New Roman" w:eastAsia="宋体" w:cs="Times New Roman"/>
          <w:sz w:val="24"/>
          <w:szCs w:val="24"/>
          <w:highlight w:val="none"/>
          <w:lang w:eastAsia="zh-CN"/>
        </w:rPr>
        <w:t>税前</w:t>
      </w:r>
      <w:r>
        <w:rPr>
          <w:rFonts w:hint="default" w:ascii="Times New Roman" w:hAnsi="Times New Roman" w:eastAsia="宋体" w:cs="Times New Roman"/>
          <w:sz w:val="24"/>
          <w:szCs w:val="24"/>
          <w:highlight w:val="none"/>
          <w:lang w:val="en-US" w:eastAsia="zh-CN"/>
        </w:rPr>
        <w:t>10.06</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（税后</w:t>
      </w:r>
      <w:r>
        <w:rPr>
          <w:rFonts w:hint="default" w:ascii="Times New Roman" w:hAnsi="Times New Roman" w:eastAsia="宋体" w:cs="Times New Roman"/>
          <w:sz w:val="24"/>
          <w:szCs w:val="24"/>
          <w:highlight w:val="none"/>
          <w:lang w:val="en-US" w:eastAsia="zh-CN"/>
        </w:rPr>
        <w:t>8.71%</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，大于8%的社会折现率；</w:t>
      </w:r>
      <w:r>
        <w:rPr>
          <w:rFonts w:hint="default" w:ascii="Times New Roman" w:hAnsi="Times New Roman" w:eastAsia="宋体" w:cs="Times New Roman"/>
          <w:sz w:val="24"/>
          <w:szCs w:val="24"/>
          <w:highlight w:val="none"/>
          <w:lang w:eastAsia="zh-CN"/>
        </w:rPr>
        <w:t>财务</w:t>
      </w:r>
      <w:r>
        <w:rPr>
          <w:rFonts w:hint="default" w:ascii="Times New Roman" w:hAnsi="Times New Roman" w:eastAsia="宋体" w:cs="Times New Roman"/>
          <w:sz w:val="24"/>
          <w:szCs w:val="24"/>
          <w:highlight w:val="none"/>
        </w:rPr>
        <w:t>净现值</w:t>
      </w:r>
      <w:r>
        <w:rPr>
          <w:rFonts w:hint="default" w:ascii="Times New Roman" w:hAnsi="Times New Roman" w:eastAsia="宋体" w:cs="Times New Roman"/>
          <w:sz w:val="24"/>
          <w:szCs w:val="24"/>
          <w:highlight w:val="none"/>
          <w:lang w:eastAsia="zh-CN"/>
        </w:rPr>
        <w:t>税前</w:t>
      </w:r>
      <w:r>
        <w:rPr>
          <w:rFonts w:hint="default" w:ascii="Times New Roman" w:hAnsi="Times New Roman" w:eastAsia="宋体" w:cs="Times New Roman"/>
          <w:sz w:val="24"/>
          <w:szCs w:val="24"/>
          <w:highlight w:val="none"/>
        </w:rPr>
        <w:t>8</w:t>
      </w:r>
      <w:r>
        <w:rPr>
          <w:rFonts w:hint="default" w:ascii="Times New Roman" w:hAnsi="Times New Roman" w:eastAsia="宋体" w:cs="Times New Roman"/>
          <w:sz w:val="24"/>
          <w:szCs w:val="24"/>
          <w:highlight w:val="none"/>
          <w:lang w:val="en-US" w:eastAsia="zh-CN"/>
        </w:rPr>
        <w:t>96.3</w:t>
      </w:r>
      <w:r>
        <w:rPr>
          <w:rFonts w:hint="default" w:ascii="Times New Roman" w:hAnsi="Times New Roman" w:eastAsia="宋体" w:cs="Times New Roman"/>
          <w:sz w:val="24"/>
          <w:szCs w:val="24"/>
          <w:highlight w:val="none"/>
        </w:rPr>
        <w:t>4万元</w:t>
      </w:r>
      <w:r>
        <w:rPr>
          <w:rFonts w:hint="default" w:ascii="Times New Roman" w:hAnsi="Times New Roman" w:eastAsia="宋体" w:cs="Times New Roman"/>
          <w:sz w:val="24"/>
          <w:szCs w:val="24"/>
          <w:highlight w:val="none"/>
          <w:lang w:eastAsia="zh-CN"/>
        </w:rPr>
        <w:t>（税后</w:t>
      </w:r>
      <w:r>
        <w:rPr>
          <w:rFonts w:hint="default" w:ascii="Times New Roman" w:hAnsi="Times New Roman" w:eastAsia="宋体" w:cs="Times New Roman"/>
          <w:sz w:val="24"/>
          <w:szCs w:val="24"/>
          <w:highlight w:val="none"/>
          <w:lang w:val="en-US" w:eastAsia="zh-CN"/>
        </w:rPr>
        <w:t>464.70万元</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，大于0；投资回收期，税前10.52</w:t>
      </w:r>
      <w:r>
        <w:rPr>
          <w:rFonts w:hint="default" w:ascii="Times New Roman" w:hAnsi="Times New Roman" w:eastAsia="宋体" w:cs="Times New Roman"/>
          <w:sz w:val="24"/>
          <w:szCs w:val="24"/>
          <w:highlight w:val="none"/>
          <w:lang w:eastAsia="zh-CN"/>
        </w:rPr>
        <w:t>年（</w:t>
      </w:r>
      <w:r>
        <w:rPr>
          <w:rFonts w:hint="default" w:ascii="Times New Roman" w:hAnsi="Times New Roman" w:eastAsia="宋体" w:cs="Times New Roman"/>
          <w:sz w:val="24"/>
          <w:szCs w:val="24"/>
          <w:highlight w:val="none"/>
        </w:rPr>
        <w:t>税后11.48</w:t>
      </w:r>
      <w:r>
        <w:rPr>
          <w:rFonts w:hint="default" w:ascii="Times New Roman" w:hAnsi="Times New Roman" w:eastAsia="宋体" w:cs="Times New Roman"/>
          <w:sz w:val="24"/>
          <w:szCs w:val="24"/>
          <w:highlight w:val="none"/>
          <w:lang w:eastAsia="zh-CN"/>
        </w:rPr>
        <w:t>年）</w:t>
      </w:r>
      <w:r>
        <w:rPr>
          <w:rFonts w:hint="default" w:ascii="Times New Roman" w:hAnsi="Times New Roman" w:eastAsia="宋体" w:cs="Times New Roman"/>
          <w:sz w:val="24"/>
          <w:szCs w:val="24"/>
          <w:highlight w:val="none"/>
        </w:rPr>
        <w:t>，项目为公益性项目，国民经济评价可行。其中直接效益主要为供水效益；间接效益主要为</w:t>
      </w:r>
      <w:r>
        <w:rPr>
          <w:rFonts w:hint="default" w:ascii="Times New Roman" w:hAnsi="Times New Roman" w:eastAsia="宋体" w:cs="Times New Roman"/>
          <w:sz w:val="24"/>
          <w:szCs w:val="24"/>
          <w:highlight w:val="none"/>
          <w:lang w:eastAsia="zh-CN"/>
        </w:rPr>
        <w:t>保障城区居民生活和生产用水</w:t>
      </w:r>
      <w:r>
        <w:rPr>
          <w:rFonts w:hint="default" w:ascii="Times New Roman" w:hAnsi="Times New Roman" w:eastAsia="宋体" w:cs="Times New Roman"/>
          <w:sz w:val="24"/>
          <w:szCs w:val="24"/>
          <w:highlight w:val="none"/>
        </w:rPr>
        <w:t>供水安全等。</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因此，从国民经济评价看来，本项目国民经济效益较好，并具有一定的抗风险能力。</w:t>
      </w:r>
    </w:p>
    <w:p>
      <w:pPr>
        <w:pStyle w:val="3"/>
        <w:numPr>
          <w:ilvl w:val="1"/>
          <w:numId w:val="5"/>
        </w:numPr>
        <w:tabs>
          <w:tab w:val="left" w:pos="420"/>
          <w:tab w:val="clear" w:pos="0"/>
        </w:tabs>
        <w:bidi w:val="0"/>
        <w:rPr>
          <w:rFonts w:hint="default" w:ascii="Times New Roman" w:hAnsi="Times New Roman" w:cs="Times New Roman"/>
          <w:highlight w:val="none"/>
        </w:rPr>
      </w:pPr>
      <w:bookmarkStart w:id="158" w:name="_Toc533846008"/>
      <w:bookmarkStart w:id="159" w:name="_Toc15460"/>
      <w:bookmarkStart w:id="160" w:name="_Toc444183846"/>
      <w:bookmarkStart w:id="161" w:name="_Toc3700"/>
      <w:bookmarkStart w:id="162" w:name="_Toc5283773"/>
      <w:r>
        <w:rPr>
          <w:rFonts w:hint="default" w:ascii="Times New Roman" w:hAnsi="Times New Roman" w:cs="Times New Roman"/>
          <w:highlight w:val="none"/>
        </w:rPr>
        <w:t>社会效益分析</w:t>
      </w:r>
      <w:bookmarkEnd w:id="158"/>
      <w:bookmarkEnd w:id="159"/>
      <w:bookmarkEnd w:id="160"/>
      <w:bookmarkEnd w:id="161"/>
      <w:bookmarkEnd w:id="162"/>
    </w:p>
    <w:p>
      <w:pPr>
        <w:bidi w:val="0"/>
        <w:rPr>
          <w:rFonts w:hint="default" w:ascii="Times New Roman" w:hAnsi="Times New Roman" w:cs="Times New Roman"/>
          <w:highlight w:val="none"/>
        </w:rPr>
      </w:pPr>
      <w:r>
        <w:rPr>
          <w:rFonts w:hint="default" w:ascii="Times New Roman" w:hAnsi="Times New Roman" w:cs="Times New Roman"/>
          <w:highlight w:val="none"/>
        </w:rPr>
        <w:t>本项目的建设是当地发展的重要物质基础，是保障国家振兴乡村战略的重要基础条件；是实现城乡供水一体化的前提条件，是实现供水安全，水资源宏观调控和规模化效益的重要措施；是改善供水格局、水质达标的必要内容；是发展当地经济，提高当地居民生活卫生及健康水平的基础保障</w:t>
      </w:r>
      <w:r>
        <w:rPr>
          <w:rFonts w:hint="default" w:ascii="Times New Roman" w:hAnsi="Times New Roman" w:cs="Times New Roman"/>
          <w:highlight w:val="none"/>
          <w:lang w:eastAsia="zh-CN"/>
        </w:rPr>
        <w:t>，具有较好的社会效益</w:t>
      </w:r>
      <w:r>
        <w:rPr>
          <w:rFonts w:hint="default" w:ascii="Times New Roman" w:hAnsi="Times New Roman" w:cs="Times New Roman"/>
          <w:highlight w:val="none"/>
        </w:rPr>
        <w:t>。</w:t>
      </w:r>
    </w:p>
    <w:p>
      <w:pPr>
        <w:pStyle w:val="3"/>
        <w:numPr>
          <w:ilvl w:val="1"/>
          <w:numId w:val="5"/>
        </w:numPr>
        <w:tabs>
          <w:tab w:val="left" w:pos="420"/>
          <w:tab w:val="clear" w:pos="0"/>
        </w:tabs>
        <w:bidi w:val="0"/>
        <w:rPr>
          <w:rFonts w:hint="default" w:ascii="Times New Roman" w:hAnsi="Times New Roman" w:cs="Times New Roman"/>
          <w:highlight w:val="none"/>
        </w:rPr>
      </w:pPr>
      <w:bookmarkStart w:id="163" w:name="_Toc533846009"/>
      <w:bookmarkStart w:id="164" w:name="_Toc444183847"/>
      <w:bookmarkStart w:id="165" w:name="_Toc5699"/>
      <w:bookmarkStart w:id="166" w:name="_Toc5338"/>
      <w:bookmarkStart w:id="167" w:name="_Toc5283774"/>
      <w:r>
        <w:rPr>
          <w:rFonts w:hint="default" w:ascii="Times New Roman" w:hAnsi="Times New Roman" w:cs="Times New Roman"/>
          <w:highlight w:val="none"/>
        </w:rPr>
        <w:t>环保投资估算及其效益分析</w:t>
      </w:r>
      <w:bookmarkEnd w:id="163"/>
      <w:bookmarkEnd w:id="164"/>
      <w:bookmarkEnd w:id="165"/>
      <w:bookmarkEnd w:id="166"/>
      <w:bookmarkEnd w:id="167"/>
    </w:p>
    <w:p>
      <w:pPr>
        <w:pStyle w:val="4"/>
        <w:numPr>
          <w:ilvl w:val="2"/>
          <w:numId w:val="5"/>
        </w:numPr>
        <w:tabs>
          <w:tab w:val="left" w:pos="420"/>
        </w:tabs>
        <w:bidi w:val="0"/>
        <w:rPr>
          <w:rFonts w:hint="default" w:ascii="Times New Roman" w:hAnsi="Times New Roman" w:cs="Times New Roman"/>
          <w:highlight w:val="none"/>
        </w:rPr>
      </w:pPr>
      <w:r>
        <w:rPr>
          <w:rFonts w:hint="default" w:ascii="Times New Roman" w:hAnsi="Times New Roman" w:cs="Times New Roman"/>
          <w:highlight w:val="none"/>
        </w:rPr>
        <w:t>环保投资估算</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w:t>
      </w:r>
      <w:r>
        <w:rPr>
          <w:rFonts w:hint="default" w:ascii="Times New Roman" w:hAnsi="Times New Roman" w:cs="Times New Roman"/>
          <w:sz w:val="24"/>
          <w:highlight w:val="none"/>
          <w:lang w:val="en-US" w:eastAsia="zh-CN"/>
        </w:rPr>
        <w:t>项目</w:t>
      </w:r>
      <w:r>
        <w:rPr>
          <w:rFonts w:hint="default" w:ascii="Times New Roman" w:hAnsi="Times New Roman" w:cs="Times New Roman"/>
          <w:sz w:val="24"/>
          <w:highlight w:val="none"/>
        </w:rPr>
        <w:t>总投资</w:t>
      </w:r>
      <w:r>
        <w:rPr>
          <w:rFonts w:hint="default" w:ascii="Times New Roman" w:hAnsi="Times New Roman" w:cs="Times New Roman"/>
          <w:sz w:val="24"/>
          <w:highlight w:val="none"/>
          <w:lang w:val="en-US" w:eastAsia="zh-CN"/>
        </w:rPr>
        <w:t>4241.01</w:t>
      </w:r>
      <w:r>
        <w:rPr>
          <w:rFonts w:hint="default" w:ascii="Times New Roman" w:hAnsi="Times New Roman" w:cs="Times New Roman"/>
          <w:sz w:val="24"/>
          <w:highlight w:val="none"/>
        </w:rPr>
        <w:t>万元，其中</w:t>
      </w:r>
      <w:r>
        <w:rPr>
          <w:rFonts w:hint="default" w:ascii="Times New Roman" w:hAnsi="Times New Roman" w:cs="Times New Roman"/>
          <w:sz w:val="24"/>
          <w:highlight w:val="none"/>
          <w:lang w:val="en-US" w:eastAsia="zh-CN"/>
        </w:rPr>
        <w:t>工程部分总投资3796.39万元，环境保护专项投资98.61万元，其他投资346.01万元。环保投资</w:t>
      </w:r>
      <w:r>
        <w:rPr>
          <w:rFonts w:hint="default" w:ascii="Times New Roman" w:hAnsi="Times New Roman" w:cs="Times New Roman"/>
          <w:sz w:val="24"/>
          <w:highlight w:val="none"/>
        </w:rPr>
        <w:t>约占总投资的</w:t>
      </w:r>
      <w:r>
        <w:rPr>
          <w:rFonts w:hint="default" w:ascii="Times New Roman" w:hAnsi="Times New Roman" w:cs="Times New Roman"/>
          <w:sz w:val="24"/>
          <w:highlight w:val="none"/>
          <w:lang w:val="en-US" w:eastAsia="zh-CN"/>
        </w:rPr>
        <w:t>2.32</w:t>
      </w:r>
      <w:r>
        <w:rPr>
          <w:rFonts w:hint="default" w:ascii="Times New Roman" w:hAnsi="Times New Roman" w:cs="Times New Roman"/>
          <w:sz w:val="24"/>
          <w:highlight w:val="none"/>
        </w:rPr>
        <w:t>％</w:t>
      </w:r>
      <w:r>
        <w:rPr>
          <w:rFonts w:hint="default" w:ascii="Times New Roman" w:hAnsi="Times New Roman" w:cs="Times New Roman"/>
          <w:sz w:val="24"/>
          <w:highlight w:val="none"/>
        </w:rPr>
        <w:t>。</w:t>
      </w:r>
    </w:p>
    <w:p>
      <w:pPr>
        <w:pStyle w:val="4"/>
        <w:numPr>
          <w:ilvl w:val="2"/>
          <w:numId w:val="5"/>
        </w:numPr>
        <w:tabs>
          <w:tab w:val="left" w:pos="420"/>
        </w:tabs>
        <w:bidi w:val="0"/>
        <w:rPr>
          <w:rFonts w:hint="default" w:ascii="Times New Roman" w:hAnsi="Times New Roman" w:cs="Times New Roman"/>
          <w:highlight w:val="none"/>
        </w:rPr>
      </w:pPr>
      <w:r>
        <w:rPr>
          <w:rFonts w:hint="default" w:ascii="Times New Roman" w:hAnsi="Times New Roman" w:cs="Times New Roman"/>
          <w:highlight w:val="none"/>
        </w:rPr>
        <w:t>环保投资效益分析</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lang w:eastAsia="zh-CN"/>
        </w:rPr>
        <w:t>本</w:t>
      </w:r>
      <w:r>
        <w:rPr>
          <w:rFonts w:hint="default" w:ascii="Times New Roman" w:hAnsi="Times New Roman" w:cs="Times New Roman"/>
          <w:sz w:val="24"/>
          <w:szCs w:val="21"/>
          <w:highlight w:val="none"/>
        </w:rPr>
        <w:t>项目施工期</w:t>
      </w:r>
      <w:r>
        <w:rPr>
          <w:rFonts w:hint="default" w:ascii="Times New Roman" w:hAnsi="Times New Roman" w:cs="Times New Roman"/>
          <w:sz w:val="24"/>
          <w:szCs w:val="21"/>
          <w:highlight w:val="none"/>
          <w:lang w:eastAsia="zh-CN"/>
        </w:rPr>
        <w:t>产生的</w:t>
      </w:r>
      <w:r>
        <w:rPr>
          <w:rFonts w:hint="default" w:ascii="Times New Roman" w:hAnsi="Times New Roman" w:cs="Times New Roman"/>
          <w:sz w:val="24"/>
          <w:szCs w:val="21"/>
          <w:highlight w:val="none"/>
        </w:rPr>
        <w:t>噪声、</w:t>
      </w:r>
      <w:r>
        <w:rPr>
          <w:rFonts w:hint="default" w:ascii="Times New Roman" w:hAnsi="Times New Roman" w:cs="Times New Roman"/>
          <w:sz w:val="24"/>
          <w:szCs w:val="21"/>
          <w:highlight w:val="none"/>
          <w:lang w:eastAsia="zh-CN"/>
        </w:rPr>
        <w:t>废气</w:t>
      </w:r>
      <w:r>
        <w:rPr>
          <w:rFonts w:hint="default" w:ascii="Times New Roman" w:hAnsi="Times New Roman" w:cs="Times New Roman"/>
          <w:sz w:val="24"/>
          <w:szCs w:val="21"/>
          <w:highlight w:val="none"/>
        </w:rPr>
        <w:t>、粉尘等</w:t>
      </w:r>
      <w:r>
        <w:rPr>
          <w:rFonts w:hint="default" w:ascii="Times New Roman" w:hAnsi="Times New Roman" w:cs="Times New Roman"/>
          <w:sz w:val="24"/>
          <w:szCs w:val="21"/>
          <w:highlight w:val="none"/>
          <w:lang w:eastAsia="zh-CN"/>
        </w:rPr>
        <w:t>会</w:t>
      </w:r>
      <w:r>
        <w:rPr>
          <w:rFonts w:hint="default" w:ascii="Times New Roman" w:hAnsi="Times New Roman" w:cs="Times New Roman"/>
          <w:sz w:val="24"/>
          <w:szCs w:val="21"/>
          <w:highlight w:val="none"/>
        </w:rPr>
        <w:t>对周围环境产生不利影响，采取操作性强、有针对性、切实可行的环保措施后，所挽回的经济损失是可见的，即环保投资效益是明显的，但很难用货币数值来衡量。</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本工程建设环保投资带来的直接经济效益可通过不采取措施时，因工程建设而导致的生态环境、水环境、声环境和大气环境质量变化引起沿线人民生活质量、身体健康以及农业生产等方面的经济损失作粗略计算。</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采取的有效措施可以带来如下间接效益：最大限度的减少对饮用水源</w:t>
      </w:r>
      <w:r>
        <w:rPr>
          <w:rFonts w:hint="default" w:ascii="Times New Roman" w:hAnsi="Times New Roman" w:cs="Times New Roman"/>
          <w:sz w:val="24"/>
          <w:highlight w:val="none"/>
          <w:lang w:eastAsia="zh-CN"/>
        </w:rPr>
        <w:t>及周边环境</w:t>
      </w:r>
      <w:r>
        <w:rPr>
          <w:rFonts w:hint="default" w:ascii="Times New Roman" w:hAnsi="Times New Roman" w:cs="Times New Roman"/>
          <w:sz w:val="24"/>
          <w:highlight w:val="none"/>
        </w:rPr>
        <w:t>等的影响，保证城区居民用水的安全，这些间接效益是环保投资所获取的社会效益的主要部分。</w:t>
      </w:r>
    </w:p>
    <w:p>
      <w:pPr>
        <w:pStyle w:val="3"/>
        <w:numPr>
          <w:ilvl w:val="1"/>
          <w:numId w:val="5"/>
        </w:numPr>
        <w:tabs>
          <w:tab w:val="left" w:pos="420"/>
          <w:tab w:val="clear" w:pos="0"/>
        </w:tabs>
        <w:bidi w:val="0"/>
        <w:rPr>
          <w:rFonts w:hint="default" w:ascii="Times New Roman" w:hAnsi="Times New Roman" w:cs="Times New Roman"/>
          <w:highlight w:val="none"/>
        </w:rPr>
      </w:pPr>
      <w:bookmarkStart w:id="168" w:name="_Toc5283775"/>
      <w:bookmarkStart w:id="169" w:name="_Toc533846010"/>
      <w:bookmarkStart w:id="170" w:name="_Toc5992"/>
      <w:bookmarkStart w:id="171" w:name="_Toc444183848"/>
      <w:bookmarkStart w:id="172" w:name="_Toc2541"/>
      <w:r>
        <w:rPr>
          <w:rFonts w:hint="default" w:ascii="Times New Roman" w:hAnsi="Times New Roman" w:cs="Times New Roman"/>
          <w:highlight w:val="none"/>
        </w:rPr>
        <w:t>环境影响经济损益分析</w:t>
      </w:r>
      <w:bookmarkEnd w:id="168"/>
      <w:bookmarkEnd w:id="169"/>
      <w:bookmarkEnd w:id="170"/>
      <w:bookmarkEnd w:id="171"/>
      <w:bookmarkEnd w:id="172"/>
    </w:p>
    <w:p>
      <w:pPr>
        <w:pStyle w:val="4"/>
        <w:numPr>
          <w:ilvl w:val="2"/>
          <w:numId w:val="5"/>
        </w:numPr>
        <w:tabs>
          <w:tab w:val="left" w:pos="420"/>
        </w:tabs>
        <w:bidi w:val="0"/>
        <w:rPr>
          <w:rFonts w:hint="default" w:ascii="Times New Roman" w:hAnsi="Times New Roman" w:cs="Times New Roman"/>
          <w:highlight w:val="none"/>
        </w:rPr>
      </w:pPr>
      <w:r>
        <w:rPr>
          <w:rFonts w:hint="default" w:ascii="Times New Roman" w:hAnsi="Times New Roman" w:cs="Times New Roman"/>
          <w:highlight w:val="none"/>
        </w:rPr>
        <w:t>环境影响损益分析</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本</w:t>
      </w:r>
      <w:r>
        <w:rPr>
          <w:rFonts w:hint="default" w:ascii="Times New Roman" w:hAnsi="Times New Roman" w:cs="Times New Roman"/>
          <w:sz w:val="24"/>
          <w:highlight w:val="none"/>
        </w:rPr>
        <w:t>工程建设征用了林地等土地资源，造成了环境资源的损失。进而，被征用的这些环境资源由于工程的</w:t>
      </w:r>
      <w:r>
        <w:rPr>
          <w:rFonts w:hint="default" w:ascii="Times New Roman" w:hAnsi="Times New Roman" w:cs="Times New Roman"/>
          <w:sz w:val="24"/>
          <w:highlight w:val="none"/>
          <w:lang w:eastAsia="zh-CN"/>
        </w:rPr>
        <w:t>建设永久被占用</w:t>
      </w:r>
      <w:r>
        <w:rPr>
          <w:rFonts w:hint="default" w:ascii="Times New Roman" w:hAnsi="Times New Roman" w:cs="Times New Roman"/>
          <w:sz w:val="24"/>
          <w:highlight w:val="none"/>
        </w:rPr>
        <w:t>必然失去其生态功能，损失其生态价值。</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lang w:eastAsia="zh-CN"/>
        </w:rPr>
        <w:t>本</w:t>
      </w:r>
      <w:r>
        <w:rPr>
          <w:rFonts w:hint="default" w:ascii="Times New Roman" w:hAnsi="Times New Roman" w:cs="Times New Roman"/>
          <w:sz w:val="24"/>
          <w:szCs w:val="21"/>
          <w:highlight w:val="none"/>
        </w:rPr>
        <w:t>工程环境资源的损失主要是沿线土地的占用和植被的破坏。本项目</w:t>
      </w:r>
      <w:r>
        <w:rPr>
          <w:rFonts w:hint="default" w:ascii="Times New Roman" w:hAnsi="Times New Roman" w:cs="Times New Roman"/>
          <w:sz w:val="24"/>
          <w:szCs w:val="21"/>
          <w:highlight w:val="none"/>
          <w:lang w:eastAsia="zh-CN"/>
        </w:rPr>
        <w:t>大部分用地</w:t>
      </w:r>
      <w:r>
        <w:rPr>
          <w:rFonts w:hint="default" w:ascii="Times New Roman" w:hAnsi="Times New Roman" w:cs="Times New Roman"/>
          <w:sz w:val="24"/>
          <w:szCs w:val="21"/>
          <w:highlight w:val="none"/>
        </w:rPr>
        <w:t>基本为临时占地，占用土地类型</w:t>
      </w:r>
      <w:r>
        <w:rPr>
          <w:rFonts w:hint="default" w:ascii="Times New Roman" w:hAnsi="Times New Roman" w:cs="Times New Roman"/>
          <w:sz w:val="24"/>
          <w:szCs w:val="21"/>
          <w:highlight w:val="none"/>
          <w:lang w:eastAsia="zh-CN"/>
        </w:rPr>
        <w:t>主要为</w:t>
      </w:r>
      <w:r>
        <w:rPr>
          <w:rFonts w:hint="default" w:ascii="Times New Roman" w:hAnsi="Times New Roman" w:cs="Times New Roman"/>
          <w:sz w:val="24"/>
          <w:szCs w:val="21"/>
          <w:highlight w:val="none"/>
        </w:rPr>
        <w:t>林地，工程建设将直接造成这些土地资源及植被的长期损失。另外施工</w:t>
      </w:r>
      <w:r>
        <w:rPr>
          <w:rFonts w:hint="default" w:ascii="Times New Roman" w:hAnsi="Times New Roman" w:cs="Times New Roman"/>
          <w:sz w:val="24"/>
          <w:szCs w:val="21"/>
          <w:highlight w:val="none"/>
          <w:lang w:eastAsia="zh-CN"/>
        </w:rPr>
        <w:t>期间</w:t>
      </w:r>
      <w:r>
        <w:rPr>
          <w:rFonts w:hint="default" w:ascii="Times New Roman" w:hAnsi="Times New Roman" w:cs="Times New Roman"/>
          <w:sz w:val="24"/>
          <w:szCs w:val="21"/>
          <w:highlight w:val="none"/>
        </w:rPr>
        <w:t>噪声、扬尘、水土流失以及等会造成沿线环境质量下降，对居民产生</w:t>
      </w:r>
      <w:r>
        <w:rPr>
          <w:rFonts w:hint="default" w:ascii="Times New Roman" w:hAnsi="Times New Roman" w:cs="Times New Roman"/>
          <w:sz w:val="24"/>
          <w:szCs w:val="21"/>
          <w:highlight w:val="none"/>
          <w:lang w:eastAsia="zh-CN"/>
        </w:rPr>
        <w:t>短期</w:t>
      </w:r>
      <w:r>
        <w:rPr>
          <w:rFonts w:hint="default" w:ascii="Times New Roman" w:hAnsi="Times New Roman" w:cs="Times New Roman"/>
          <w:sz w:val="24"/>
          <w:szCs w:val="21"/>
          <w:highlight w:val="none"/>
        </w:rPr>
        <w:t>影响。</w:t>
      </w:r>
    </w:p>
    <w:p>
      <w:pPr>
        <w:pStyle w:val="4"/>
        <w:numPr>
          <w:ilvl w:val="2"/>
          <w:numId w:val="5"/>
        </w:numPr>
        <w:tabs>
          <w:tab w:val="left" w:pos="420"/>
        </w:tabs>
        <w:bidi w:val="0"/>
        <w:rPr>
          <w:rFonts w:hint="default" w:ascii="Times New Roman" w:hAnsi="Times New Roman" w:cs="Times New Roman"/>
          <w:highlight w:val="none"/>
        </w:rPr>
      </w:pPr>
      <w:r>
        <w:rPr>
          <w:rFonts w:hint="default" w:ascii="Times New Roman" w:hAnsi="Times New Roman" w:cs="Times New Roman"/>
          <w:highlight w:val="none"/>
        </w:rPr>
        <w:t>环境影响经济损益分析</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针对本工程影响的主要环境因素，分别采用补偿法、专家打分法等分析方法对本项目的环境经济损益进行定性分析，其结果见下</w:t>
      </w:r>
      <w:r>
        <w:rPr>
          <w:rFonts w:hint="default" w:ascii="Times New Roman" w:hAnsi="Times New Roman" w:cs="Times New Roman"/>
          <w:sz w:val="24"/>
          <w:szCs w:val="21"/>
          <w:highlight w:val="none"/>
        </w:rPr>
        <w:fldChar w:fldCharType="begin"/>
      </w:r>
      <w:r>
        <w:rPr>
          <w:rFonts w:hint="default" w:ascii="Times New Roman" w:hAnsi="Times New Roman" w:cs="Times New Roman"/>
          <w:sz w:val="24"/>
          <w:szCs w:val="21"/>
          <w:highlight w:val="none"/>
        </w:rPr>
        <w:instrText xml:space="preserve"> REF _Ref23863 \n \h </w:instrText>
      </w:r>
      <w:r>
        <w:rPr>
          <w:rFonts w:hint="default" w:ascii="Times New Roman" w:hAnsi="Times New Roman" w:cs="Times New Roman"/>
          <w:sz w:val="24"/>
          <w:szCs w:val="21"/>
          <w:highlight w:val="none"/>
        </w:rPr>
        <w:fldChar w:fldCharType="separate"/>
      </w:r>
      <w:r>
        <w:rPr>
          <w:rFonts w:hint="default" w:ascii="Times New Roman" w:hAnsi="Times New Roman" w:cs="Times New Roman"/>
          <w:sz w:val="24"/>
          <w:szCs w:val="21"/>
          <w:highlight w:val="none"/>
        </w:rPr>
        <w:t>表6.4-1</w:t>
      </w:r>
      <w:r>
        <w:rPr>
          <w:rFonts w:hint="default" w:ascii="Times New Roman" w:hAnsi="Times New Roman" w:cs="Times New Roman"/>
          <w:sz w:val="24"/>
          <w:szCs w:val="21"/>
          <w:highlight w:val="none"/>
        </w:rPr>
        <w:fldChar w:fldCharType="end"/>
      </w:r>
      <w:r>
        <w:rPr>
          <w:rFonts w:hint="default" w:ascii="Times New Roman" w:hAnsi="Times New Roman" w:cs="Times New Roman"/>
          <w:sz w:val="24"/>
          <w:szCs w:val="21"/>
          <w:highlight w:val="none"/>
        </w:rPr>
        <w:t>。</w:t>
      </w:r>
    </w:p>
    <w:p>
      <w:pPr>
        <w:widowControl/>
        <w:jc w:val="left"/>
        <w:rPr>
          <w:rFonts w:hint="default" w:ascii="Times New Roman" w:hAnsi="Times New Roman" w:cs="Times New Roman"/>
          <w:b/>
          <w:szCs w:val="21"/>
          <w:highlight w:val="none"/>
        </w:rPr>
        <w:sectPr>
          <w:headerReference r:id="rId16" w:type="default"/>
          <w:footerReference r:id="rId17"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AndChars" w:linePitch="333" w:charSpace="0"/>
        </w:sectPr>
      </w:pPr>
    </w:p>
    <w:p>
      <w:pPr>
        <w:pStyle w:val="21"/>
        <w:bidi w:val="0"/>
        <w:rPr>
          <w:rFonts w:hint="default" w:ascii="Times New Roman" w:hAnsi="Times New Roman" w:cs="Times New Roman"/>
          <w:highlight w:val="none"/>
        </w:rPr>
      </w:pPr>
      <w:bookmarkStart w:id="173" w:name="_Ref23863"/>
      <w:r>
        <w:rPr>
          <w:rFonts w:hint="default" w:ascii="Times New Roman" w:hAnsi="Times New Roman" w:cs="Times New Roman"/>
          <w:highlight w:val="none"/>
        </w:rPr>
        <w:t>改造工程环境影响经济损益分析表</w:t>
      </w:r>
      <w:bookmarkEnd w:id="173"/>
    </w:p>
    <w:tbl>
      <w:tblPr>
        <w:tblStyle w:val="16"/>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39"/>
        <w:gridCol w:w="2149"/>
        <w:gridCol w:w="5222"/>
        <w:gridCol w:w="822"/>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auto" w:sz="12"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序号</w:t>
            </w:r>
          </w:p>
        </w:tc>
        <w:tc>
          <w:tcPr>
            <w:tcW w:w="1164" w:type="pct"/>
            <w:tcBorders>
              <w:top w:val="single" w:color="auto" w:sz="12"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环境要素</w:t>
            </w:r>
          </w:p>
        </w:tc>
        <w:tc>
          <w:tcPr>
            <w:tcW w:w="2828" w:type="pct"/>
            <w:tcBorders>
              <w:top w:val="single" w:color="auto" w:sz="12"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影响、措施及投资</w:t>
            </w:r>
          </w:p>
        </w:tc>
        <w:tc>
          <w:tcPr>
            <w:tcW w:w="445" w:type="pct"/>
            <w:tcBorders>
              <w:top w:val="single" w:color="auto" w:sz="12"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效益</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环境空气</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声环境</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改造工程沿线声、气环境下降（-1）</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水质</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施工期影响较小（-1）</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建成后全面改善城区居民供水安全问题（+3）</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人群健康</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无显著不利影响，安全供水有利于人群健康</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动物</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对野生动物及其生存环境基本上无影响</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植物、农业</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 xml:space="preserve">不占用成片林地，占地为临时用地，后期复垦后无显著不利影响 </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城镇规划</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与城市总体规划相协调</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水土保持</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无显著不利影响，增加防护、排水工程及环保措施</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8</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直接社会效益</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供水效益</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间接社会效益</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提高城区居民用水安全</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tcBorders>
              <w:top w:val="single" w:color="000000" w:sz="4" w:space="0"/>
              <w:left w:val="nil"/>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c>
          <w:tcPr>
            <w:tcW w:w="116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环保措施</w:t>
            </w:r>
          </w:p>
        </w:tc>
        <w:tc>
          <w:tcPr>
            <w:tcW w:w="282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增加工程投资</w:t>
            </w:r>
          </w:p>
        </w:tc>
        <w:tc>
          <w:tcPr>
            <w:tcW w:w="445" w:type="pct"/>
            <w:tcBorders>
              <w:top w:val="single" w:color="000000" w:sz="4" w:space="0"/>
              <w:left w:val="single" w:color="000000" w:sz="4" w:space="0"/>
              <w:bottom w:val="single" w:color="000000"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27" w:type="pct"/>
            <w:gridSpan w:val="2"/>
            <w:tcBorders>
              <w:top w:val="single" w:color="000000" w:sz="4" w:space="0"/>
              <w:left w:val="nil"/>
              <w:bottom w:val="single" w:color="auto" w:sz="12"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合  计</w:t>
            </w:r>
          </w:p>
        </w:tc>
        <w:tc>
          <w:tcPr>
            <w:tcW w:w="2828" w:type="pct"/>
            <w:tcBorders>
              <w:top w:val="single" w:color="000000" w:sz="4" w:space="0"/>
              <w:left w:val="single" w:color="000000" w:sz="4" w:space="0"/>
              <w:bottom w:val="single" w:color="auto" w:sz="12"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正效益：（+</w:t>
            </w:r>
            <w:r>
              <w:rPr>
                <w:rFonts w:hint="default" w:ascii="Times New Roman" w:hAnsi="Times New Roman" w:cs="Times New Roman"/>
                <w:sz w:val="21"/>
                <w:szCs w:val="21"/>
                <w:highlight w:val="none"/>
                <w:lang w:val="en-US" w:eastAsia="zh-CN"/>
              </w:rPr>
              <w:t>14</w:t>
            </w:r>
            <w:r>
              <w:rPr>
                <w:rFonts w:hint="default" w:ascii="Times New Roman" w:hAnsi="Times New Roman" w:cs="Times New Roman"/>
                <w:sz w:val="21"/>
                <w:szCs w:val="21"/>
                <w:highlight w:val="none"/>
              </w:rPr>
              <w:t>）；负效益：（-</w:t>
            </w:r>
            <w:r>
              <w:rPr>
                <w:rFonts w:hint="default" w:ascii="Times New Roman" w:hAnsi="Times New Roman" w:cs="Times New Roman"/>
                <w:sz w:val="21"/>
                <w:szCs w:val="21"/>
                <w:highlight w:val="none"/>
                <w:lang w:val="en-US" w:eastAsia="zh-CN"/>
              </w:rPr>
              <w:t>4</w:t>
            </w:r>
            <w:r>
              <w:rPr>
                <w:rFonts w:hint="default" w:ascii="Times New Roman" w:hAnsi="Times New Roman" w:cs="Times New Roman"/>
                <w:sz w:val="21"/>
                <w:szCs w:val="21"/>
                <w:highlight w:val="none"/>
              </w:rPr>
              <w:t>）；正效益/负效益=</w:t>
            </w:r>
            <w:r>
              <w:rPr>
                <w:rFonts w:hint="default" w:ascii="Times New Roman" w:hAnsi="Times New Roman" w:cs="Times New Roman"/>
                <w:sz w:val="21"/>
                <w:szCs w:val="21"/>
                <w:highlight w:val="none"/>
                <w:lang w:val="en-US" w:eastAsia="zh-CN"/>
              </w:rPr>
              <w:t>3.5</w:t>
            </w:r>
          </w:p>
        </w:tc>
        <w:tc>
          <w:tcPr>
            <w:tcW w:w="445" w:type="pct"/>
            <w:tcBorders>
              <w:top w:val="single" w:color="000000" w:sz="4" w:space="0"/>
              <w:left w:val="single" w:color="000000" w:sz="4" w:space="0"/>
              <w:bottom w:val="single" w:color="auto" w:sz="12"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p>
        </w:tc>
      </w:tr>
    </w:tbl>
    <w:p>
      <w:pPr>
        <w:widowControl/>
        <w:jc w:val="left"/>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注：1. 按影响程度由小到大分别为1、2、3分；</w:t>
      </w:r>
    </w:p>
    <w:p>
      <w:pPr>
        <w:widowControl/>
        <w:ind w:firstLine="480" w:firstLineChars="200"/>
        <w:jc w:val="left"/>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2.“+”表示正效益，“-”表示负效益。</w:t>
      </w:r>
    </w:p>
    <w:p>
      <w:pPr>
        <w:rPr>
          <w:rFonts w:hint="default" w:ascii="Times New Roman" w:hAnsi="Times New Roman" w:cs="Times New Roman"/>
          <w:sz w:val="24"/>
          <w:highlight w:val="none"/>
        </w:rPr>
        <w:sectPr>
          <w:pgSz w:w="11850" w:h="16783"/>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pPr>
      <w:r>
        <w:rPr>
          <w:rFonts w:hint="default" w:ascii="Times New Roman" w:hAnsi="Times New Roman" w:cs="Times New Roman"/>
          <w:sz w:val="24"/>
          <w:highlight w:val="none"/>
        </w:rPr>
        <w:t>项目环境损益分析结果表明：拟改造项目的环境正负效益比为</w:t>
      </w:r>
      <w:r>
        <w:rPr>
          <w:rFonts w:hint="default" w:ascii="Times New Roman" w:hAnsi="Times New Roman" w:cs="Times New Roman"/>
          <w:sz w:val="24"/>
          <w:highlight w:val="none"/>
          <w:lang w:val="en-US" w:eastAsia="zh-CN"/>
        </w:rPr>
        <w:t>3.5</w:t>
      </w:r>
      <w:r>
        <w:rPr>
          <w:rFonts w:hint="default" w:ascii="Times New Roman" w:hAnsi="Times New Roman" w:cs="Times New Roman"/>
          <w:sz w:val="24"/>
          <w:highlight w:val="none"/>
        </w:rPr>
        <w:t>，说明项目的环境经济的正效益占主导地位。从环境经济角度来看本项目是可行的。</w:t>
      </w:r>
    </w:p>
    <w:p>
      <w:pPr>
        <w:pStyle w:val="2"/>
        <w:numPr>
          <w:ilvl w:val="0"/>
          <w:numId w:val="5"/>
        </w:numPr>
        <w:tabs>
          <w:tab w:val="left" w:pos="0"/>
        </w:tabs>
        <w:bidi w:val="0"/>
        <w:rPr>
          <w:rFonts w:hint="default" w:ascii="Times New Roman" w:hAnsi="Times New Roman" w:cs="Times New Roman"/>
          <w:highlight w:val="none"/>
        </w:rPr>
      </w:pPr>
      <w:bookmarkStart w:id="174" w:name="_Toc28057"/>
      <w:bookmarkStart w:id="175" w:name="_Toc541"/>
      <w:r>
        <w:rPr>
          <w:rFonts w:hint="default" w:ascii="Times New Roman" w:hAnsi="Times New Roman" w:cs="Times New Roman"/>
          <w:highlight w:val="none"/>
        </w:rPr>
        <w:t>环境管理和监测计划</w:t>
      </w:r>
      <w:bookmarkEnd w:id="174"/>
      <w:bookmarkEnd w:id="175"/>
    </w:p>
    <w:p>
      <w:pPr>
        <w:pStyle w:val="3"/>
        <w:numPr>
          <w:ilvl w:val="1"/>
          <w:numId w:val="5"/>
        </w:numPr>
        <w:tabs>
          <w:tab w:val="left" w:pos="420"/>
          <w:tab w:val="clear" w:pos="0"/>
        </w:tabs>
        <w:bidi w:val="0"/>
        <w:rPr>
          <w:rFonts w:hint="default" w:ascii="Times New Roman" w:hAnsi="Times New Roman" w:cs="Times New Roman"/>
          <w:highlight w:val="none"/>
        </w:rPr>
      </w:pPr>
      <w:bookmarkStart w:id="176" w:name="_Toc9927"/>
      <w:bookmarkStart w:id="177" w:name="_Toc26700"/>
      <w:bookmarkStart w:id="178" w:name="_Toc5283777"/>
      <w:bookmarkStart w:id="179" w:name="_Toc444183850"/>
      <w:r>
        <w:rPr>
          <w:rFonts w:hint="default" w:ascii="Times New Roman" w:hAnsi="Times New Roman" w:cs="Times New Roman"/>
          <w:highlight w:val="none"/>
        </w:rPr>
        <w:t>环境管理计划</w:t>
      </w:r>
      <w:bookmarkEnd w:id="176"/>
      <w:bookmarkEnd w:id="177"/>
      <w:bookmarkEnd w:id="178"/>
      <w:bookmarkEnd w:id="179"/>
    </w:p>
    <w:p>
      <w:pPr>
        <w:bidi w:val="0"/>
        <w:rPr>
          <w:rFonts w:hint="default" w:ascii="Times New Roman" w:hAnsi="Times New Roman" w:cs="Times New Roman"/>
          <w:highlight w:val="none"/>
        </w:rPr>
      </w:pPr>
      <w:r>
        <w:rPr>
          <w:rFonts w:hint="default" w:ascii="Times New Roman" w:hAnsi="Times New Roman" w:cs="Times New Roman"/>
          <w:highlight w:val="none"/>
        </w:rPr>
        <w:t>本项目环境管理的内容是监督工程在施工期和运</w:t>
      </w:r>
      <w:r>
        <w:rPr>
          <w:rFonts w:hint="default" w:ascii="Times New Roman" w:hAnsi="Times New Roman" w:cs="Times New Roman"/>
          <w:highlight w:val="none"/>
          <w:lang w:val="en-US" w:eastAsia="zh-CN"/>
        </w:rPr>
        <w:t>行</w:t>
      </w:r>
      <w:r>
        <w:rPr>
          <w:rFonts w:hint="default" w:ascii="Times New Roman" w:hAnsi="Times New Roman" w:cs="Times New Roman"/>
          <w:highlight w:val="none"/>
        </w:rPr>
        <w:t>期执行和遵守有关环保法律法规，实施和执行环境保护规划和计划，协助地方</w:t>
      </w:r>
      <w:r>
        <w:rPr>
          <w:rFonts w:hint="default" w:ascii="Times New Roman" w:hAnsi="Times New Roman" w:cs="Times New Roman"/>
          <w:highlight w:val="none"/>
          <w:lang w:eastAsia="zh-CN"/>
        </w:rPr>
        <w:t>生态</w:t>
      </w:r>
      <w:r>
        <w:rPr>
          <w:rFonts w:hint="default" w:ascii="Times New Roman" w:hAnsi="Times New Roman" w:cs="Times New Roman"/>
          <w:highlight w:val="none"/>
        </w:rPr>
        <w:t>环境管理部门、水土保持管理部门做好监督、监测工作，了解工程明显的或潜在的环境影响、水土流失、生态破坏等情况，以便建设单位及时调整工程运行方式，最终达到保护环境的目的。</w:t>
      </w:r>
    </w:p>
    <w:p>
      <w:pPr>
        <w:pStyle w:val="4"/>
        <w:numPr>
          <w:ilvl w:val="2"/>
          <w:numId w:val="5"/>
        </w:numPr>
        <w:tabs>
          <w:tab w:val="left" w:pos="420"/>
        </w:tabs>
        <w:bidi w:val="0"/>
        <w:rPr>
          <w:rFonts w:hint="default" w:ascii="Times New Roman" w:hAnsi="Times New Roman" w:cs="Times New Roman"/>
          <w:highlight w:val="none"/>
        </w:rPr>
      </w:pPr>
      <w:r>
        <w:rPr>
          <w:rFonts w:hint="default" w:ascii="Times New Roman" w:hAnsi="Times New Roman" w:cs="Times New Roman"/>
          <w:highlight w:val="none"/>
        </w:rPr>
        <w:t>环境保护管理机构及职责</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（1）环境保护管理机构</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lang w:eastAsia="zh-CN"/>
        </w:rPr>
        <w:t>本</w:t>
      </w:r>
      <w:r>
        <w:rPr>
          <w:rFonts w:hint="default" w:ascii="Times New Roman" w:hAnsi="Times New Roman" w:cs="Times New Roman"/>
          <w:sz w:val="24"/>
          <w:szCs w:val="21"/>
          <w:highlight w:val="none"/>
        </w:rPr>
        <w:t>项目的环境管理体系可分为管理机构与监督机构，详见图7.1-1。</w:t>
      </w:r>
    </w:p>
    <w:p>
      <w:pPr>
        <w:ind w:left="0" w:leftChars="0" w:firstLine="0" w:firstLineChars="0"/>
        <w:jc w:val="center"/>
        <w:rPr>
          <w:rFonts w:hint="default" w:ascii="Times New Roman" w:hAnsi="Times New Roman" w:eastAsia="宋体" w:cs="Times New Roman"/>
          <w:b/>
          <w:sz w:val="24"/>
          <w:highlight w:val="none"/>
          <w:lang w:eastAsia="zh-CN"/>
        </w:rPr>
      </w:pPr>
      <w:r>
        <w:rPr>
          <w:rFonts w:hint="default" w:ascii="Times New Roman" w:hAnsi="Times New Roman" w:eastAsia="宋体" w:cs="Times New Roman"/>
          <w:b/>
          <w:sz w:val="24"/>
          <w:highlight w:val="none"/>
          <w:lang w:eastAsia="zh-CN"/>
        </w:rPr>
        <w:object>
          <v:shape id="_x0000_i1071" o:spt="75" type="#_x0000_t75" style="height:226.5pt;width:354.75pt;" o:ole="t" filled="f" o:preferrelative="t" stroked="f" coordsize="21600,21600">
            <v:path/>
            <v:fill on="f" focussize="0,0"/>
            <v:stroke on="f"/>
            <v:imagedata r:id="rId145" o:title=""/>
            <o:lock v:ext="edit" aspectratio="t"/>
            <w10:wrap type="none"/>
            <w10:anchorlock/>
          </v:shape>
          <o:OLEObject Type="Embed" ProgID="Visio.Drawing.11" ShapeID="_x0000_i1071" DrawAspect="Content" ObjectID="_1468075771" r:id="rId144">
            <o:LockedField>false</o:LockedField>
          </o:OLEObject>
        </w:object>
      </w:r>
    </w:p>
    <w:p>
      <w:pPr>
        <w:pStyle w:val="22"/>
        <w:bidi w:val="0"/>
        <w:rPr>
          <w:rFonts w:hint="default" w:ascii="Times New Roman" w:hAnsi="Times New Roman" w:cs="Times New Roman"/>
          <w:highlight w:val="none"/>
        </w:rPr>
      </w:pPr>
      <w:r>
        <w:rPr>
          <w:rFonts w:hint="default" w:ascii="Times New Roman" w:hAnsi="Times New Roman" w:cs="Times New Roman"/>
          <w:highlight w:val="none"/>
        </w:rPr>
        <w:t>环境管理机构示意图</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（2）机构主要职责</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各级环境管理机构在本项目环境保护管理工作中的具体职责见表7.1-1。</w:t>
      </w:r>
    </w:p>
    <w:p>
      <w:pPr>
        <w:widowControl/>
        <w:jc w:val="left"/>
        <w:rPr>
          <w:rFonts w:hint="default" w:ascii="Times New Roman" w:hAnsi="Times New Roman" w:cs="Times New Roman"/>
          <w:b/>
          <w:sz w:val="24"/>
          <w:highlight w:val="none"/>
        </w:rPr>
        <w:sectPr>
          <w:headerReference r:id="rId18" w:type="default"/>
          <w:footerReference r:id="rId19"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1"/>
        <w:numPr>
          <w:ilvl w:val="5"/>
          <w:numId w:val="7"/>
        </w:numPr>
        <w:bidi w:val="0"/>
        <w:rPr>
          <w:rFonts w:hint="default" w:ascii="Times New Roman" w:hAnsi="Times New Roman" w:cs="Times New Roman"/>
          <w:highlight w:val="none"/>
        </w:rPr>
      </w:pPr>
      <w:r>
        <w:rPr>
          <w:rFonts w:hint="default" w:ascii="Times New Roman" w:hAnsi="Times New Roman" w:cs="Times New Roman"/>
          <w:highlight w:val="none"/>
          <w:lang w:eastAsia="zh-CN"/>
        </w:rPr>
        <w:t>本</w:t>
      </w:r>
      <w:r>
        <w:rPr>
          <w:rFonts w:hint="default" w:ascii="Times New Roman" w:hAnsi="Times New Roman" w:cs="Times New Roman"/>
          <w:highlight w:val="none"/>
        </w:rPr>
        <w:t>工程环境管理机构主要职责</w:t>
      </w:r>
    </w:p>
    <w:tbl>
      <w:tblPr>
        <w:tblStyle w:val="16"/>
        <w:tblW w:w="5000" w:type="pct"/>
        <w:jc w:val="center"/>
        <w:tblBorders>
          <w:top w:val="single" w:color="auto"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1"/>
        <w:gridCol w:w="1419"/>
        <w:gridCol w:w="7056"/>
      </w:tblGrid>
      <w:tr>
        <w:tblPrEx>
          <w:tblBorders>
            <w:top w:val="single" w:color="auto"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7" w:type="pct"/>
            <w:tcBorders>
              <w:top w:val="single" w:color="auto" w:sz="12" w:space="0"/>
              <w:left w:val="nil"/>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项目</w:t>
            </w:r>
          </w:p>
          <w:p>
            <w:pPr>
              <w:pStyle w:val="19"/>
              <w:bidi w:val="0"/>
              <w:rPr>
                <w:rFonts w:hint="default" w:ascii="Times New Roman" w:hAnsi="Times New Roman" w:cs="Times New Roman"/>
                <w:highlight w:val="none"/>
              </w:rPr>
            </w:pPr>
            <w:r>
              <w:rPr>
                <w:rFonts w:hint="default" w:ascii="Times New Roman" w:hAnsi="Times New Roman" w:cs="Times New Roman"/>
                <w:highlight w:val="none"/>
              </w:rPr>
              <w:t>阶段</w:t>
            </w:r>
          </w:p>
        </w:tc>
        <w:tc>
          <w:tcPr>
            <w:tcW w:w="764" w:type="pct"/>
            <w:tcBorders>
              <w:top w:val="single" w:color="auto" w:sz="12" w:space="0"/>
              <w:left w:val="single" w:color="000000" w:sz="4" w:space="0"/>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管理、执行</w:t>
            </w:r>
          </w:p>
          <w:p>
            <w:pPr>
              <w:pStyle w:val="19"/>
              <w:bidi w:val="0"/>
              <w:rPr>
                <w:rFonts w:hint="default" w:ascii="Times New Roman" w:hAnsi="Times New Roman" w:cs="Times New Roman"/>
                <w:highlight w:val="none"/>
              </w:rPr>
            </w:pPr>
            <w:r>
              <w:rPr>
                <w:rFonts w:hint="default" w:ascii="Times New Roman" w:hAnsi="Times New Roman" w:cs="Times New Roman"/>
                <w:highlight w:val="none"/>
              </w:rPr>
              <w:t>单位</w:t>
            </w:r>
          </w:p>
        </w:tc>
        <w:tc>
          <w:tcPr>
            <w:tcW w:w="3799" w:type="pct"/>
            <w:tcBorders>
              <w:top w:val="single" w:color="auto" w:sz="12" w:space="0"/>
              <w:left w:val="single" w:color="000000" w:sz="4" w:space="0"/>
              <w:bottom w:val="single" w:color="000000" w:sz="4" w:space="0"/>
              <w:right w:val="nil"/>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主要职责</w:t>
            </w:r>
          </w:p>
        </w:tc>
      </w:tr>
      <w:tr>
        <w:tblPrEx>
          <w:tblBorders>
            <w:top w:val="single" w:color="auto"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7" w:type="pct"/>
            <w:vMerge w:val="restart"/>
            <w:tcBorders>
              <w:top w:val="single" w:color="000000" w:sz="4" w:space="0"/>
              <w:left w:val="nil"/>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设计</w:t>
            </w:r>
          </w:p>
          <w:p>
            <w:pPr>
              <w:pStyle w:val="19"/>
              <w:bidi w:val="0"/>
              <w:rPr>
                <w:rFonts w:hint="default" w:ascii="Times New Roman" w:hAnsi="Times New Roman" w:cs="Times New Roman"/>
                <w:highlight w:val="none"/>
              </w:rPr>
            </w:pPr>
            <w:r>
              <w:rPr>
                <w:rFonts w:hint="default" w:ascii="Times New Roman" w:hAnsi="Times New Roman" w:cs="Times New Roman"/>
                <w:highlight w:val="none"/>
              </w:rPr>
              <w:t>阶段</w:t>
            </w:r>
          </w:p>
        </w:tc>
        <w:tc>
          <w:tcPr>
            <w:tcW w:w="764" w:type="pct"/>
            <w:tcBorders>
              <w:top w:val="single" w:color="000000" w:sz="4" w:space="0"/>
              <w:left w:val="single" w:color="000000" w:sz="4" w:space="0"/>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建设单位</w:t>
            </w:r>
          </w:p>
        </w:tc>
        <w:tc>
          <w:tcPr>
            <w:tcW w:w="3799" w:type="pct"/>
            <w:tcBorders>
              <w:top w:val="single" w:color="000000" w:sz="4" w:space="0"/>
              <w:left w:val="single" w:color="000000" w:sz="4" w:space="0"/>
              <w:bottom w:val="single" w:color="000000" w:sz="4" w:space="0"/>
              <w:right w:val="nil"/>
            </w:tcBorders>
            <w:noWrap w:val="0"/>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（1）监督环评报告书提出的措施、建议在设计中的落实工作，环保设计方案审查等；</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（2）委托有相应资质的单位进行绿化工程、水土保持设施、</w:t>
            </w:r>
            <w:r>
              <w:rPr>
                <w:rFonts w:hint="default" w:ascii="Times New Roman" w:hAnsi="Times New Roman" w:cs="Times New Roman"/>
                <w:highlight w:val="none"/>
                <w:lang w:eastAsia="zh-CN"/>
              </w:rPr>
              <w:t>施工期环保</w:t>
            </w:r>
            <w:r>
              <w:rPr>
                <w:rFonts w:hint="default" w:ascii="Times New Roman" w:hAnsi="Times New Roman" w:cs="Times New Roman"/>
                <w:highlight w:val="none"/>
              </w:rPr>
              <w:t>设施等环保工程的设计工作。</w:t>
            </w:r>
          </w:p>
        </w:tc>
      </w:tr>
      <w:tr>
        <w:tblPrEx>
          <w:tblBorders>
            <w:top w:val="single" w:color="auto"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000000" w:sz="4" w:space="0"/>
              <w:left w:val="nil"/>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p>
        </w:tc>
        <w:tc>
          <w:tcPr>
            <w:tcW w:w="764" w:type="pct"/>
            <w:tcBorders>
              <w:top w:val="single" w:color="000000" w:sz="4" w:space="0"/>
              <w:left w:val="single" w:color="000000" w:sz="4" w:space="0"/>
              <w:bottom w:val="single" w:color="000000" w:sz="4"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设计单位</w:t>
            </w:r>
          </w:p>
        </w:tc>
        <w:tc>
          <w:tcPr>
            <w:tcW w:w="3799" w:type="pct"/>
            <w:tcBorders>
              <w:top w:val="single" w:color="000000" w:sz="4" w:space="0"/>
              <w:left w:val="single" w:color="000000" w:sz="4" w:space="0"/>
              <w:bottom w:val="single" w:color="000000" w:sz="4" w:space="0"/>
              <w:right w:val="nil"/>
            </w:tcBorders>
            <w:noWrap w:val="0"/>
            <w:vAlign w:val="center"/>
          </w:tcPr>
          <w:p>
            <w:pPr>
              <w:pStyle w:val="19"/>
              <w:bidi w:val="0"/>
              <w:jc w:val="left"/>
              <w:rPr>
                <w:rFonts w:hint="default" w:ascii="Times New Roman" w:hAnsi="Times New Roman" w:cs="Times New Roman"/>
                <w:highlight w:val="none"/>
                <w:lang w:eastAsia="zh-CN"/>
              </w:rPr>
            </w:pPr>
            <w:r>
              <w:rPr>
                <w:rFonts w:hint="default" w:ascii="Times New Roman" w:hAnsi="Times New Roman" w:cs="Times New Roman"/>
                <w:highlight w:val="none"/>
              </w:rPr>
              <w:t>将环境影响报告书提出的环保措施落实到施工图设计中</w:t>
            </w:r>
            <w:r>
              <w:rPr>
                <w:rFonts w:hint="default" w:ascii="Times New Roman" w:hAnsi="Times New Roman" w:cs="Times New Roman"/>
                <w:highlight w:val="none"/>
                <w:lang w:eastAsia="zh-CN"/>
              </w:rPr>
              <w:t>。</w:t>
            </w:r>
          </w:p>
        </w:tc>
      </w:tr>
      <w:tr>
        <w:tblPrEx>
          <w:tblBorders>
            <w:top w:val="single" w:color="auto"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37" w:type="pct"/>
            <w:tcBorders>
              <w:top w:val="single" w:color="000000" w:sz="4" w:space="0"/>
              <w:left w:val="nil"/>
              <w:bottom w:val="single" w:color="000000" w:sz="12"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施</w:t>
            </w:r>
          </w:p>
          <w:p>
            <w:pPr>
              <w:pStyle w:val="19"/>
              <w:bidi w:val="0"/>
              <w:rPr>
                <w:rFonts w:hint="default" w:ascii="Times New Roman" w:hAnsi="Times New Roman" w:cs="Times New Roman"/>
                <w:highlight w:val="none"/>
              </w:rPr>
            </w:pPr>
            <w:r>
              <w:rPr>
                <w:rFonts w:hint="default" w:ascii="Times New Roman" w:hAnsi="Times New Roman" w:cs="Times New Roman"/>
                <w:highlight w:val="none"/>
              </w:rPr>
              <w:t>工</w:t>
            </w:r>
          </w:p>
          <w:p>
            <w:pPr>
              <w:pStyle w:val="19"/>
              <w:bidi w:val="0"/>
              <w:rPr>
                <w:rFonts w:hint="default" w:ascii="Times New Roman" w:hAnsi="Times New Roman" w:cs="Times New Roman"/>
                <w:highlight w:val="none"/>
              </w:rPr>
            </w:pPr>
            <w:r>
              <w:rPr>
                <w:rFonts w:hint="default" w:ascii="Times New Roman" w:hAnsi="Times New Roman" w:cs="Times New Roman"/>
                <w:highlight w:val="none"/>
              </w:rPr>
              <w:t>期</w:t>
            </w:r>
          </w:p>
        </w:tc>
        <w:tc>
          <w:tcPr>
            <w:tcW w:w="764" w:type="pct"/>
            <w:tcBorders>
              <w:top w:val="single" w:color="000000" w:sz="4" w:space="0"/>
              <w:left w:val="single" w:color="000000" w:sz="4" w:space="0"/>
              <w:bottom w:val="single" w:color="000000" w:sz="12" w:space="0"/>
              <w:right w:val="single" w:color="000000" w:sz="4" w:space="0"/>
            </w:tcBorders>
            <w:noWrap w:val="0"/>
            <w:vAlign w:val="center"/>
          </w:tcPr>
          <w:p>
            <w:pPr>
              <w:pStyle w:val="19"/>
              <w:bidi w:val="0"/>
              <w:rPr>
                <w:rFonts w:hint="default" w:ascii="Times New Roman" w:hAnsi="Times New Roman" w:cs="Times New Roman"/>
                <w:highlight w:val="none"/>
              </w:rPr>
            </w:pPr>
            <w:r>
              <w:rPr>
                <w:rFonts w:hint="default" w:ascii="Times New Roman" w:hAnsi="Times New Roman" w:cs="Times New Roman"/>
                <w:highlight w:val="none"/>
              </w:rPr>
              <w:t>建设单位</w:t>
            </w:r>
          </w:p>
        </w:tc>
        <w:tc>
          <w:tcPr>
            <w:tcW w:w="3799" w:type="pct"/>
            <w:tcBorders>
              <w:top w:val="single" w:color="000000" w:sz="4" w:space="0"/>
              <w:left w:val="single" w:color="000000" w:sz="4" w:space="0"/>
              <w:bottom w:val="single" w:color="000000" w:sz="12" w:space="0"/>
              <w:right w:val="nil"/>
            </w:tcBorders>
            <w:noWrap w:val="0"/>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（1）施工期成立环保机构，具体负责施工期环境保护管理工作；</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（2）按环评报告书提出的环保措施和建议，制定施工期环境保护实施计划和管理办法，并将其编入招标文件和承包合同中；</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（3）负责实施本项目施工期的环境保护规划及行动计划，监督环境影响报告书中提出的各项环境保护措施的落实情况，组织实施施工期环境监测计划；</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（4）委托监理公司进行施工期工程环境监理工作，工程环境监理纳入工程监理；监督和检测施工对环境不利的行为；</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（5）开展环境保护宣传、教育和培训工作，提高施工人员环保意识和文明施工素质；</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（6）负责施工中突发性污染事故的处理，及时上报</w:t>
            </w:r>
            <w:r>
              <w:rPr>
                <w:rFonts w:hint="default" w:ascii="Times New Roman" w:hAnsi="Times New Roman" w:cs="Times New Roman"/>
                <w:highlight w:val="none"/>
                <w:lang w:eastAsia="zh-CN"/>
              </w:rPr>
              <w:t>生态环境</w:t>
            </w:r>
            <w:r>
              <w:rPr>
                <w:rFonts w:hint="default" w:ascii="Times New Roman" w:hAnsi="Times New Roman" w:cs="Times New Roman"/>
                <w:highlight w:val="none"/>
              </w:rPr>
              <w:t>主管部门和其他相关单位；</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（7）组织实施施工期环境监测计划；</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（8）在施工期结束后，组织检查工程环保措施落实和施工现场的环境恢复情况，督促施工单位及时撤出临时占地，拆除临时设施。</w:t>
            </w:r>
          </w:p>
        </w:tc>
      </w:tr>
    </w:tbl>
    <w:p>
      <w:pPr>
        <w:pStyle w:val="4"/>
        <w:numPr>
          <w:ilvl w:val="2"/>
          <w:numId w:val="5"/>
        </w:numPr>
        <w:tabs>
          <w:tab w:val="left" w:pos="420"/>
        </w:tabs>
        <w:bidi w:val="0"/>
        <w:rPr>
          <w:rFonts w:hint="default" w:ascii="Times New Roman" w:hAnsi="Times New Roman" w:cs="Times New Roman"/>
          <w:highlight w:val="none"/>
        </w:rPr>
      </w:pPr>
      <w:bookmarkStart w:id="180" w:name="_Toc345321709"/>
      <w:bookmarkStart w:id="181" w:name="_Toc345284418"/>
      <w:r>
        <w:rPr>
          <w:rFonts w:hint="default" w:ascii="Times New Roman" w:hAnsi="Times New Roman" w:cs="Times New Roman"/>
          <w:highlight w:val="none"/>
        </w:rPr>
        <w:t>环境管理计划</w:t>
      </w:r>
      <w:bookmarkEnd w:id="180"/>
      <w:bookmarkEnd w:id="181"/>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建设单位组织开展环境保护宣传、教育和培训工作，组织实施工程的环境保护行动计划，及时处理环境污染事故和污染纠纷，接受福建省、福鼎市</w:t>
      </w:r>
      <w:r>
        <w:rPr>
          <w:rFonts w:hint="default" w:ascii="Times New Roman" w:hAnsi="Times New Roman" w:cs="Times New Roman"/>
          <w:sz w:val="24"/>
          <w:szCs w:val="21"/>
          <w:highlight w:val="none"/>
          <w:lang w:eastAsia="zh-CN"/>
        </w:rPr>
        <w:t>生态环境</w:t>
      </w:r>
      <w:r>
        <w:rPr>
          <w:rFonts w:hint="default" w:ascii="Times New Roman" w:hAnsi="Times New Roman" w:cs="Times New Roman"/>
          <w:sz w:val="24"/>
          <w:szCs w:val="21"/>
          <w:highlight w:val="none"/>
        </w:rPr>
        <w:t>管理部门的监督和指导。建设单位的环保机构在施工开始后配备专职环保管理人员，专门负责施工期的环境管理和监督。</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建设单位应委托具有相应资质的施工监理机构，要求施工监理机构配备专职环境保护监理工程师，负责施工期的环境管理与监督。施工单位应接受建设单位和当地</w:t>
      </w:r>
      <w:r>
        <w:rPr>
          <w:rFonts w:hint="default" w:ascii="Times New Roman" w:hAnsi="Times New Roman" w:cs="Times New Roman"/>
          <w:sz w:val="24"/>
          <w:szCs w:val="21"/>
          <w:highlight w:val="none"/>
          <w:lang w:eastAsia="zh-CN"/>
        </w:rPr>
        <w:t>生态环境</w:t>
      </w:r>
      <w:r>
        <w:rPr>
          <w:rFonts w:hint="default" w:ascii="Times New Roman" w:hAnsi="Times New Roman" w:cs="Times New Roman"/>
          <w:sz w:val="24"/>
          <w:szCs w:val="21"/>
          <w:highlight w:val="none"/>
        </w:rPr>
        <w:t>部门的监督和指导，并按中标书、施工合同落实各项环境保护和文明施工措施，各施工单位至少应配备1~2名专职环保员，具体监督、管理环保措施的实施情况。</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（一）监督实施环保设施的“三同时”</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各项环保设施的设计、施工计划必须与主体工程同时进行，并把工程设计和施工计划报</w:t>
      </w:r>
      <w:r>
        <w:rPr>
          <w:rFonts w:hint="default" w:ascii="Times New Roman" w:hAnsi="Times New Roman" w:cs="Times New Roman"/>
          <w:sz w:val="24"/>
          <w:szCs w:val="21"/>
          <w:highlight w:val="none"/>
          <w:lang w:eastAsia="zh-CN"/>
        </w:rPr>
        <w:t>生态环境</w:t>
      </w:r>
      <w:r>
        <w:rPr>
          <w:rFonts w:hint="default" w:ascii="Times New Roman" w:hAnsi="Times New Roman" w:cs="Times New Roman"/>
          <w:sz w:val="24"/>
          <w:szCs w:val="21"/>
          <w:highlight w:val="none"/>
        </w:rPr>
        <w:t>主管部门审批；在施工过程中必须经常检查环保设施建设进度，如有滞后应立即纠正。</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（二）施工期间环境保护实施计划</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（1）施工期环境管理</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建设单位的环保机构在施工开始后应派管理人员专门负责施工期环境管理与监督，本项目施工期环境管理与监督的重点是：禁止施工建设中的泥沙等污染物进入饮用水源内，控制区域的水土流失；控制对高噪声、高振动施工的施工时间，避免物料运输车辆对沿线居民的影响；控制施工粉尘对周边环境的影响；合理安排施工营地，严格控制临时性施工占地面积。</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施工期间应对各施工队伍的施工环保实施计划进行监督检查，对施工中的排污情况进行监督，对造成严重水土流失、生态破坏或其他重大污染事故进行调查处理，直至法律追究。各施工单位（承包商）应对发生的水土流失事件或其它污染事故组织处理，并及时向建设单位环保机构和地方</w:t>
      </w:r>
      <w:r>
        <w:rPr>
          <w:rFonts w:hint="default" w:ascii="Times New Roman" w:hAnsi="Times New Roman" w:cs="Times New Roman"/>
          <w:sz w:val="24"/>
          <w:szCs w:val="21"/>
          <w:highlight w:val="none"/>
          <w:lang w:eastAsia="zh-CN"/>
        </w:rPr>
        <w:t>生态环境</w:t>
      </w:r>
      <w:r>
        <w:rPr>
          <w:rFonts w:hint="default" w:ascii="Times New Roman" w:hAnsi="Times New Roman" w:cs="Times New Roman"/>
          <w:sz w:val="24"/>
          <w:szCs w:val="21"/>
          <w:highlight w:val="none"/>
        </w:rPr>
        <w:t>部门报告。建设单位及施工单位要专门设立“信访办”，设置专线投诉电话，接待群众投诉并派专人限时解决，妥善处理投诉问题。</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本项目设置临时施工用地，施工结束后用于绿化覆土回填或复耕。根据水土保持方案，对此提出以下环境管理要求：</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①为防止雨水冲刷而产生泥石流及滑塌，</w:t>
      </w:r>
      <w:r>
        <w:rPr>
          <w:rFonts w:hint="default" w:ascii="Times New Roman" w:hAnsi="Times New Roman" w:cs="Times New Roman"/>
          <w:sz w:val="24"/>
          <w:szCs w:val="21"/>
          <w:highlight w:val="none"/>
          <w:lang w:eastAsia="zh-CN"/>
        </w:rPr>
        <w:t>临时建筑材料堆场</w:t>
      </w:r>
      <w:r>
        <w:rPr>
          <w:rFonts w:hint="default" w:ascii="Times New Roman" w:hAnsi="Times New Roman" w:cs="Times New Roman"/>
          <w:sz w:val="24"/>
          <w:szCs w:val="21"/>
          <w:highlight w:val="none"/>
        </w:rPr>
        <w:t>使用前，应先沿</w:t>
      </w:r>
      <w:r>
        <w:rPr>
          <w:rFonts w:hint="default" w:ascii="Times New Roman" w:hAnsi="Times New Roman" w:cs="Times New Roman"/>
          <w:sz w:val="24"/>
          <w:szCs w:val="21"/>
          <w:highlight w:val="none"/>
          <w:lang w:eastAsia="zh-CN"/>
        </w:rPr>
        <w:t>堆场四周设置</w:t>
      </w:r>
      <w:r>
        <w:rPr>
          <w:rFonts w:hint="default" w:ascii="Times New Roman" w:hAnsi="Times New Roman" w:cs="Times New Roman"/>
          <w:sz w:val="24"/>
          <w:szCs w:val="21"/>
          <w:highlight w:val="none"/>
        </w:rPr>
        <w:t>土袋挡墙</w:t>
      </w:r>
      <w:r>
        <w:rPr>
          <w:rFonts w:hint="default" w:ascii="Times New Roman" w:hAnsi="Times New Roman" w:cs="Times New Roman"/>
          <w:sz w:val="24"/>
          <w:szCs w:val="21"/>
          <w:highlight w:val="none"/>
          <w:lang w:eastAsia="zh-CN"/>
        </w:rPr>
        <w:t>并在外围</w:t>
      </w:r>
      <w:r>
        <w:rPr>
          <w:rFonts w:hint="default" w:ascii="Times New Roman" w:hAnsi="Times New Roman" w:cs="Times New Roman"/>
          <w:sz w:val="24"/>
          <w:szCs w:val="21"/>
          <w:highlight w:val="none"/>
        </w:rPr>
        <w:t>四周边缘设置土质截水明沟或边沟，土质排水沟需覆盖彩色布条，以引导地表径流进入沉淀池，经沉淀处理后的雨水回用于施工场地</w:t>
      </w:r>
      <w:r>
        <w:rPr>
          <w:rFonts w:hint="default" w:ascii="Times New Roman" w:hAnsi="Times New Roman" w:cs="Times New Roman"/>
          <w:sz w:val="24"/>
          <w:szCs w:val="21"/>
          <w:highlight w:val="none"/>
          <w:lang w:eastAsia="zh-CN"/>
        </w:rPr>
        <w:t>洒水</w:t>
      </w:r>
      <w:r>
        <w:rPr>
          <w:rFonts w:hint="default" w:ascii="Times New Roman" w:hAnsi="Times New Roman" w:cs="Times New Roman"/>
          <w:sz w:val="24"/>
          <w:szCs w:val="21"/>
          <w:highlight w:val="none"/>
        </w:rPr>
        <w:t>。</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②堆土转运完毕后进行土地整治，平整后进行植草绿化，恢复原地貌。</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③表土主要用于项目绿化覆土回填，为防止表土土体滑塌流失，拟在土堆表面用薄膜覆盖，并在临时堆土体坡脚处四周堆砌土袋，同时将上方压实，形成对土体的全封闭防护。</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（2）施工现场环境恢复监督</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施工结束后，建设单位应组织全面检查工程环保措施落实和施工现场的环境恢复情况，督促施工单位及时撤出临时占用场地，拆除临时设施，恢复被破坏的土地和植被，使工程以整洁的面貌投入营运。</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（3）竣工环境保护验收</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工程在</w:t>
      </w:r>
      <w:r>
        <w:rPr>
          <w:rFonts w:hint="default" w:ascii="Times New Roman" w:hAnsi="Times New Roman" w:cs="Times New Roman"/>
          <w:sz w:val="24"/>
          <w:szCs w:val="21"/>
          <w:highlight w:val="none"/>
          <w:lang w:eastAsia="zh-CN"/>
        </w:rPr>
        <w:t>建设完成并</w:t>
      </w:r>
      <w:r>
        <w:rPr>
          <w:rFonts w:hint="default" w:ascii="Times New Roman" w:hAnsi="Times New Roman" w:cs="Times New Roman"/>
          <w:sz w:val="24"/>
          <w:szCs w:val="21"/>
          <w:highlight w:val="none"/>
        </w:rPr>
        <w:t>正式营运前，须自行进行开展项目竣工环境保护验收。经验收合格后，方可正式投入生产运行。</w:t>
      </w:r>
    </w:p>
    <w:p>
      <w:pPr>
        <w:numPr>
          <w:ilvl w:val="0"/>
          <w:numId w:val="8"/>
        </w:num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lang w:eastAsia="zh-CN"/>
        </w:rPr>
      </w:pPr>
      <w:r>
        <w:rPr>
          <w:rFonts w:hint="default" w:ascii="Times New Roman" w:hAnsi="Times New Roman" w:cs="Times New Roman"/>
          <w:sz w:val="24"/>
          <w:szCs w:val="21"/>
          <w:highlight w:val="none"/>
          <w:lang w:eastAsia="zh-CN"/>
        </w:rPr>
        <w:t>环境监理</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工程环境监理主要包括环保达标监理、环保工程监理以及水土保持工程监理。环保达标监理是使主体工程的施工符合环境保护的要求，如噪声、废气等排放应达到有关的标准等，废水处理回用施工场地。环保监理包括生态环境保护、水土保持等，还包括污水处理设施、护坡挡墙、排水排沟工程、生态恢复等在内的环保设施建设的监理。</w:t>
      </w:r>
    </w:p>
    <w:p>
      <w:pPr>
        <w:pStyle w:val="3"/>
        <w:bidi w:val="0"/>
        <w:rPr>
          <w:rFonts w:hint="default" w:ascii="Times New Roman" w:hAnsi="Times New Roman" w:cs="Times New Roman"/>
          <w:highlight w:val="none"/>
        </w:rPr>
      </w:pPr>
      <w:bookmarkStart w:id="182" w:name="_Toc354156070"/>
      <w:bookmarkStart w:id="183" w:name="_Toc5283778"/>
      <w:bookmarkStart w:id="184" w:name="_Toc444183851"/>
      <w:bookmarkStart w:id="185" w:name="_Toc345284419"/>
      <w:bookmarkStart w:id="186" w:name="_Toc11802"/>
      <w:bookmarkStart w:id="187" w:name="_Toc345321710"/>
      <w:bookmarkStart w:id="188" w:name="_Toc2693"/>
      <w:r>
        <w:rPr>
          <w:rFonts w:hint="default" w:ascii="Times New Roman" w:hAnsi="Times New Roman" w:cs="Times New Roman"/>
          <w:highlight w:val="none"/>
        </w:rPr>
        <w:t>环境监测计划</w:t>
      </w:r>
      <w:bookmarkEnd w:id="182"/>
      <w:bookmarkEnd w:id="183"/>
      <w:bookmarkEnd w:id="184"/>
      <w:bookmarkEnd w:id="185"/>
      <w:bookmarkEnd w:id="186"/>
      <w:bookmarkEnd w:id="187"/>
      <w:bookmarkEnd w:id="188"/>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lang w:eastAsia="zh-CN"/>
        </w:rPr>
        <w:t>制定</w:t>
      </w:r>
      <w:r>
        <w:rPr>
          <w:rFonts w:hint="default" w:ascii="Times New Roman" w:hAnsi="Times New Roman" w:cs="Times New Roman"/>
          <w:sz w:val="24"/>
          <w:szCs w:val="21"/>
          <w:highlight w:val="none"/>
        </w:rPr>
        <w:t>环境监测计划的目的是为了及时了解工程施工行为对环境保护目标产生影响的范围与程度，以便采取相应的减缓措施。制定的原则是根据预测和建设各个阶段主要环境影响。</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szCs w:val="21"/>
          <w:highlight w:val="none"/>
        </w:rPr>
        <w:t>本项目运</w:t>
      </w:r>
      <w:r>
        <w:rPr>
          <w:rFonts w:hint="default" w:ascii="Times New Roman" w:hAnsi="Times New Roman" w:cs="Times New Roman"/>
          <w:sz w:val="24"/>
          <w:szCs w:val="21"/>
          <w:highlight w:val="none"/>
          <w:lang w:val="en-US" w:eastAsia="zh-CN"/>
        </w:rPr>
        <w:t>行</w:t>
      </w:r>
      <w:r>
        <w:rPr>
          <w:rFonts w:hint="default" w:ascii="Times New Roman" w:hAnsi="Times New Roman" w:cs="Times New Roman"/>
          <w:sz w:val="24"/>
          <w:szCs w:val="21"/>
          <w:highlight w:val="none"/>
        </w:rPr>
        <w:t>期正常情况下不会对周边环境产生</w:t>
      </w:r>
      <w:r>
        <w:rPr>
          <w:rFonts w:hint="default" w:ascii="Times New Roman" w:hAnsi="Times New Roman" w:cs="Times New Roman"/>
          <w:sz w:val="24"/>
          <w:szCs w:val="21"/>
          <w:highlight w:val="none"/>
          <w:lang w:eastAsia="zh-CN"/>
        </w:rPr>
        <w:t>废水、废气、噪声、固废</w:t>
      </w:r>
      <w:r>
        <w:rPr>
          <w:rFonts w:hint="default" w:ascii="Times New Roman" w:hAnsi="Times New Roman" w:cs="Times New Roman"/>
          <w:sz w:val="24"/>
          <w:szCs w:val="21"/>
          <w:highlight w:val="none"/>
        </w:rPr>
        <w:t>等环境污染影响，管道沿线施工场地距离居民区较远，施工期废气、噪声均不会对居民区造成明显影响。运</w:t>
      </w:r>
      <w:r>
        <w:rPr>
          <w:rFonts w:hint="default" w:ascii="Times New Roman" w:hAnsi="Times New Roman" w:cs="Times New Roman"/>
          <w:sz w:val="24"/>
          <w:szCs w:val="21"/>
          <w:highlight w:val="none"/>
          <w:lang w:val="en-US" w:eastAsia="zh-CN"/>
        </w:rPr>
        <w:t>行</w:t>
      </w:r>
      <w:r>
        <w:rPr>
          <w:rFonts w:hint="default" w:ascii="Times New Roman" w:hAnsi="Times New Roman" w:cs="Times New Roman"/>
          <w:sz w:val="24"/>
          <w:szCs w:val="21"/>
          <w:highlight w:val="none"/>
        </w:rPr>
        <w:t>期监测重点</w:t>
      </w:r>
      <w:r>
        <w:rPr>
          <w:rFonts w:hint="default" w:ascii="Times New Roman" w:hAnsi="Times New Roman" w:cs="Times New Roman"/>
          <w:sz w:val="24"/>
          <w:szCs w:val="21"/>
          <w:highlight w:val="none"/>
          <w:lang w:eastAsia="zh-CN"/>
        </w:rPr>
        <w:t>关注水源地</w:t>
      </w:r>
      <w:r>
        <w:rPr>
          <w:rFonts w:hint="default" w:ascii="Times New Roman" w:hAnsi="Times New Roman" w:cs="Times New Roman"/>
          <w:sz w:val="24"/>
          <w:szCs w:val="21"/>
          <w:highlight w:val="none"/>
        </w:rPr>
        <w:t>水环境质量、生态环境因子，本项目环境监测计划见表7.2-1</w:t>
      </w:r>
      <w:r>
        <w:rPr>
          <w:rFonts w:hint="default" w:ascii="Times New Roman" w:hAnsi="Times New Roman" w:cs="Times New Roman"/>
          <w:sz w:val="24"/>
          <w:highlight w:val="none"/>
        </w:rPr>
        <w:t>。</w:t>
      </w:r>
    </w:p>
    <w:p>
      <w:pPr>
        <w:pStyle w:val="21"/>
        <w:bidi w:val="0"/>
        <w:rPr>
          <w:rFonts w:hint="default" w:ascii="Times New Roman" w:hAnsi="Times New Roman" w:cs="Times New Roman"/>
          <w:highlight w:val="none"/>
        </w:rPr>
      </w:pPr>
      <w:r>
        <w:rPr>
          <w:rFonts w:hint="default" w:ascii="Times New Roman" w:hAnsi="Times New Roman" w:cs="Times New Roman"/>
          <w:highlight w:val="none"/>
        </w:rPr>
        <w:t>施工期及运</w:t>
      </w:r>
      <w:r>
        <w:rPr>
          <w:rFonts w:hint="default" w:ascii="Times New Roman" w:hAnsi="Times New Roman" w:cs="Times New Roman"/>
          <w:highlight w:val="none"/>
          <w:lang w:val="en-US" w:eastAsia="zh-CN"/>
        </w:rPr>
        <w:t>行</w:t>
      </w:r>
      <w:r>
        <w:rPr>
          <w:rFonts w:hint="default" w:ascii="Times New Roman" w:hAnsi="Times New Roman" w:cs="Times New Roman"/>
          <w:highlight w:val="none"/>
        </w:rPr>
        <w:t>初期环境监测计划</w:t>
      </w:r>
    </w:p>
    <w:tbl>
      <w:tblPr>
        <w:tblStyle w:val="1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1884"/>
        <w:gridCol w:w="3336"/>
        <w:gridCol w:w="25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rPr>
              <w:t>监测</w:t>
            </w:r>
            <w:r>
              <w:rPr>
                <w:rFonts w:hint="default" w:ascii="Times New Roman" w:hAnsi="Times New Roman" w:cs="Times New Roman"/>
                <w:highlight w:val="none"/>
                <w:lang w:eastAsia="zh-CN"/>
              </w:rPr>
              <w:t>类别</w:t>
            </w:r>
          </w:p>
        </w:tc>
        <w:tc>
          <w:tcPr>
            <w:tcW w:w="1015"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监测点位</w:t>
            </w:r>
          </w:p>
        </w:tc>
        <w:tc>
          <w:tcPr>
            <w:tcW w:w="179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监测项目</w:t>
            </w:r>
          </w:p>
        </w:tc>
        <w:tc>
          <w:tcPr>
            <w:tcW w:w="1391"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监测时间与频率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水质监测</w:t>
            </w:r>
          </w:p>
        </w:tc>
        <w:tc>
          <w:tcPr>
            <w:tcW w:w="1015"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上安水库、天竹水库、龙井溪</w:t>
            </w:r>
          </w:p>
        </w:tc>
        <w:tc>
          <w:tcPr>
            <w:tcW w:w="1797"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地表水常规监测项目24项及集中式生活饮用水地表水补充监测项目5项，叶绿素a</w:t>
            </w:r>
          </w:p>
        </w:tc>
        <w:tc>
          <w:tcPr>
            <w:tcW w:w="1391"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1年/次，划定水源地后按饮用水水源地报告执行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restar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生态因子</w:t>
            </w:r>
          </w:p>
        </w:tc>
        <w:tc>
          <w:tcPr>
            <w:tcW w:w="1015" w:type="pct"/>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上安水库及天竹水库</w:t>
            </w:r>
            <w:r>
              <w:rPr>
                <w:rFonts w:hint="default" w:ascii="Times New Roman" w:hAnsi="Times New Roman" w:cs="Times New Roman"/>
                <w:highlight w:val="none"/>
              </w:rPr>
              <w:t>坝下</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龙井溪取水断面下游</w:t>
            </w:r>
          </w:p>
        </w:tc>
        <w:tc>
          <w:tcPr>
            <w:tcW w:w="179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下泄生态流量、水温</w:t>
            </w:r>
          </w:p>
        </w:tc>
        <w:tc>
          <w:tcPr>
            <w:tcW w:w="1391"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每年丰水期、平水期、枯水期各一次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5" w:type="pct"/>
            <w:vMerge w:val="continue"/>
            <w:tcBorders>
              <w:tl2br w:val="nil"/>
              <w:tr2bl w:val="nil"/>
            </w:tcBorders>
            <w:noWrap w:val="0"/>
            <w:vAlign w:val="center"/>
          </w:tcPr>
          <w:p>
            <w:pPr>
              <w:pStyle w:val="19"/>
              <w:bidi w:val="0"/>
              <w:jc w:val="center"/>
              <w:rPr>
                <w:rFonts w:hint="default" w:ascii="Times New Roman" w:hAnsi="Times New Roman" w:cs="Times New Roman"/>
                <w:highlight w:val="none"/>
                <w:lang w:eastAsia="zh-CN"/>
              </w:rPr>
            </w:pPr>
            <w:bookmarkStart w:id="189" w:name="_Toc345321715"/>
            <w:bookmarkStart w:id="190" w:name="_Toc354156071"/>
            <w:bookmarkStart w:id="191" w:name="_Toc5283779"/>
            <w:bookmarkStart w:id="192" w:name="_Toc444183852"/>
            <w:bookmarkStart w:id="193" w:name="_Toc345284424"/>
          </w:p>
        </w:tc>
        <w:tc>
          <w:tcPr>
            <w:tcW w:w="1015" w:type="pct"/>
            <w:tcBorders>
              <w:tl2br w:val="nil"/>
              <w:tr2bl w:val="nil"/>
            </w:tcBorders>
            <w:noWrap w:val="0"/>
            <w:vAlign w:val="center"/>
          </w:tcPr>
          <w:p>
            <w:pPr>
              <w:pStyle w:val="19"/>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上安水库、天竹水库</w:t>
            </w:r>
          </w:p>
        </w:tc>
        <w:tc>
          <w:tcPr>
            <w:tcW w:w="1797"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水温、水位、库容</w:t>
            </w:r>
          </w:p>
        </w:tc>
        <w:tc>
          <w:tcPr>
            <w:tcW w:w="1391" w:type="pct"/>
            <w:tcBorders>
              <w:tl2br w:val="nil"/>
              <w:tr2bl w:val="nil"/>
            </w:tcBorders>
            <w:noWrap w:val="0"/>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每年丰水期、平水期、枯水期各一次</w:t>
            </w:r>
          </w:p>
        </w:tc>
      </w:tr>
      <w:bookmarkEnd w:id="189"/>
      <w:bookmarkEnd w:id="190"/>
      <w:bookmarkEnd w:id="191"/>
      <w:bookmarkEnd w:id="192"/>
      <w:bookmarkEnd w:id="193"/>
    </w:tbl>
    <w:p>
      <w:pPr>
        <w:bidi w:val="0"/>
        <w:rPr>
          <w:rFonts w:hint="default" w:ascii="Times New Roman" w:hAnsi="Times New Roman" w:cs="Times New Roman"/>
          <w:highlight w:val="none"/>
          <w:lang w:val="en-US" w:eastAsia="zh-CN"/>
        </w:rPr>
        <w:sectPr>
          <w:headerReference r:id="rId20" w:type="default"/>
          <w:footerReference r:id="rId21"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 w:linePitch="333" w:charSpace="0"/>
        </w:sectPr>
      </w:pPr>
    </w:p>
    <w:p>
      <w:pPr>
        <w:pStyle w:val="2"/>
        <w:bidi w:val="0"/>
        <w:rPr>
          <w:rFonts w:hint="default" w:ascii="Times New Roman" w:hAnsi="Times New Roman" w:cs="Times New Roman"/>
          <w:highlight w:val="none"/>
        </w:rPr>
      </w:pPr>
      <w:bookmarkStart w:id="194" w:name="_Toc3708"/>
      <w:bookmarkStart w:id="195" w:name="_Toc8507"/>
      <w:r>
        <w:rPr>
          <w:rFonts w:hint="default" w:ascii="Times New Roman" w:hAnsi="Times New Roman" w:cs="Times New Roman"/>
          <w:highlight w:val="none"/>
          <w:lang w:val="en-US" w:eastAsia="zh-CN"/>
        </w:rPr>
        <w:t>结论</w:t>
      </w:r>
      <w:bookmarkEnd w:id="194"/>
      <w:bookmarkEnd w:id="195"/>
    </w:p>
    <w:p>
      <w:pPr>
        <w:pStyle w:val="3"/>
        <w:bidi w:val="0"/>
        <w:rPr>
          <w:rFonts w:hint="default" w:ascii="Times New Roman" w:hAnsi="Times New Roman" w:cs="Times New Roman"/>
          <w:highlight w:val="none"/>
        </w:rPr>
      </w:pPr>
      <w:bookmarkStart w:id="196" w:name="_Toc3308156"/>
      <w:bookmarkStart w:id="197" w:name="_Toc361592768"/>
      <w:bookmarkStart w:id="198" w:name="_Toc333864119"/>
      <w:bookmarkStart w:id="199" w:name="_Toc272478616"/>
      <w:bookmarkStart w:id="200" w:name="_Toc444183855"/>
      <w:bookmarkStart w:id="201" w:name="_Toc1915"/>
      <w:bookmarkStart w:id="202" w:name="_Toc18408"/>
      <w:bookmarkStart w:id="203" w:name="_Toc362250779"/>
      <w:bookmarkStart w:id="204" w:name="_Toc330752902"/>
      <w:bookmarkStart w:id="205" w:name="_Toc533846113"/>
      <w:bookmarkStart w:id="206" w:name="_Toc5283782"/>
      <w:bookmarkStart w:id="207" w:name="_Toc5279664"/>
      <w:r>
        <w:rPr>
          <w:rFonts w:hint="default" w:ascii="Times New Roman" w:hAnsi="Times New Roman" w:cs="Times New Roman"/>
          <w:highlight w:val="none"/>
        </w:rPr>
        <w:t>工程概况及主要问题</w:t>
      </w:r>
      <w:bookmarkEnd w:id="196"/>
      <w:bookmarkEnd w:id="197"/>
      <w:bookmarkEnd w:id="198"/>
      <w:bookmarkEnd w:id="199"/>
      <w:bookmarkEnd w:id="200"/>
      <w:bookmarkEnd w:id="201"/>
      <w:bookmarkEnd w:id="202"/>
      <w:bookmarkEnd w:id="203"/>
      <w:bookmarkEnd w:id="204"/>
      <w:bookmarkEnd w:id="205"/>
      <w:bookmarkEnd w:id="206"/>
      <w:bookmarkEnd w:id="20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福鼎市管阳片区农村安全饮水工程</w:t>
      </w:r>
      <w:r>
        <w:rPr>
          <w:rFonts w:hint="default" w:ascii="Times New Roman" w:hAnsi="Times New Roman" w:cs="Times New Roman"/>
          <w:sz w:val="24"/>
          <w:highlight w:val="none"/>
          <w:lang w:val="en-US" w:eastAsia="zh-CN"/>
        </w:rPr>
        <w:t>管网部分</w:t>
      </w:r>
      <w:r>
        <w:rPr>
          <w:rFonts w:hint="default" w:ascii="Times New Roman" w:hAnsi="Times New Roman" w:cs="Times New Roman"/>
          <w:sz w:val="24"/>
          <w:highlight w:val="none"/>
        </w:rPr>
        <w:t>（福鼎市城乡供水一体化二期）项目位于福建省宁德市福鼎市管阳镇，由福建省水利投资开发集团福鼎水务有限公司负责建设。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项目建设规模及内容</w:t>
      </w:r>
      <w:r>
        <w:rPr>
          <w:rFonts w:hint="default" w:ascii="Times New Roman" w:hAnsi="Times New Roman" w:cs="Times New Roman"/>
          <w:sz w:val="24"/>
          <w:szCs w:val="24"/>
          <w:highlight w:val="none"/>
        </w:rPr>
        <w:t>主要为</w:t>
      </w:r>
      <w:r>
        <w:rPr>
          <w:rFonts w:hint="default" w:ascii="Times New Roman" w:hAnsi="Times New Roman" w:cs="Times New Roman"/>
          <w:sz w:val="24"/>
          <w:szCs w:val="24"/>
          <w:highlight w:val="none"/>
          <w:lang w:val="en-US" w:eastAsia="zh-CN"/>
        </w:rPr>
        <w:t>①</w:t>
      </w:r>
      <w:r>
        <w:rPr>
          <w:rFonts w:hint="default" w:ascii="Times New Roman" w:hAnsi="Times New Roman" w:cs="Times New Roman"/>
          <w:color w:val="000000"/>
          <w:kern w:val="0"/>
          <w:sz w:val="24"/>
          <w:szCs w:val="24"/>
          <w:highlight w:val="none"/>
          <w:lang w:val="en-US" w:eastAsia="zh-CN"/>
        </w:rPr>
        <w:t>供水规模3000 m</w:t>
      </w:r>
      <w:r>
        <w:rPr>
          <w:rFonts w:hint="default" w:ascii="Times New Roman" w:hAnsi="Times New Roman" w:cs="Times New Roman"/>
          <w:color w:val="000000"/>
          <w:kern w:val="0"/>
          <w:sz w:val="24"/>
          <w:szCs w:val="24"/>
          <w:highlight w:val="none"/>
          <w:vertAlign w:val="superscript"/>
          <w:lang w:val="en-US" w:eastAsia="zh-CN"/>
        </w:rPr>
        <w:t>3</w:t>
      </w:r>
      <w:r>
        <w:rPr>
          <w:rFonts w:hint="default" w:ascii="Times New Roman" w:hAnsi="Times New Roman" w:cs="Times New Roman"/>
          <w:color w:val="000000"/>
          <w:kern w:val="0"/>
          <w:sz w:val="24"/>
          <w:szCs w:val="24"/>
          <w:highlight w:val="none"/>
          <w:lang w:val="en-US" w:eastAsia="zh-CN"/>
        </w:rPr>
        <w:t>/d，新建原水输水管道0.35 km，原水提升泵房1座，配水管网9.96 km，配水加压泵房2座等</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②</w:t>
      </w:r>
      <w:r>
        <w:rPr>
          <w:rFonts w:hint="default" w:ascii="Times New Roman" w:hAnsi="Times New Roman" w:cs="Times New Roman"/>
          <w:color w:val="000000"/>
          <w:kern w:val="0"/>
          <w:sz w:val="24"/>
          <w:szCs w:val="24"/>
          <w:highlight w:val="none"/>
          <w:lang w:val="en-US" w:eastAsia="zh-CN"/>
        </w:rPr>
        <w:t>供水规模3500 m</w:t>
      </w:r>
      <w:r>
        <w:rPr>
          <w:rFonts w:hint="default" w:ascii="Times New Roman" w:hAnsi="Times New Roman" w:cs="Times New Roman"/>
          <w:color w:val="000000"/>
          <w:kern w:val="0"/>
          <w:sz w:val="24"/>
          <w:szCs w:val="24"/>
          <w:highlight w:val="none"/>
          <w:vertAlign w:val="superscript"/>
          <w:lang w:val="en-US" w:eastAsia="zh-CN"/>
        </w:rPr>
        <w:t>3</w:t>
      </w:r>
      <w:r>
        <w:rPr>
          <w:rFonts w:hint="default" w:ascii="Times New Roman" w:hAnsi="Times New Roman" w:cs="Times New Roman"/>
          <w:color w:val="000000"/>
          <w:kern w:val="0"/>
          <w:sz w:val="24"/>
          <w:szCs w:val="24"/>
          <w:highlight w:val="none"/>
          <w:lang w:val="en-US" w:eastAsia="zh-CN"/>
        </w:rPr>
        <w:t>/d，新建原水输水管道7.31 km，配水管网厂27.60 km及附属设施</w:t>
      </w:r>
      <w:r>
        <w:rPr>
          <w:rFonts w:hint="default" w:ascii="Times New Roman" w:hAnsi="Times New Roman" w:cs="Times New Roman"/>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本项目</w:t>
      </w:r>
      <w:r>
        <w:rPr>
          <w:rFonts w:hint="default" w:ascii="Times New Roman" w:hAnsi="Times New Roman" w:cs="Times New Roman"/>
          <w:sz w:val="24"/>
          <w:highlight w:val="none"/>
        </w:rPr>
        <w:t>泵站永久征地1亩，配套水管网临时占地240亩</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工程建设征地范围内未压覆重要矿产资源，未发现有保护价值的文物古迹</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水厂永久征地16.3亩</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征地范围内未压覆重要矿产资源，未发现有保护价值的文物古迹。本工程总投资6216.28万元，其中水厂总投资</w:t>
      </w:r>
      <w:r>
        <w:rPr>
          <w:rFonts w:hint="default" w:ascii="Times New Roman" w:hAnsi="Times New Roman" w:cs="Times New Roman"/>
          <w:sz w:val="24"/>
          <w:highlight w:val="none"/>
          <w:lang w:val="en-US" w:eastAsia="zh-CN"/>
        </w:rPr>
        <w:t>4241.01</w:t>
      </w:r>
      <w:r>
        <w:rPr>
          <w:rFonts w:hint="default" w:ascii="Times New Roman" w:hAnsi="Times New Roman" w:cs="Times New Roman"/>
          <w:sz w:val="24"/>
          <w:highlight w:val="none"/>
        </w:rPr>
        <w:t>万元，</w:t>
      </w:r>
      <w:r>
        <w:rPr>
          <w:rFonts w:hint="default" w:ascii="Times New Roman" w:hAnsi="Times New Roman" w:cs="Times New Roman"/>
          <w:color w:val="000000"/>
          <w:highlight w:val="none"/>
          <w:lang w:val="en-US" w:eastAsia="zh-CN"/>
        </w:rPr>
        <w:t>其中工程部分总投资3796.39万元</w:t>
      </w:r>
      <w:r>
        <w:rPr>
          <w:rFonts w:hint="default" w:ascii="Times New Roman" w:hAnsi="Times New Roman" w:cs="Times New Roman"/>
          <w:sz w:val="24"/>
          <w:highlight w:val="none"/>
        </w:rPr>
        <w:t>，</w:t>
      </w:r>
      <w:r>
        <w:rPr>
          <w:rFonts w:hint="default" w:ascii="Times New Roman" w:hAnsi="Times New Roman" w:cs="Times New Roman"/>
          <w:color w:val="000000"/>
          <w:highlight w:val="none"/>
          <w:lang w:val="en-US" w:eastAsia="zh-CN"/>
        </w:rPr>
        <w:t>环境保护专项投资98.61万元</w:t>
      </w:r>
      <w:r>
        <w:rPr>
          <w:rFonts w:hint="default" w:ascii="Times New Roman" w:hAnsi="Times New Roman" w:cs="Times New Roman"/>
          <w:color w:val="000000"/>
          <w:highlight w:val="none"/>
          <w:lang w:val="en-US" w:eastAsia="zh-CN"/>
        </w:rPr>
        <w:t>。</w:t>
      </w:r>
      <w:r>
        <w:rPr>
          <w:rFonts w:hint="default" w:ascii="Times New Roman" w:hAnsi="Times New Roman" w:cs="Times New Roman"/>
          <w:sz w:val="24"/>
          <w:highlight w:val="none"/>
          <w:lang w:eastAsia="zh-CN"/>
        </w:rPr>
        <w:t>本项目计划工期</w:t>
      </w:r>
      <w:r>
        <w:rPr>
          <w:rFonts w:hint="default" w:ascii="Times New Roman" w:hAnsi="Times New Roman" w:cs="Times New Roman"/>
          <w:sz w:val="24"/>
          <w:highlight w:val="none"/>
          <w:lang w:val="en-US" w:eastAsia="zh-CN"/>
        </w:rPr>
        <w:t>8</w:t>
      </w:r>
      <w:r>
        <w:rPr>
          <w:rFonts w:hint="default" w:ascii="Times New Roman" w:hAnsi="Times New Roman" w:cs="Times New Roman"/>
          <w:sz w:val="24"/>
          <w:highlight w:val="none"/>
          <w:lang w:val="en-US" w:eastAsia="zh-CN"/>
        </w:rPr>
        <w:t>个月，</w:t>
      </w:r>
      <w:r>
        <w:rPr>
          <w:rFonts w:hint="default" w:ascii="Times New Roman" w:hAnsi="Times New Roman" w:cs="Times New Roman"/>
          <w:highlight w:val="none"/>
          <w:lang w:val="en-US" w:eastAsia="zh-CN"/>
        </w:rPr>
        <w:t>从第一年1月份开始，至当年8月底结束</w:t>
      </w:r>
      <w:r>
        <w:rPr>
          <w:rFonts w:hint="default" w:ascii="Times New Roman" w:hAnsi="Times New Roman" w:cs="Times New Roman"/>
          <w:sz w:val="24"/>
          <w:highlight w:val="none"/>
        </w:rPr>
        <w:t>。</w:t>
      </w:r>
    </w:p>
    <w:p>
      <w:pPr>
        <w:pStyle w:val="3"/>
        <w:bidi w:val="0"/>
        <w:rPr>
          <w:rFonts w:hint="default" w:ascii="Times New Roman" w:hAnsi="Times New Roman" w:cs="Times New Roman"/>
          <w:highlight w:val="none"/>
        </w:rPr>
      </w:pPr>
      <w:bookmarkStart w:id="208" w:name="_Toc361592771"/>
      <w:bookmarkStart w:id="209" w:name="_Toc362250780"/>
      <w:bookmarkStart w:id="210" w:name="_Toc330752903"/>
      <w:bookmarkStart w:id="211" w:name="_Toc31775"/>
      <w:bookmarkStart w:id="212" w:name="_Toc5279665"/>
      <w:bookmarkStart w:id="213" w:name="_Toc533846114"/>
      <w:bookmarkStart w:id="214" w:name="_Toc333864120"/>
      <w:bookmarkStart w:id="215" w:name="_Toc3308157"/>
      <w:bookmarkStart w:id="216" w:name="_Toc17668"/>
      <w:bookmarkStart w:id="217" w:name="_Toc272478617"/>
      <w:bookmarkStart w:id="218" w:name="_Toc444183856"/>
      <w:bookmarkStart w:id="219" w:name="_Toc5283783"/>
      <w:r>
        <w:rPr>
          <w:rFonts w:hint="default" w:ascii="Times New Roman" w:hAnsi="Times New Roman" w:cs="Times New Roman"/>
          <w:highlight w:val="none"/>
        </w:rPr>
        <w:t>工程环境影响</w:t>
      </w:r>
      <w:bookmarkEnd w:id="208"/>
      <w:bookmarkEnd w:id="209"/>
      <w:bookmarkEnd w:id="210"/>
      <w:bookmarkEnd w:id="211"/>
      <w:bookmarkEnd w:id="212"/>
      <w:bookmarkEnd w:id="213"/>
      <w:bookmarkEnd w:id="214"/>
      <w:bookmarkEnd w:id="215"/>
      <w:bookmarkEnd w:id="216"/>
      <w:bookmarkEnd w:id="217"/>
      <w:bookmarkEnd w:id="218"/>
      <w:bookmarkEnd w:id="219"/>
    </w:p>
    <w:p>
      <w:pPr>
        <w:pStyle w:val="4"/>
        <w:bidi w:val="0"/>
        <w:rPr>
          <w:rFonts w:hint="default" w:ascii="Times New Roman" w:hAnsi="Times New Roman" w:cs="Times New Roman"/>
          <w:highlight w:val="none"/>
        </w:rPr>
      </w:pPr>
      <w:bookmarkStart w:id="220" w:name="_Toc272478539"/>
      <w:bookmarkStart w:id="221" w:name="_Toc272478618"/>
      <w:bookmarkStart w:id="222" w:name="_Toc361592772"/>
      <w:r>
        <w:rPr>
          <w:rFonts w:hint="default" w:ascii="Times New Roman" w:hAnsi="Times New Roman" w:cs="Times New Roman"/>
          <w:highlight w:val="none"/>
        </w:rPr>
        <w:t>声环境影响</w:t>
      </w:r>
      <w:bookmarkEnd w:id="220"/>
      <w:bookmarkEnd w:id="221"/>
      <w:bookmarkEnd w:id="222"/>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（1）声环境敏感目标</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本工程</w:t>
      </w:r>
      <w:r>
        <w:rPr>
          <w:rFonts w:hint="default" w:ascii="Times New Roman" w:hAnsi="Times New Roman" w:cs="Times New Roman"/>
          <w:sz w:val="24"/>
          <w:highlight w:val="none"/>
          <w:lang w:val="zh-CN"/>
        </w:rPr>
        <w:t>评价范围内敏感点为管阳镇区、福鼎八中、福鼎十二中、章边村部、章边村、广化村、七浦村、乾头村、元潭村、溪头村、徐陈村、西阳村、天竹村、缙阳村等。多数为管线穿越区域，与本项目的位置关系详</w:t>
      </w:r>
      <w:r>
        <w:rPr>
          <w:rFonts w:hint="default" w:ascii="Times New Roman" w:hAnsi="Times New Roman" w:cs="Times New Roman"/>
          <w:sz w:val="24"/>
          <w:highlight w:val="none"/>
        </w:rPr>
        <w:t>见</w:t>
      </w:r>
      <w:r>
        <w:rPr>
          <w:rFonts w:hint="default" w:ascii="Times New Roman" w:hAnsi="Times New Roman" w:cs="Times New Roman"/>
          <w:sz w:val="24"/>
          <w:highlight w:val="none"/>
        </w:rPr>
        <w:fldChar w:fldCharType="begin"/>
      </w:r>
      <w:r>
        <w:rPr>
          <w:rFonts w:hint="default" w:ascii="Times New Roman" w:hAnsi="Times New Roman" w:cs="Times New Roman"/>
          <w:sz w:val="24"/>
          <w:highlight w:val="none"/>
        </w:rPr>
        <w:instrText xml:space="preserve"> REF _Ref26025 \n \h </w:instrText>
      </w:r>
      <w:r>
        <w:rPr>
          <w:rFonts w:hint="default" w:ascii="Times New Roman" w:hAnsi="Times New Roman" w:cs="Times New Roman"/>
          <w:sz w:val="24"/>
          <w:highlight w:val="none"/>
        </w:rPr>
        <w:fldChar w:fldCharType="separate"/>
      </w:r>
      <w:r>
        <w:rPr>
          <w:rFonts w:hint="default" w:ascii="Times New Roman" w:hAnsi="Times New Roman" w:cs="Times New Roman"/>
          <w:sz w:val="24"/>
          <w:highlight w:val="none"/>
        </w:rPr>
        <w:t>表1.7-1</w:t>
      </w:r>
      <w:r>
        <w:rPr>
          <w:rFonts w:hint="default" w:ascii="Times New Roman" w:hAnsi="Times New Roman" w:cs="Times New Roman"/>
          <w:sz w:val="24"/>
          <w:highlight w:val="none"/>
        </w:rPr>
        <w:fldChar w:fldCharType="end"/>
      </w:r>
      <w:r>
        <w:rPr>
          <w:rFonts w:hint="default" w:ascii="Times New Roman" w:hAnsi="Times New Roman" w:cs="Times New Roman"/>
          <w:sz w:val="24"/>
          <w:highlight w:val="none"/>
        </w:rPr>
        <w:t>。</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（2）声环境质量现状</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根据噪声现状监测结果，</w:t>
      </w:r>
      <w:r>
        <w:rPr>
          <w:rFonts w:hint="default" w:ascii="Times New Roman" w:hAnsi="Times New Roman" w:cs="Times New Roman"/>
          <w:sz w:val="24"/>
          <w:szCs w:val="21"/>
          <w:highlight w:val="none"/>
          <w:lang w:eastAsia="zh-CN"/>
        </w:rPr>
        <w:t>本项目所在区域及管道沿线声环境质量较好，</w:t>
      </w:r>
      <w:r>
        <w:rPr>
          <w:rFonts w:hint="default" w:ascii="Times New Roman" w:hAnsi="Times New Roman" w:cs="Times New Roman"/>
          <w:sz w:val="24"/>
          <w:szCs w:val="21"/>
          <w:highlight w:val="none"/>
        </w:rPr>
        <w:t>昼、夜间声环境监测值均能满足《声环境质量标准》（GB3096-2008）中2类标准。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（3）噪声影响</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本项目取水工程周边无敏感目标；管阳</w:t>
      </w:r>
      <w:r>
        <w:rPr>
          <w:rFonts w:hint="default" w:ascii="Times New Roman" w:hAnsi="Times New Roman" w:cs="Times New Roman"/>
          <w:sz w:val="24"/>
          <w:szCs w:val="21"/>
          <w:highlight w:val="none"/>
          <w:lang w:val="en-US" w:eastAsia="zh-CN"/>
        </w:rPr>
        <w:t>片区和西阳片区</w:t>
      </w:r>
      <w:r>
        <w:rPr>
          <w:rFonts w:hint="default" w:ascii="Times New Roman" w:hAnsi="Times New Roman" w:cs="Times New Roman"/>
          <w:sz w:val="24"/>
          <w:szCs w:val="21"/>
          <w:highlight w:val="none"/>
        </w:rPr>
        <w:t>供</w:t>
      </w:r>
      <w:r>
        <w:rPr>
          <w:rFonts w:hint="default" w:ascii="Times New Roman" w:hAnsi="Times New Roman" w:cs="Times New Roman"/>
          <w:sz w:val="24"/>
          <w:szCs w:val="21"/>
          <w:highlight w:val="none"/>
          <w:lang w:val="en-US" w:eastAsia="zh-CN"/>
        </w:rPr>
        <w:t>配</w:t>
      </w:r>
      <w:r>
        <w:rPr>
          <w:rFonts w:hint="default" w:ascii="Times New Roman" w:hAnsi="Times New Roman" w:cs="Times New Roman"/>
          <w:sz w:val="24"/>
          <w:szCs w:val="21"/>
          <w:highlight w:val="none"/>
        </w:rPr>
        <w:t>水管道入城区域沿线分布有较多的居民，且均从这些居住区穿越，供水管道施工噪声对周边敏感点产生的影响较大，施工噪声主要影响沿线住户，对后排住户的影响较小。施工车辆运输道路基本利用现有道路，土石方运输产生的噪声对周边居民区影响较大。因此，通过采取设置移动式声屏障、禁止午间</w:t>
      </w:r>
      <w:r>
        <w:rPr>
          <w:rFonts w:hint="default" w:ascii="Times New Roman" w:hAnsi="Times New Roman" w:cs="Times New Roman"/>
          <w:sz w:val="24"/>
          <w:szCs w:val="21"/>
          <w:highlight w:val="none"/>
          <w:lang w:eastAsia="zh-CN"/>
        </w:rPr>
        <w:t>和夜间</w:t>
      </w:r>
      <w:r>
        <w:rPr>
          <w:rFonts w:hint="default" w:ascii="Times New Roman" w:hAnsi="Times New Roman" w:cs="Times New Roman"/>
          <w:sz w:val="24"/>
          <w:szCs w:val="21"/>
          <w:highlight w:val="none"/>
        </w:rPr>
        <w:t>施工等措施，能最大限度的降低噪声对沿线居民的影响。</w:t>
      </w:r>
      <w:r>
        <w:rPr>
          <w:rFonts w:hint="default" w:ascii="Times New Roman" w:hAnsi="Times New Roman" w:cs="Times New Roman"/>
          <w:sz w:val="24"/>
          <w:szCs w:val="21"/>
          <w:highlight w:val="none"/>
          <w:lang w:eastAsia="zh-CN"/>
        </w:rPr>
        <w:t>并要求</w:t>
      </w:r>
      <w:r>
        <w:rPr>
          <w:rFonts w:hint="default" w:ascii="Times New Roman" w:hAnsi="Times New Roman" w:cs="Times New Roman"/>
          <w:sz w:val="24"/>
          <w:szCs w:val="21"/>
          <w:highlight w:val="none"/>
        </w:rPr>
        <w:t>施工单位对车辆进行定期保养和维护，在行驶至居民区路段时对施工车辆采取禁鸣管理。随着工程竣工，施工噪声的影响将不再存在，施工噪声对环境的不利影响是暂时的、短期的。</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（4）声环境保护措施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有关法规，加强施工管理，严格执行《建筑施工场界环境噪声排放标准》（GB12523-2011），落实施工方案有关环保措施，合理安排施工时间；合理安排好施工时间和施工场所布局，对设备定期保养，严格操作规范，土方工程尽量采取多台设备同时作业，缩短影响时间；施工运输车辆进出场地应安排在远离居民住宅区的一侧，途径村庄等声环境敏感点时应减速慢行、禁鸣喇叭；</w:t>
      </w:r>
      <w:r>
        <w:rPr>
          <w:rFonts w:hint="default" w:ascii="Times New Roman" w:hAnsi="Times New Roman" w:cs="Times New Roman"/>
          <w:sz w:val="24"/>
          <w:highlight w:val="none"/>
          <w:lang w:eastAsia="zh-CN"/>
        </w:rPr>
        <w:t>施工期</w:t>
      </w:r>
      <w:r>
        <w:rPr>
          <w:rFonts w:hint="default" w:ascii="Times New Roman" w:hAnsi="Times New Roman" w:cs="Times New Roman"/>
          <w:sz w:val="24"/>
          <w:highlight w:val="none"/>
        </w:rPr>
        <w:t>的噪声主要来自施工机械和运输车辆。低噪型运载车在行驶中的噪声声级比同类水平其它车辆约降低10dB~15dB，不同型号的压路机噪声声级可相差5dB，施工单位必须选用符合国家有关标准的施工机具和运输车辆，尽量选用低噪声的施工机械和工艺，振动较大的固定机械设备应加装减振机座，固定强噪声源应考虑加装隔声罩，同时应加强各类施工设备的维护和保养，保持其良好的运转，以便从根本上降低噪声源强。</w:t>
      </w:r>
    </w:p>
    <w:p>
      <w:pPr>
        <w:pStyle w:val="4"/>
        <w:bidi w:val="0"/>
        <w:rPr>
          <w:rFonts w:hint="default" w:ascii="Times New Roman" w:hAnsi="Times New Roman" w:cs="Times New Roman"/>
          <w:highlight w:val="none"/>
        </w:rPr>
      </w:pPr>
      <w:bookmarkStart w:id="223" w:name="_Toc272478620"/>
      <w:bookmarkStart w:id="224" w:name="_Toc361592773"/>
      <w:bookmarkStart w:id="225" w:name="_Toc272478541"/>
      <w:r>
        <w:rPr>
          <w:rFonts w:hint="default" w:ascii="Times New Roman" w:hAnsi="Times New Roman" w:cs="Times New Roman"/>
          <w:highlight w:val="none"/>
        </w:rPr>
        <w:t>水环境影响</w:t>
      </w:r>
      <w:bookmarkEnd w:id="223"/>
      <w:bookmarkEnd w:id="224"/>
      <w:bookmarkEnd w:id="225"/>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（1）水环境保护目标</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以可能受本工程施工和营运活动影响的水体水质作为水环境保护目标，以确保各类水体水质符合环境功能区的要求，上安水库</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龙井溪</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天竹水库</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管溪等水体是主要敏感目标。</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（2）水环境质量现状</w:t>
      </w:r>
    </w:p>
    <w:p>
      <w:pPr>
        <w:keepNext w:val="0"/>
        <w:keepLines w:val="0"/>
        <w:pageBreakBefore w:val="0"/>
        <w:widowControl w:val="0"/>
        <w:tabs>
          <w:tab w:val="left" w:pos="1980"/>
          <w:tab w:val="left" w:pos="3825"/>
          <w:tab w:val="left" w:pos="4680"/>
        </w:tabs>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根据现状监测结果，上安水库除总磷、总氮</w:t>
      </w:r>
      <w:r>
        <w:rPr>
          <w:rFonts w:hint="default" w:ascii="Times New Roman" w:hAnsi="Times New Roman" w:cs="Times New Roman"/>
          <w:sz w:val="24"/>
          <w:szCs w:val="21"/>
          <w:highlight w:val="none"/>
          <w:lang w:eastAsia="zh-CN"/>
        </w:rPr>
        <w:t>、粪大肠菌群</w:t>
      </w:r>
      <w:r>
        <w:rPr>
          <w:rFonts w:hint="default" w:ascii="Times New Roman" w:hAnsi="Times New Roman" w:cs="Times New Roman"/>
          <w:sz w:val="24"/>
          <w:szCs w:val="21"/>
          <w:highlight w:val="none"/>
        </w:rPr>
        <w:t>略有超标外，其它指标均能符合《地表水环境质量标准》（GB3838-2002）</w:t>
      </w:r>
      <w:r>
        <w:rPr>
          <w:rFonts w:hint="default" w:ascii="Times New Roman" w:hAnsi="Times New Roman" w:cs="Times New Roman"/>
          <w:sz w:val="24"/>
          <w:szCs w:val="21"/>
          <w:highlight w:val="none"/>
          <w:lang w:eastAsia="zh-CN"/>
        </w:rPr>
        <w:t>Ⅱ</w:t>
      </w:r>
      <w:r>
        <w:rPr>
          <w:rFonts w:hint="default" w:ascii="Times New Roman" w:hAnsi="Times New Roman" w:cs="Times New Roman"/>
          <w:sz w:val="24"/>
          <w:szCs w:val="21"/>
          <w:highlight w:val="none"/>
        </w:rPr>
        <w:t>类标准（总磷执行湖库标准）</w:t>
      </w:r>
      <w:r>
        <w:rPr>
          <w:rFonts w:hint="default" w:ascii="Times New Roman" w:hAnsi="Times New Roman" w:cs="Times New Roman"/>
          <w:sz w:val="24"/>
          <w:szCs w:val="21"/>
          <w:highlight w:val="none"/>
          <w:lang w:eastAsia="zh-CN"/>
        </w:rPr>
        <w:t>；</w:t>
      </w:r>
      <w:r>
        <w:rPr>
          <w:rFonts w:hint="default" w:ascii="Times New Roman" w:hAnsi="Times New Roman" w:cs="Times New Roman"/>
          <w:sz w:val="24"/>
          <w:szCs w:val="21"/>
          <w:highlight w:val="none"/>
        </w:rPr>
        <w:t>天竹水库与龙井溪的水质现状各类指标监测值均达到《地表水环境质量标准》（GB3838-2002）中的Ⅲ类水质要求，总体水质现状符合水体功能区需求。由此可以说明本工程涉及的</w:t>
      </w:r>
      <w:r>
        <w:rPr>
          <w:rFonts w:hint="default" w:ascii="Times New Roman" w:hAnsi="Times New Roman" w:cs="Times New Roman"/>
          <w:sz w:val="24"/>
          <w:szCs w:val="21"/>
          <w:highlight w:val="none"/>
          <w:lang w:eastAsia="zh-CN"/>
        </w:rPr>
        <w:t>周边水域</w:t>
      </w:r>
      <w:r>
        <w:rPr>
          <w:rFonts w:hint="default" w:ascii="Times New Roman" w:hAnsi="Times New Roman" w:cs="Times New Roman"/>
          <w:sz w:val="24"/>
          <w:szCs w:val="21"/>
          <w:highlight w:val="none"/>
        </w:rPr>
        <w:t>的水环境质量现状较好。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（3）水环境影响分析</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lang w:eastAsia="zh-CN"/>
        </w:rPr>
      </w:pPr>
      <w:r>
        <w:rPr>
          <w:rFonts w:hint="default" w:ascii="Times New Roman" w:hAnsi="Times New Roman" w:cs="Times New Roman"/>
          <w:sz w:val="24"/>
          <w:szCs w:val="21"/>
          <w:highlight w:val="none"/>
          <w:lang w:eastAsia="zh-CN"/>
        </w:rPr>
        <w:t>①污染影响分析</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施工期水环境问题包括施工人员生活污水和施工生产废水排放，</w:t>
      </w:r>
      <w:r>
        <w:rPr>
          <w:rFonts w:hint="default" w:ascii="Times New Roman" w:hAnsi="Times New Roman" w:cs="Times New Roman"/>
          <w:sz w:val="24"/>
          <w:szCs w:val="21"/>
          <w:highlight w:val="none"/>
          <w:lang w:eastAsia="zh-CN"/>
        </w:rPr>
        <w:t>项目施工</w:t>
      </w:r>
      <w:r>
        <w:rPr>
          <w:rFonts w:hint="default" w:ascii="Times New Roman" w:hAnsi="Times New Roman" w:cs="Times New Roman"/>
          <w:sz w:val="24"/>
          <w:szCs w:val="21"/>
          <w:highlight w:val="none"/>
        </w:rPr>
        <w:t>员工多数聘用当地居民</w:t>
      </w:r>
      <w:r>
        <w:rPr>
          <w:rFonts w:hint="default" w:ascii="Times New Roman" w:hAnsi="Times New Roman" w:cs="Times New Roman"/>
          <w:sz w:val="24"/>
          <w:szCs w:val="21"/>
          <w:highlight w:val="none"/>
          <w:lang w:eastAsia="zh-CN"/>
        </w:rPr>
        <w:t>，设置的少量</w:t>
      </w:r>
      <w:r>
        <w:rPr>
          <w:rFonts w:hint="default" w:ascii="Times New Roman" w:hAnsi="Times New Roman" w:cs="Times New Roman"/>
          <w:sz w:val="24"/>
          <w:szCs w:val="21"/>
          <w:highlight w:val="none"/>
        </w:rPr>
        <w:t>施工营地可租用周边村庄闲置房，生活废水依托当地现有污水处理设施排放，对周边水体的影响不大。</w:t>
      </w:r>
    </w:p>
    <w:p>
      <w:pPr>
        <w:spacing w:line="480" w:lineRule="exact"/>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施工期生产废水包括土石方填筑和混凝土养护废水、施工产生泥浆水等，主要含SS等。混凝土浇筑养护用水大多被吸收或蒸发，故其废水排放污染可忽略不计；泥浆水、主要污染物是含有高浓度的泥沙，施工期间产生的废水经临时排水渠引流至施工场地设置的沉淀池，经沉淀后循环回用或作为场地抑尘洒水用水，不外排，因此对周边水环境产生影响较小。</w:t>
      </w:r>
    </w:p>
    <w:p>
      <w:pPr>
        <w:tabs>
          <w:tab w:val="left" w:pos="1980"/>
          <w:tab w:val="left" w:pos="3825"/>
          <w:tab w:val="left" w:pos="4680"/>
        </w:tabs>
        <w:spacing w:line="360" w:lineRule="auto"/>
        <w:ind w:firstLine="480" w:firstLineChars="200"/>
        <w:jc w:val="left"/>
        <w:rPr>
          <w:rFonts w:hint="default" w:ascii="Times New Roman" w:hAnsi="Times New Roman" w:eastAsia="宋体" w:cs="Times New Roman"/>
          <w:sz w:val="24"/>
          <w:szCs w:val="21"/>
          <w:highlight w:val="none"/>
          <w:lang w:eastAsia="zh-CN"/>
        </w:rPr>
      </w:pPr>
      <w:r>
        <w:rPr>
          <w:rFonts w:hint="default" w:ascii="Times New Roman" w:hAnsi="Times New Roman" w:eastAsia="宋体" w:cs="Times New Roman"/>
          <w:sz w:val="24"/>
          <w:szCs w:val="21"/>
          <w:highlight w:val="none"/>
          <w:lang w:eastAsia="zh-CN"/>
        </w:rPr>
        <w:t>②水文要素影响分析</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a、取水对下游径流量的影响</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项目建成后，取水工程将对取水口下游径流量产生一定影响，但均能满足生态流量需求，在可接受范围内。</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b、取水对下游河势的影响</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在项目建设前，</w:t>
      </w:r>
      <w:r>
        <w:rPr>
          <w:rFonts w:hint="default" w:ascii="Times New Roman" w:hAnsi="Times New Roman" w:cs="Times New Roman"/>
          <w:sz w:val="24"/>
          <w:highlight w:val="none"/>
          <w:lang w:val="en-US" w:eastAsia="zh-CN"/>
        </w:rPr>
        <w:t>上安水库</w:t>
      </w:r>
      <w:r>
        <w:rPr>
          <w:rFonts w:hint="default" w:ascii="Times New Roman" w:hAnsi="Times New Roman" w:eastAsia="宋体" w:cs="Times New Roman"/>
          <w:sz w:val="24"/>
          <w:highlight w:val="none"/>
          <w:lang w:val="en-US" w:eastAsia="zh-CN"/>
        </w:rPr>
        <w:t>仅有4个月会产生下泄量，且下泄量不大，因此管阳水厂取水对下游河道淤积情况的影响很小；西阳水厂从龙井溪山涧水取水，取水量占龙井溪山涧水多年平均流量的23%，将略微减小龙井溪丰水期的山洪流量，小幅度地减少山洪冲刷带来的泥沙。</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c、对盐水入侵的影响</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项目取水工程将减小丰水期的水库及龙井溪山涧取水口下泄山洪流量。在丰水期的雨季，</w:t>
      </w:r>
      <w:r>
        <w:rPr>
          <w:rFonts w:hint="default" w:ascii="Times New Roman" w:hAnsi="Times New Roman" w:cs="Times New Roman"/>
          <w:sz w:val="24"/>
          <w:highlight w:val="none"/>
          <w:lang w:val="en-US" w:eastAsia="zh-CN"/>
        </w:rPr>
        <w:t>上安水库</w:t>
      </w:r>
      <w:r>
        <w:rPr>
          <w:rFonts w:hint="default" w:ascii="Times New Roman" w:hAnsi="Times New Roman" w:eastAsia="宋体" w:cs="Times New Roman"/>
          <w:sz w:val="24"/>
          <w:highlight w:val="none"/>
          <w:lang w:val="en-US" w:eastAsia="zh-CN"/>
        </w:rPr>
        <w:t>、天竹水库及龙井溪山涧水流量与水位将大幅增加，令盐水后退。考虑到天竹水库的集雨面积1.44km²、</w:t>
      </w:r>
      <w:r>
        <w:rPr>
          <w:rFonts w:hint="default" w:ascii="Times New Roman" w:hAnsi="Times New Roman" w:cs="Times New Roman"/>
          <w:sz w:val="24"/>
          <w:highlight w:val="none"/>
          <w:lang w:val="en-US" w:eastAsia="zh-CN"/>
        </w:rPr>
        <w:t>上安水库</w:t>
      </w:r>
      <w:r>
        <w:rPr>
          <w:rFonts w:hint="default" w:ascii="Times New Roman" w:hAnsi="Times New Roman" w:eastAsia="宋体" w:cs="Times New Roman"/>
          <w:sz w:val="24"/>
          <w:highlight w:val="none"/>
          <w:lang w:val="en-US" w:eastAsia="zh-CN"/>
        </w:rPr>
        <w:t>的集雨面积1.61km²、龙井溪山涧水的集雨面积4.4km²，取水水源集雨面积共7.45km²，对比管阳溪的集雨面积125km²，取水水源约占据管阳溪面积的5.96%，取水工程减小的山洪流量对入海口咸水入侵态势的影响十分有限。</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d、对水质的影响</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项目取水工程对水质的影响体现在减少下泄流量影响其自身降解能力，由于项目取水工程占管阳溪多年平均流量的1.5%，项目取水工程对管阳溪的洁净效果影响较小，对管阳溪水质基本无影响。</w:t>
      </w:r>
    </w:p>
    <w:p>
      <w:pPr>
        <w:spacing w:line="480" w:lineRule="exact"/>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（3）水污染防治对策</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施工场地处设置沉淀池和隔油沉淀池等生产废水处理装置，处理施工过程产生的冲洗废水；</w:t>
      </w:r>
      <w:r>
        <w:rPr>
          <w:rFonts w:hint="default" w:ascii="Times New Roman" w:hAnsi="Times New Roman" w:cs="Times New Roman"/>
          <w:sz w:val="24"/>
          <w:szCs w:val="21"/>
          <w:highlight w:val="none"/>
        </w:rPr>
        <w:t>施工场内材料堆放点采取围挡措施，并设置排水沟对雨水进行导排；</w:t>
      </w:r>
      <w:r>
        <w:rPr>
          <w:rFonts w:hint="default" w:ascii="Times New Roman" w:hAnsi="Times New Roman" w:cs="Times New Roman"/>
          <w:sz w:val="24"/>
          <w:highlight w:val="none"/>
        </w:rPr>
        <w:t>本工程租用当地闲置民房作为施工营地，施工人员产生的生活污水可依托当地现有的处置方式进行处理；对施工场地内的建筑材料进行必要的遮盖，避免被雨水冲刷；施工机械、汽车等冲洗和保养应做到选择合适的地点进行，同时要防止油料的泄漏，避免对附近地表水体造成影响，施工过程产生的施工废水经各隔油沉淀处理后全部回用于施工场地，禁止外排周边水体。</w:t>
      </w:r>
    </w:p>
    <w:p>
      <w:pPr>
        <w:pStyle w:val="4"/>
        <w:bidi w:val="0"/>
        <w:rPr>
          <w:rFonts w:hint="default" w:ascii="Times New Roman" w:hAnsi="Times New Roman" w:cs="Times New Roman"/>
          <w:highlight w:val="none"/>
        </w:rPr>
      </w:pPr>
      <w:bookmarkStart w:id="226" w:name="_Toc272478540"/>
      <w:bookmarkStart w:id="227" w:name="_Toc272478619"/>
      <w:bookmarkStart w:id="228" w:name="_Toc361592774"/>
      <w:r>
        <w:rPr>
          <w:rFonts w:hint="default" w:ascii="Times New Roman" w:hAnsi="Times New Roman" w:cs="Times New Roman"/>
          <w:highlight w:val="none"/>
        </w:rPr>
        <w:t>生态环境影响</w:t>
      </w:r>
      <w:bookmarkEnd w:id="226"/>
      <w:bookmarkEnd w:id="227"/>
      <w:bookmarkEnd w:id="228"/>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（1）生态环境敏感目标</w:t>
      </w:r>
    </w:p>
    <w:p>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lang w:val="zh-CN"/>
        </w:rPr>
        <w:t>项目生态敏感目标主要为项目临时用地红线及沿线</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val="zh-CN"/>
        </w:rPr>
        <w:t>00m范围内的土壤、植被等陆域和水域生态。</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（2）生态环境现状</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通过实地踏勘、调查，本项目评价范围内的林地植被主要以毛竹、马尾松林、杉木林、枫香树林等居多，灌草丛主要是芒萁、野葛、五节芒等，农地以种植茶叶为主。</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项目区评价区范围内现存的野生动物资源以常见种和广布种为主，大型野生动物已十分罕见，国家级和省级重点保护野生动物种类较少。</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（3）生态环境影响</w:t>
      </w:r>
    </w:p>
    <w:p>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sz w:val="24"/>
          <w:highlight w:val="none"/>
          <w:lang w:val="zh-CN"/>
        </w:rPr>
        <w:t>①占地影响分析</w:t>
      </w:r>
    </w:p>
    <w:p>
      <w:pPr>
        <w:spacing w:line="360" w:lineRule="auto"/>
        <w:ind w:firstLine="480" w:firstLineChars="200"/>
        <w:rPr>
          <w:rFonts w:hint="default" w:ascii="Times New Roman" w:hAnsi="Times New Roman" w:cs="Times New Roman"/>
          <w:sz w:val="24"/>
          <w:highlight w:val="none"/>
          <w:lang w:val="zh-CN"/>
        </w:rPr>
      </w:pPr>
      <w:r>
        <w:rPr>
          <w:rFonts w:hint="default" w:ascii="Times New Roman" w:hAnsi="Times New Roman" w:cs="Times New Roman"/>
          <w:kern w:val="0"/>
          <w:sz w:val="24"/>
          <w:highlight w:val="none"/>
          <w:lang w:val="zh-CN"/>
        </w:rPr>
        <w:t>本项目占地主要为永久占地和临时占地两部分，水厂永久征地16.3亩、泵站永久征地1亩，配套水管网临时占地240亩（其中未利用地240亩）</w:t>
      </w:r>
      <w:r>
        <w:rPr>
          <w:rFonts w:hint="default" w:ascii="Times New Roman" w:hAnsi="Times New Roman" w:cs="Times New Roman"/>
          <w:kern w:val="0"/>
          <w:sz w:val="24"/>
          <w:highlight w:val="none"/>
          <w:lang w:val="zh-CN"/>
        </w:rPr>
        <w:t>。</w:t>
      </w:r>
      <w:r>
        <w:rPr>
          <w:rFonts w:hint="default" w:ascii="Times New Roman" w:hAnsi="Times New Roman" w:cs="Times New Roman"/>
          <w:sz w:val="24"/>
          <w:highlight w:val="none"/>
          <w:lang w:val="zh-CN"/>
        </w:rPr>
        <w:t>在下一阶段设计中应高度重视工程占地问题，合理布设结构物，从而尽可能的节约用地。</w:t>
      </w:r>
    </w:p>
    <w:p>
      <w:pPr>
        <w:spacing w:line="480" w:lineRule="exact"/>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②对植物的影响分析</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拟建项目的建设造成占地范围用地性质的改变，部分植被将永久消失。根据现场调查结果，占地范围内的植物物种以林地植被以马尾松、杂竹、杉木林为主，草本主要是芒萁、野葛、五节芒等。农地以种植茶叶为主，这些植物都是当地普通的、周边常见的植物，未发现特有种以及窄域分布种，因此项目的建设对区域植物多样性的影响甚微。</w:t>
      </w:r>
      <w:r>
        <w:rPr>
          <w:rFonts w:hint="default" w:ascii="Times New Roman" w:hAnsi="Times New Roman" w:cs="Times New Roman"/>
          <w:sz w:val="24"/>
          <w:highlight w:val="none"/>
        </w:rPr>
        <w:t>另一方面，临时占地，后期通过临时用地的恢复，</w:t>
      </w:r>
      <w:r>
        <w:rPr>
          <w:rFonts w:hint="default" w:ascii="Times New Roman" w:hAnsi="Times New Roman" w:cs="Times New Roman"/>
          <w:sz w:val="24"/>
          <w:highlight w:val="none"/>
        </w:rPr>
        <w:t>可以一定程度上弥补损失的生物量，不会对生态系统产生明显的影响。</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③对动物的影响分析</w:t>
      </w:r>
    </w:p>
    <w:p>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拟建项目在施工期对野生动物的影响主要表现为施工人员的施工活动、生活活动对动物栖息地生境的干扰和破坏；施工机械噪声对周边野生动物产生干扰；临近溪流路段的施工对两栖类和爬行类小生境产生一定的影响，工程建成后，随着植被的恢复，生态环境的好转，人为干扰逐渐减少，</w:t>
      </w:r>
      <w:r>
        <w:rPr>
          <w:rFonts w:hint="default" w:ascii="Times New Roman" w:hAnsi="Times New Roman" w:cs="Times New Roman"/>
          <w:sz w:val="24"/>
          <w:highlight w:val="none"/>
          <w:lang w:eastAsia="zh-CN"/>
        </w:rPr>
        <w:t>施工期间受到惊扰</w:t>
      </w:r>
      <w:r>
        <w:rPr>
          <w:rFonts w:hint="default" w:ascii="Times New Roman" w:hAnsi="Times New Roman" w:cs="Times New Roman"/>
          <w:sz w:val="24"/>
          <w:highlight w:val="none"/>
        </w:rPr>
        <w:t>外迁的动物将会陆续回到原来的栖息地。</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④</w:t>
      </w:r>
      <w:r>
        <w:rPr>
          <w:rFonts w:hint="default" w:ascii="Times New Roman" w:hAnsi="Times New Roman" w:cs="Times New Roman"/>
          <w:sz w:val="24"/>
          <w:highlight w:val="none"/>
        </w:rPr>
        <w:t>对</w:t>
      </w:r>
      <w:r>
        <w:rPr>
          <w:rFonts w:hint="default" w:ascii="Times New Roman" w:hAnsi="Times New Roman" w:cs="Times New Roman"/>
          <w:sz w:val="24"/>
          <w:highlight w:val="none"/>
          <w:lang w:eastAsia="zh-CN"/>
        </w:rPr>
        <w:t>农业生态</w:t>
      </w:r>
      <w:r>
        <w:rPr>
          <w:rFonts w:hint="default" w:ascii="Times New Roman" w:hAnsi="Times New Roman" w:cs="Times New Roman"/>
          <w:sz w:val="24"/>
          <w:highlight w:val="none"/>
        </w:rPr>
        <w:t>的影响分析</w:t>
      </w:r>
    </w:p>
    <w:p>
      <w:pPr>
        <w:snapToGrid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本工程占地</w:t>
      </w:r>
      <w:r>
        <w:rPr>
          <w:rFonts w:hint="default" w:ascii="Times New Roman" w:hAnsi="Times New Roman" w:cs="Times New Roman"/>
          <w:sz w:val="24"/>
          <w:highlight w:val="none"/>
          <w:lang w:val="en-US" w:eastAsia="zh-CN"/>
        </w:rPr>
        <w:t>主要为</w:t>
      </w:r>
      <w:r>
        <w:rPr>
          <w:rFonts w:hint="default" w:ascii="Times New Roman" w:hAnsi="Times New Roman" w:eastAsia="宋体" w:cs="Times New Roman"/>
          <w:sz w:val="24"/>
          <w:highlight w:val="none"/>
        </w:rPr>
        <w:t>管线临时用地，且不占用基本保护农田。为了尽量减少因工程占地对农业土地利用和农民生活质量短期内的不利影响，建设部门应严格执行国家有关“土地复垦”的规定，在施工结束时对各类临时占地切实做好避让措施。在采取相应的措施后，本项目对土地利用的影响不大。</w:t>
      </w:r>
    </w:p>
    <w:p>
      <w:pPr>
        <w:tabs>
          <w:tab w:val="left" w:pos="1980"/>
          <w:tab w:val="left" w:pos="3825"/>
          <w:tab w:val="left" w:pos="4680"/>
        </w:tabs>
        <w:spacing w:line="360" w:lineRule="auto"/>
        <w:ind w:firstLine="480" w:firstLineChars="200"/>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（4）生态保护措施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严格按照设计文件确定征占地范围，进行地表植被的清理工作；对于表土临时堆置区，应按“先拦后弃”的原则进行拦渣墙、截、排水沟等建设后，方可投入使用；各类施工活动要严格限定在用地范围内，严禁随意压占、扰动和破坏地表；施工开挖、填筑、堆置等裸露面，应采取临时拦挡、排水、沉沙、覆盖等措施；填筑土方应采取四随（随挖、随运、随填、随压）施工方法，严格控制施工期对河流水质的影响；水土保持监理、监测工作应到位；建设单位在建设施工过程中，必须加强施工队伍组织和管理，依法去除工程建设施工确需清除且准许清除的植被，力求避免发生施工区外围植被破坏，以缩小植被生态损害程度。严禁强砍林灌草丛和乱毁果树作物，严禁捕杀鸟类等野生动物，切实加强野生动植物保护；建设单位在主体工程建设施工完毕后，必须对临时占地所形成的施工临时工区闲置地和堆土场废弃地予以关闭，通过采取土地整治和复垦工程措施，可将其改造成为新的农林用地，恢复和提高土地生态服务功能。</w:t>
      </w:r>
    </w:p>
    <w:p>
      <w:pPr>
        <w:pStyle w:val="4"/>
        <w:bidi w:val="0"/>
        <w:rPr>
          <w:rFonts w:hint="default" w:ascii="Times New Roman" w:hAnsi="Times New Roman" w:cs="Times New Roman"/>
          <w:highlight w:val="none"/>
        </w:rPr>
      </w:pPr>
      <w:bookmarkStart w:id="229" w:name="_Toc272478621"/>
      <w:bookmarkStart w:id="230" w:name="_Toc272478542"/>
      <w:bookmarkStart w:id="231" w:name="_Toc361592775"/>
      <w:r>
        <w:rPr>
          <w:rFonts w:hint="default" w:ascii="Times New Roman" w:hAnsi="Times New Roman" w:cs="Times New Roman"/>
          <w:highlight w:val="none"/>
        </w:rPr>
        <w:t>环境空气影响</w:t>
      </w:r>
      <w:bookmarkEnd w:id="229"/>
      <w:bookmarkEnd w:id="230"/>
      <w:bookmarkEnd w:id="231"/>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（1）环境空气敏感目标</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同声环境敏感目标。</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（2）环境空气质量现状</w:t>
      </w:r>
    </w:p>
    <w:p>
      <w:pPr>
        <w:spacing w:line="360" w:lineRule="auto"/>
        <w:ind w:left="-77" w:leftChars="-32" w:firstLine="600" w:firstLineChars="250"/>
        <w:rPr>
          <w:rFonts w:hint="default" w:ascii="Times New Roman" w:hAnsi="Times New Roman" w:cs="Times New Roman"/>
          <w:sz w:val="24"/>
          <w:szCs w:val="21"/>
          <w:highlight w:val="none"/>
        </w:rPr>
      </w:pPr>
      <w:r>
        <w:rPr>
          <w:rFonts w:hint="default" w:ascii="Times New Roman" w:hAnsi="Times New Roman" w:cs="Times New Roman"/>
          <w:sz w:val="24"/>
          <w:highlight w:val="none"/>
        </w:rPr>
        <w:t>由福鼎市区域空气质量现状评价表的达标评价可知，SO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、NO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、PM</w:t>
      </w:r>
      <w:r>
        <w:rPr>
          <w:rFonts w:hint="default" w:ascii="Times New Roman" w:hAnsi="Times New Roman" w:cs="Times New Roman"/>
          <w:sz w:val="24"/>
          <w:highlight w:val="none"/>
          <w:vertAlign w:val="subscript"/>
        </w:rPr>
        <w:t>10</w:t>
      </w:r>
      <w:r>
        <w:rPr>
          <w:rFonts w:hint="default" w:ascii="Times New Roman" w:hAnsi="Times New Roman" w:cs="Times New Roman"/>
          <w:sz w:val="24"/>
          <w:highlight w:val="none"/>
        </w:rPr>
        <w:t>、PM</w:t>
      </w:r>
      <w:r>
        <w:rPr>
          <w:rFonts w:hint="default" w:ascii="Times New Roman" w:hAnsi="Times New Roman" w:cs="Times New Roman"/>
          <w:sz w:val="24"/>
          <w:highlight w:val="none"/>
          <w:vertAlign w:val="subscript"/>
        </w:rPr>
        <w:t>2.5</w:t>
      </w:r>
      <w:r>
        <w:rPr>
          <w:rFonts w:hint="default" w:ascii="Times New Roman" w:hAnsi="Times New Roman" w:cs="Times New Roman"/>
          <w:sz w:val="24"/>
          <w:highlight w:val="none"/>
        </w:rPr>
        <w:t>、CO、O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六项污染物全部符合《环境空气质量标准》（GB3095-2012）中的二级标准要求。</w:t>
      </w:r>
      <w:r>
        <w:rPr>
          <w:rFonts w:hint="default" w:ascii="Times New Roman" w:hAnsi="Times New Roman" w:cs="Times New Roman"/>
          <w:sz w:val="24"/>
          <w:szCs w:val="21"/>
          <w:highlight w:val="none"/>
        </w:rPr>
        <w:t>根据本项目工程分析，本工程</w:t>
      </w:r>
      <w:r>
        <w:rPr>
          <w:rFonts w:hint="default" w:ascii="Times New Roman" w:hAnsi="Times New Roman" w:cs="Times New Roman"/>
          <w:sz w:val="24"/>
          <w:szCs w:val="21"/>
          <w:highlight w:val="none"/>
          <w:lang w:eastAsia="zh-CN"/>
        </w:rPr>
        <w:t>运行期</w:t>
      </w:r>
      <w:r>
        <w:rPr>
          <w:rFonts w:hint="default" w:ascii="Times New Roman" w:hAnsi="Times New Roman" w:cs="Times New Roman"/>
          <w:sz w:val="24"/>
          <w:szCs w:val="21"/>
          <w:highlight w:val="none"/>
        </w:rPr>
        <w:t>无大气污染物产生，主要的大气污染物为施工期间产生的施工粉尘，可以PM</w:t>
      </w:r>
      <w:r>
        <w:rPr>
          <w:rFonts w:hint="default" w:ascii="Times New Roman" w:hAnsi="Times New Roman" w:cs="Times New Roman"/>
          <w:sz w:val="24"/>
          <w:szCs w:val="21"/>
          <w:highlight w:val="none"/>
          <w:vertAlign w:val="subscript"/>
        </w:rPr>
        <w:t>10</w:t>
      </w:r>
      <w:r>
        <w:rPr>
          <w:rFonts w:hint="default" w:ascii="Times New Roman" w:hAnsi="Times New Roman" w:cs="Times New Roman"/>
          <w:sz w:val="24"/>
          <w:szCs w:val="21"/>
          <w:highlight w:val="none"/>
        </w:rPr>
        <w:t>计，与本项目临近的福鼎市区，气候条件与项目所在地基本相同，可以说明项目所有区域污染物环境质量是达标的。说明本项目所在区域环境空气质量可以达到《环境空气质量标准》（GB3095-2012）二级标准，大气环境质量良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（3）环境空气影响</w:t>
      </w:r>
    </w:p>
    <w:p>
      <w:pPr>
        <w:autoSpaceDE w:val="0"/>
        <w:autoSpaceDN w:val="0"/>
        <w:adjustRightInd w:val="0"/>
        <w:snapToGrid w:val="0"/>
        <w:spacing w:line="360" w:lineRule="auto"/>
        <w:ind w:firstLine="480" w:firstLineChars="200"/>
        <w:textAlignment w:val="baseline"/>
        <w:rPr>
          <w:rFonts w:hint="default" w:ascii="Times New Roman" w:hAnsi="Times New Roman" w:cs="Times New Roman"/>
          <w:kern w:val="0"/>
          <w:sz w:val="24"/>
          <w:szCs w:val="28"/>
          <w:highlight w:val="none"/>
          <w:lang w:eastAsia="zh-TW" w:bidi="he-IL"/>
        </w:rPr>
      </w:pPr>
      <w:r>
        <w:rPr>
          <w:rFonts w:hint="default" w:ascii="Times New Roman" w:hAnsi="Times New Roman" w:cs="Times New Roman"/>
          <w:kern w:val="0"/>
          <w:sz w:val="24"/>
          <w:szCs w:val="28"/>
          <w:highlight w:val="none"/>
          <w:lang w:eastAsia="zh-TW" w:bidi="he-IL"/>
        </w:rPr>
        <w:t>施工期的主要污染物为</w:t>
      </w:r>
      <w:r>
        <w:rPr>
          <w:rFonts w:hint="default" w:ascii="Times New Roman" w:hAnsi="Times New Roman" w:cs="Times New Roman"/>
          <w:kern w:val="0"/>
          <w:sz w:val="24"/>
          <w:szCs w:val="28"/>
          <w:highlight w:val="none"/>
          <w:lang w:eastAsia="zh-CN" w:bidi="he-IL"/>
        </w:rPr>
        <w:t>水厂及管网施工产生的</w:t>
      </w:r>
      <w:r>
        <w:rPr>
          <w:rFonts w:hint="default" w:ascii="Times New Roman" w:hAnsi="Times New Roman" w:cs="Times New Roman"/>
          <w:kern w:val="0"/>
          <w:sz w:val="24"/>
          <w:szCs w:val="28"/>
          <w:highlight w:val="none"/>
          <w:lang w:eastAsia="zh-TW" w:bidi="he-IL"/>
        </w:rPr>
        <w:t>粉尘</w:t>
      </w:r>
      <w:r>
        <w:rPr>
          <w:rFonts w:hint="default" w:ascii="Times New Roman" w:hAnsi="Times New Roman" w:cs="Times New Roman"/>
          <w:sz w:val="24"/>
          <w:highlight w:val="none"/>
        </w:rPr>
        <w:t>及施工机械排放的尾气</w:t>
      </w:r>
      <w:r>
        <w:rPr>
          <w:rFonts w:hint="default" w:ascii="Times New Roman" w:hAnsi="Times New Roman" w:cs="Times New Roman"/>
          <w:kern w:val="0"/>
          <w:sz w:val="24"/>
          <w:szCs w:val="28"/>
          <w:highlight w:val="none"/>
          <w:lang w:eastAsia="zh-TW" w:bidi="he-IL"/>
        </w:rPr>
        <w:t>，对沿线环境空气质量产生一定的不利影响，主要是短期影响。</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（4）大气污染的防治措施</w:t>
      </w:r>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bookmarkStart w:id="232" w:name="_Toc272478622"/>
      <w:bookmarkStart w:id="233" w:name="_Toc272478543"/>
      <w:r>
        <w:rPr>
          <w:rFonts w:hint="default" w:ascii="Times New Roman" w:hAnsi="Times New Roman" w:cs="Times New Roman"/>
          <w:sz w:val="24"/>
          <w:szCs w:val="21"/>
          <w:highlight w:val="none"/>
        </w:rPr>
        <w:t>运输车辆的载重应符合有关规定，防止超载；运送土石方和建筑材料的车辆应按规定配置防洒装备；采用洒水防尘；建筑工地现场四周应设置施工护围；</w:t>
      </w:r>
      <w:r>
        <w:rPr>
          <w:rFonts w:hint="default" w:ascii="Times New Roman" w:hAnsi="Times New Roman" w:cs="Times New Roman"/>
          <w:sz w:val="24"/>
          <w:szCs w:val="21"/>
          <w:highlight w:val="none"/>
          <w:lang w:eastAsia="zh-CN"/>
        </w:rPr>
        <w:t>施工场地</w:t>
      </w:r>
      <w:r>
        <w:rPr>
          <w:rFonts w:hint="default" w:ascii="Times New Roman" w:hAnsi="Times New Roman" w:cs="Times New Roman"/>
          <w:sz w:val="24"/>
          <w:szCs w:val="21"/>
          <w:highlight w:val="none"/>
        </w:rPr>
        <w:t>露天堆置砂石</w:t>
      </w:r>
      <w:r>
        <w:rPr>
          <w:rFonts w:hint="default" w:ascii="Times New Roman" w:hAnsi="Times New Roman" w:cs="Times New Roman"/>
          <w:sz w:val="24"/>
          <w:szCs w:val="21"/>
          <w:highlight w:val="none"/>
          <w:lang w:eastAsia="zh-CN"/>
        </w:rPr>
        <w:t>的</w:t>
      </w:r>
      <w:r>
        <w:rPr>
          <w:rFonts w:hint="default" w:ascii="Times New Roman" w:hAnsi="Times New Roman" w:cs="Times New Roman"/>
          <w:sz w:val="24"/>
          <w:szCs w:val="21"/>
          <w:highlight w:val="none"/>
        </w:rPr>
        <w:t>应采取覆盖防尘布、防尘网等措施，必要时进行喷淋，防止风蚀起尘；</w:t>
      </w:r>
      <w:r>
        <w:rPr>
          <w:rFonts w:hint="default" w:ascii="Times New Roman" w:hAnsi="Times New Roman" w:cs="Times New Roman"/>
          <w:sz w:val="24"/>
          <w:szCs w:val="21"/>
          <w:highlight w:val="none"/>
        </w:rPr>
        <w:t>对施工场内的表土临时堆置区场，应设置高于废弃物堆的围挡、防风网、挡风屏等；施工场地的出入口内侧应设置洗车平台以及配套的排水、泥浆沉淀设施，运输车辆驶离工地前应在洗车平台冲洗轮胎及车身，其表面不得附着污泥；</w:t>
      </w:r>
      <w:r>
        <w:rPr>
          <w:rFonts w:hint="default" w:ascii="Times New Roman" w:hAnsi="Times New Roman" w:cs="Times New Roman"/>
          <w:sz w:val="24"/>
          <w:szCs w:val="21"/>
          <w:highlight w:val="none"/>
        </w:rPr>
        <w:t>开挖过程中，洒水作业保持一定的湿度；对施工场地内松散、干涸的表土，也应该经常洒水防治粉尘；回填土方时，在表层土质干燥时应适当洒水，防止粉尘飞扬；施工过程中，严禁将废弃的建筑材料作为燃料燃烧。</w:t>
      </w:r>
    </w:p>
    <w:p>
      <w:pPr>
        <w:pStyle w:val="4"/>
        <w:bidi w:val="0"/>
        <w:rPr>
          <w:rFonts w:hint="default" w:ascii="Times New Roman" w:hAnsi="Times New Roman" w:cs="Times New Roman"/>
          <w:highlight w:val="none"/>
        </w:rPr>
      </w:pPr>
      <w:bookmarkStart w:id="234" w:name="_Toc361592776"/>
      <w:r>
        <w:rPr>
          <w:rFonts w:hint="default" w:ascii="Times New Roman" w:hAnsi="Times New Roman" w:cs="Times New Roman"/>
          <w:highlight w:val="none"/>
        </w:rPr>
        <w:t>水土流失影响分析</w:t>
      </w:r>
      <w:bookmarkEnd w:id="232"/>
      <w:bookmarkEnd w:id="233"/>
      <w:bookmarkEnd w:id="234"/>
    </w:p>
    <w:p>
      <w:pPr>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rPr>
        <w:t>根据主体工程设计资料，结合类比工程的实测（调查）资料，通过现场查勘</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施工工程量较小，在采取有效的水土保持措施后，工程的建设产生的水流流失影响较小。</w:t>
      </w:r>
    </w:p>
    <w:p>
      <w:pPr>
        <w:pStyle w:val="3"/>
        <w:bidi w:val="0"/>
        <w:rPr>
          <w:rFonts w:hint="default" w:ascii="Times New Roman" w:hAnsi="Times New Roman" w:cs="Times New Roman"/>
          <w:highlight w:val="none"/>
        </w:rPr>
      </w:pPr>
      <w:bookmarkStart w:id="235" w:name="_Toc444183857"/>
      <w:bookmarkStart w:id="236" w:name="_Toc362250781"/>
      <w:bookmarkStart w:id="237" w:name="_Toc5283784"/>
      <w:bookmarkStart w:id="238" w:name="_Toc28157"/>
      <w:bookmarkStart w:id="239" w:name="_Toc3308158"/>
      <w:bookmarkStart w:id="240" w:name="_Toc361592779"/>
      <w:bookmarkStart w:id="241" w:name="_Toc27830"/>
      <w:bookmarkStart w:id="242" w:name="_Toc533846115"/>
      <w:bookmarkStart w:id="243" w:name="_Toc5279666"/>
      <w:r>
        <w:rPr>
          <w:rFonts w:hint="default" w:ascii="Times New Roman" w:hAnsi="Times New Roman" w:cs="Times New Roman"/>
          <w:highlight w:val="none"/>
        </w:rPr>
        <w:t>工程建设的环境可行性</w:t>
      </w:r>
      <w:bookmarkEnd w:id="235"/>
      <w:bookmarkEnd w:id="236"/>
      <w:bookmarkEnd w:id="237"/>
      <w:bookmarkEnd w:id="238"/>
      <w:bookmarkEnd w:id="239"/>
      <w:bookmarkEnd w:id="240"/>
      <w:bookmarkEnd w:id="241"/>
      <w:bookmarkEnd w:id="242"/>
      <w:bookmarkEnd w:id="243"/>
    </w:p>
    <w:p>
      <w:pPr>
        <w:pStyle w:val="4"/>
        <w:bidi w:val="0"/>
        <w:rPr>
          <w:rFonts w:hint="default" w:ascii="Times New Roman" w:hAnsi="Times New Roman" w:cs="Times New Roman"/>
          <w:highlight w:val="none"/>
        </w:rPr>
      </w:pPr>
      <w:bookmarkStart w:id="244" w:name="_Toc361592780"/>
      <w:r>
        <w:rPr>
          <w:rFonts w:hint="default" w:ascii="Times New Roman" w:hAnsi="Times New Roman" w:cs="Times New Roman"/>
          <w:highlight w:val="none"/>
        </w:rPr>
        <w:t>工程建设与产业政策的符合性</w:t>
      </w:r>
      <w:bookmarkEnd w:id="244"/>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color w:val="000000"/>
          <w:sz w:val="24"/>
          <w:highlight w:val="none"/>
          <w:lang w:val="en-US" w:eastAsia="zh-CN"/>
        </w:rPr>
        <w:t>本项目为城乡供水保障工程，</w:t>
      </w:r>
      <w:r>
        <w:rPr>
          <w:rFonts w:hint="default" w:ascii="Times New Roman" w:hAnsi="Times New Roman" w:cs="Times New Roman"/>
          <w:color w:val="000000"/>
          <w:sz w:val="24"/>
          <w:highlight w:val="none"/>
        </w:rPr>
        <w:t>根据</w:t>
      </w:r>
      <w:r>
        <w:rPr>
          <w:rFonts w:hint="default" w:ascii="Times New Roman" w:hAnsi="Times New Roman" w:cs="Times New Roman"/>
          <w:color w:val="000000"/>
          <w:sz w:val="24"/>
          <w:highlight w:val="none"/>
          <w:lang w:val="en-US" w:eastAsia="zh-CN"/>
        </w:rPr>
        <w:t>国家发展和改革委员会发布的</w:t>
      </w:r>
      <w:r>
        <w:rPr>
          <w:rFonts w:hint="default" w:ascii="Times New Roman" w:hAnsi="Times New Roman" w:cs="Times New Roman"/>
          <w:color w:val="000000"/>
          <w:sz w:val="24"/>
          <w:highlight w:val="none"/>
        </w:rPr>
        <w:t>《产业结构调整指导目录》</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2019年本</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w:t>
      </w:r>
      <w:r>
        <w:rPr>
          <w:rFonts w:hint="default" w:ascii="Times New Roman" w:hAnsi="Times New Roman" w:cs="Times New Roman"/>
          <w:color w:val="000000"/>
          <w:highlight w:val="none"/>
          <w:lang w:val="en-US" w:eastAsia="zh-CN"/>
        </w:rPr>
        <w:t>本工程</w:t>
      </w:r>
      <w:r>
        <w:rPr>
          <w:rFonts w:hint="default" w:ascii="Times New Roman" w:hAnsi="Times New Roman" w:cs="Times New Roman"/>
          <w:color w:val="000000"/>
          <w:sz w:val="24"/>
          <w:highlight w:val="none"/>
        </w:rPr>
        <w:t>属于</w:t>
      </w:r>
      <w:r>
        <w:rPr>
          <w:rFonts w:hint="default" w:ascii="Times New Roman" w:hAnsi="Times New Roman" w:cs="Times New Roman"/>
          <w:color w:val="000000"/>
          <w:sz w:val="24"/>
          <w:highlight w:val="none"/>
          <w:lang w:val="en-US" w:eastAsia="zh-CN"/>
        </w:rPr>
        <w:t>目录规定的“第一类 鼓励类”中“二十二、城镇基础设施7、“城镇安全饮水工程、供水水源及净水厂工程”。因此，该工程的建设符合国家当前产业政策。</w:t>
      </w:r>
    </w:p>
    <w:p>
      <w:pPr>
        <w:pStyle w:val="4"/>
        <w:bidi w:val="0"/>
        <w:rPr>
          <w:rFonts w:hint="default" w:ascii="Times New Roman" w:hAnsi="Times New Roman" w:cs="Times New Roman"/>
          <w:highlight w:val="none"/>
        </w:rPr>
      </w:pPr>
      <w:bookmarkStart w:id="245" w:name="_Toc361592781"/>
      <w:r>
        <w:rPr>
          <w:rFonts w:hint="default" w:ascii="Times New Roman" w:hAnsi="Times New Roman" w:cs="Times New Roman"/>
          <w:highlight w:val="none"/>
        </w:rPr>
        <w:t>工程选线的环境合理性</w:t>
      </w:r>
      <w:bookmarkEnd w:id="245"/>
    </w:p>
    <w:p>
      <w:pPr>
        <w:tabs>
          <w:tab w:val="left" w:pos="1980"/>
          <w:tab w:val="left" w:pos="3825"/>
          <w:tab w:val="left" w:pos="4680"/>
        </w:tabs>
        <w:spacing w:line="360" w:lineRule="auto"/>
        <w:ind w:firstLine="480" w:firstLineChars="200"/>
        <w:jc w:val="left"/>
        <w:rPr>
          <w:rFonts w:hint="default" w:ascii="Times New Roman" w:hAnsi="Times New Roman" w:cs="Times New Roman"/>
          <w:sz w:val="24"/>
          <w:szCs w:val="21"/>
          <w:highlight w:val="none"/>
        </w:rPr>
      </w:pPr>
      <w:r>
        <w:rPr>
          <w:rFonts w:hint="default" w:ascii="Times New Roman" w:hAnsi="Times New Roman" w:cs="Times New Roman"/>
          <w:sz w:val="24"/>
          <w:szCs w:val="21"/>
          <w:highlight w:val="none"/>
        </w:rPr>
        <w:t>本工程</w:t>
      </w:r>
      <w:r>
        <w:rPr>
          <w:rFonts w:hint="default" w:ascii="Times New Roman" w:hAnsi="Times New Roman" w:cs="Times New Roman"/>
          <w:sz w:val="24"/>
          <w:szCs w:val="21"/>
          <w:highlight w:val="none"/>
          <w:lang w:eastAsia="zh-CN"/>
        </w:rPr>
        <w:t>建设范围</w:t>
      </w:r>
      <w:r>
        <w:rPr>
          <w:rFonts w:hint="default" w:ascii="Times New Roman" w:hAnsi="Times New Roman" w:cs="Times New Roman"/>
          <w:sz w:val="24"/>
          <w:szCs w:val="21"/>
          <w:highlight w:val="none"/>
        </w:rPr>
        <w:t>不涉及自然保护区、风景名胜区、水源保护区和文物古迹等环境敏感目标。工可报告对于</w:t>
      </w:r>
      <w:r>
        <w:rPr>
          <w:rFonts w:hint="default" w:ascii="Times New Roman" w:hAnsi="Times New Roman" w:cs="Times New Roman"/>
          <w:sz w:val="24"/>
          <w:szCs w:val="21"/>
          <w:highlight w:val="none"/>
          <w:lang w:eastAsia="zh-CN"/>
        </w:rPr>
        <w:t>水厂厂址以及管线</w:t>
      </w:r>
      <w:r>
        <w:rPr>
          <w:rFonts w:hint="default" w:ascii="Times New Roman" w:hAnsi="Times New Roman" w:cs="Times New Roman"/>
          <w:sz w:val="24"/>
          <w:szCs w:val="21"/>
          <w:highlight w:val="none"/>
        </w:rPr>
        <w:t>线路的选定已经充分考虑了其对社会环境的影响。根据本评价对项目周边环境的影响分析，项目建设对周边环境影响较小，在采取积极有效的环保措施后，周边环境质量能满足环境功能要求，项目选线基本是合理的。</w:t>
      </w:r>
    </w:p>
    <w:p>
      <w:pPr>
        <w:pStyle w:val="4"/>
        <w:bidi w:val="0"/>
        <w:rPr>
          <w:rFonts w:hint="default" w:ascii="Times New Roman" w:hAnsi="Times New Roman" w:cs="Times New Roman"/>
          <w:highlight w:val="none"/>
        </w:rPr>
      </w:pPr>
      <w:bookmarkStart w:id="246" w:name="_Toc361592782"/>
      <w:r>
        <w:rPr>
          <w:rFonts w:hint="default" w:ascii="Times New Roman" w:hAnsi="Times New Roman" w:cs="Times New Roman"/>
          <w:highlight w:val="none"/>
        </w:rPr>
        <w:t>公众参与</w:t>
      </w:r>
      <w:bookmarkEnd w:id="246"/>
    </w:p>
    <w:p>
      <w:pPr>
        <w:autoSpaceDE w:val="0"/>
        <w:autoSpaceDN w:val="0"/>
        <w:adjustRightIn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本次公众参与采用网上公示、现场张贴公示和报纸公示3种形式进行调查，在公示期间均未收到任何单位或个人的电话、传真、信件、公众意见表或邮件。</w:t>
      </w:r>
    </w:p>
    <w:p>
      <w:pPr>
        <w:pStyle w:val="3"/>
        <w:bidi w:val="0"/>
        <w:rPr>
          <w:rFonts w:hint="default" w:ascii="Times New Roman" w:hAnsi="Times New Roman" w:cs="Times New Roman"/>
          <w:highlight w:val="none"/>
        </w:rPr>
      </w:pPr>
      <w:bookmarkStart w:id="247" w:name="_Toc361592783"/>
      <w:bookmarkStart w:id="248" w:name="_Toc333864121"/>
      <w:bookmarkStart w:id="249" w:name="_Toc444183858"/>
      <w:bookmarkStart w:id="250" w:name="_Toc5283785"/>
      <w:bookmarkStart w:id="251" w:name="_Toc10030"/>
      <w:bookmarkStart w:id="252" w:name="_Toc3308159"/>
      <w:bookmarkStart w:id="253" w:name="_Toc5279667"/>
      <w:bookmarkStart w:id="254" w:name="_Toc362250782"/>
      <w:bookmarkStart w:id="255" w:name="_Toc272478626"/>
      <w:bookmarkStart w:id="256" w:name="_Toc30475"/>
      <w:bookmarkStart w:id="257" w:name="_Toc533846116"/>
      <w:bookmarkStart w:id="258" w:name="_Toc330752904"/>
      <w:r>
        <w:rPr>
          <w:rFonts w:hint="default" w:ascii="Times New Roman" w:hAnsi="Times New Roman" w:cs="Times New Roman"/>
          <w:highlight w:val="none"/>
        </w:rPr>
        <w:t>环保措施</w:t>
      </w:r>
      <w:bookmarkEnd w:id="247"/>
      <w:bookmarkEnd w:id="248"/>
      <w:bookmarkEnd w:id="249"/>
      <w:bookmarkEnd w:id="250"/>
      <w:bookmarkEnd w:id="251"/>
      <w:bookmarkEnd w:id="252"/>
      <w:bookmarkEnd w:id="253"/>
      <w:bookmarkEnd w:id="254"/>
      <w:bookmarkEnd w:id="255"/>
      <w:bookmarkEnd w:id="256"/>
      <w:bookmarkEnd w:id="257"/>
      <w:bookmarkEnd w:id="258"/>
    </w:p>
    <w:p>
      <w:pPr>
        <w:widowControl/>
        <w:spacing w:beforeAutospacing="1" w:afterAutospacing="1" w:line="360" w:lineRule="auto"/>
        <w:jc w:val="left"/>
        <w:rPr>
          <w:rFonts w:hint="default" w:ascii="Times New Roman" w:hAnsi="Times New Roman" w:cs="Times New Roman"/>
          <w:kern w:val="0"/>
          <w:sz w:val="24"/>
          <w:highlight w:val="none"/>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 w:linePitch="333" w:charSpace="0"/>
        </w:sectPr>
      </w:pPr>
    </w:p>
    <w:p>
      <w:pPr>
        <w:pStyle w:val="21"/>
        <w:bidi w:val="0"/>
        <w:rPr>
          <w:rFonts w:hint="default" w:ascii="Times New Roman" w:hAnsi="Times New Roman" w:cs="Times New Roman"/>
          <w:highlight w:val="none"/>
        </w:rPr>
      </w:pPr>
      <w:r>
        <w:rPr>
          <w:rFonts w:hint="default" w:ascii="Times New Roman" w:hAnsi="Times New Roman" w:cs="Times New Roman"/>
          <w:highlight w:val="none"/>
        </w:rPr>
        <w:t>项目管理信息一览表</w:t>
      </w:r>
    </w:p>
    <w:tbl>
      <w:tblPr>
        <w:tblStyle w:val="1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00"/>
        <w:gridCol w:w="464"/>
        <w:gridCol w:w="12060"/>
        <w:gridCol w:w="1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因子</w:t>
            </w:r>
          </w:p>
        </w:tc>
        <w:tc>
          <w:tcPr>
            <w:tcW w:w="1206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拟采取的环保措施</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环保验收</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主要内容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环保管理</w:t>
            </w:r>
          </w:p>
        </w:tc>
        <w:tc>
          <w:tcPr>
            <w:tcW w:w="13166" w:type="dxa"/>
            <w:gridSpan w:val="2"/>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检查建设项目行政手续的完整性。检查项目的立项文件、可行性研究报告及其批复和程序的完整性、批复单位审批权限与项目投资规模符合性；检查建设项目是否按照国家的有关规定进行了项目审批，检查项目在工程可行性研究阶段是否按环境影响评价制度的要求进行了环境影响评价工作。</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2.检查实际工程内容、建设规模、设计方案和环保设施设计变更情况，对照环评文件和实际工程内容及工程设计方案变更调查敏感目标变化情况，确定是否存在工程重大变更，能否符合施工环保验收条件。</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3.对建设项目的建设内容、环境保护设施及措施情况进行现场调查。核实环境影响评价文件及其审批文件要求的环境保护设施和措施的落文、变更情况。</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4.调查项目环保管理机构，专（兼）职人员设置情况，环保制度的建立与执行情况。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生</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态</w:t>
            </w:r>
          </w:p>
        </w:tc>
        <w:tc>
          <w:tcPr>
            <w:tcW w:w="12060" w:type="dxa"/>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建设单位必须委托有资质的单位编制《水土保持方案报告书》，并根据报告认真组织实施水土保持方案，采取水土流失综合防治措施，实行工程措施和植被措施并举，确保水土保持设施安全、稳定运行，达到控制水土流失和改善生态环境的目的。</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建设单位在工程施工过程中，应先行规划，充分利用自然地形地貌，尽量减少占用土地，避免大挖大填，尽力减少植被破坏。对于部分项目建设过程必要的植被清除，建设单位应严格遵守国家和地方有关法律、法规，依法伐除确需清除的一般植被，力求避免发生施工区外围植被破坏。</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建设单位应严格遵守国家和地方有关土地管理法律、法规，依法征用土地，必须严格按照《土地管理法》，履行手续，对占用的耕地实行“用一造一”，对损失的耕地进行补偿，以保证当地耕地的数量不减少。</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（4）建设单位在初步设计的线路确定和实际施工中，应</w:t>
            </w:r>
            <w:r>
              <w:rPr>
                <w:rFonts w:hint="default" w:ascii="Times New Roman" w:hAnsi="Times New Roman" w:cs="Times New Roman"/>
                <w:highlight w:val="none"/>
                <w:lang w:eastAsia="zh-CN"/>
              </w:rPr>
              <w:t>因地制宜</w:t>
            </w:r>
            <w:r>
              <w:rPr>
                <w:rFonts w:hint="default" w:ascii="Times New Roman" w:hAnsi="Times New Roman" w:cs="Times New Roman"/>
                <w:highlight w:val="none"/>
              </w:rPr>
              <w:t>利用自然地形地貌，进行土石方工程的合理设计和施工，避免乱挖乱填，充分利用挖方作填方，使土石方开挖和筑填趋向平衡，努力减少从外调入土石方回填量，降低土地生态破坏及其损害程度。</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（5）施工所需砂料应向当地砂料市场购买，不另设采砂料场，充分利用表层剥离土作绿化用土，以减少弃土石量，避免产生新的土地生态破坏。</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（6）其它要求</w:t>
            </w:r>
            <w:r>
              <w:rPr>
                <w:rFonts w:hint="default" w:ascii="Times New Roman" w:hAnsi="Times New Roman" w:cs="Times New Roman"/>
                <w:highlight w:val="none"/>
                <w:lang w:eastAsia="zh-CN"/>
              </w:rPr>
              <w:t>：</w:t>
            </w:r>
            <w:r>
              <w:rPr>
                <w:rFonts w:hint="default" w:ascii="Times New Roman" w:hAnsi="Times New Roman" w:cs="Times New Roman"/>
                <w:highlight w:val="none"/>
              </w:rPr>
              <w:t>临时工程的防护及水土保持应采用工程措施和生态环境保护措施相结合的办法。水土保持主要工程量应按照水土保持方案落实。</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（7）加强施工管理，减少泥沙散落，优化施工工艺，减少对水体的扰动；严格划定施工作业范围，在施工带内作业，严格限制施工人员和施工机械的活动范围，避免对施工水域水质的影响。</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（8）工程竣工后要对原施工场地施工垃圾、产生的固体废物以及施工人员产生的生活垃圾等进行彻底地清除。</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（9）工程竣工后应对不同地域施工场地等临时占地进行不同的生态修复，及时做好绿化恢复。</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1、符合“水保法”的要求。2、施工期临时工程设施占地的恢复情况；</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3、施工期陆域生态和水生保护措施执行情况。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固</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废</w:t>
            </w:r>
          </w:p>
        </w:tc>
        <w:tc>
          <w:tcPr>
            <w:tcW w:w="12060" w:type="dxa"/>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强化施工期的环境管理，施工期间产生的建筑、生活垃圾在分检回收可利用部分后，不得随意堆放和抛弃，应定点堆放收集、及时清运。禁止向周边河道、岸边、沟道、耕地、林地等随意倾倒垃圾和弃土、弃渣。</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（2）)建筑垃圾产生量有限，并且较为分散，可用于就近低洼地的填埋、临时铺路或运往当地的建筑垃圾处理场。</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（3）施工期在施工场地附近设置垃圾临时收集点，充分利用原乡镇、村庄的环卫垃圾处理设施，及时清运垃圾。</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项目在土石方的运输过程应有遮盖或密闭措施，减少砂石土途中的泄漏、尽量避免产生不必要的固废。施工场地内的杂草、灌木等植物残体、土壤表层熟土等，应集中放置妥善保存，以后可作为绿化用土，以充分利用土地资源。</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声</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境</w:t>
            </w:r>
          </w:p>
        </w:tc>
        <w:tc>
          <w:tcPr>
            <w:tcW w:w="12060" w:type="dxa"/>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施工单位必须选用符合国家有关标准的施工机械和运输车辆，尽量选用低噪声的施工机械和工艺，振动较大的固定机械设备采取必要的减振、隔声罩等措施；同时应加强各类施工设备的维护和保养，保持其良好的运转，以便从根本上降低噪声源强。</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（2）噪声源强大的作业可安排在昼间进行或对各种施工机械操作时间作适当调整。</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（3）将噪声较大的设备布置在远离敏感点的位置，并避免高噪声设置靠近和直对邻近敏感点，降低施工场界的噪声，减少施工噪声对周围的居民生活环境噪声的影响。施工车辆在经过各敏感点路段时禁止鸣笛。</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（4）建设单位应责成施工单位在施工现场通告和公布投诉电话，建设单位在接到报案后应及时与当地环保部门取得联系，以便及时处理各种环境纠纷。</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施工期声环境措施执行情况；</w:t>
            </w:r>
          </w:p>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境</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空</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气</w:t>
            </w:r>
          </w:p>
        </w:tc>
        <w:tc>
          <w:tcPr>
            <w:tcW w:w="12060" w:type="dxa"/>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工程开挖土方应集中堆放，及时回填，以缩小粉尘影响范围和时间。加强回填土方堆放场的管理，要制定土方表面压实、定期喷水、覆盖等措施；不需要的泥土，建筑材料弃渣应及时运走，不宜长时间堆积。</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（2）爆破、开挖过程中，洒水使作业保持一定的湿度，对施工场地内松散、干涸的表土，也应经常洒水防治粉尘。</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（3）建筑工地现场四周应设置2.0米以上围墙，出口处应该设置冲洗设施，运输车辆驶出现场前应将槽帮和车轮冲洗干净，严禁带尘出场。</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（4）施工过程应设置密目网，防止和减少物料、渣土和垃圾外溢。施工土方和水泥、石灰等易产生扬尘污染的料堆应严密遮盖或在库房内存放。</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（5）运土卡车及建筑材料运输车应按规定配置防洒装备，装载不宜过满，并规划好运输车辆的运行路线，尽量避免在交通集中区和居民住宅等敏感区行驶，以减少粉尘对环境的影响。</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施工期抑制扬尘措施及其他防治环境空气污染措施。</w:t>
            </w:r>
          </w:p>
          <w:p>
            <w:pPr>
              <w:pStyle w:val="19"/>
              <w:bidi w:val="0"/>
              <w:jc w:val="center"/>
              <w:rPr>
                <w:rFonts w:hint="default" w:ascii="Times New Roman" w:hAnsi="Times New Roman" w:cs="Times New Roman"/>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500"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464"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水</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环</w:t>
            </w:r>
          </w:p>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境</w:t>
            </w:r>
          </w:p>
        </w:tc>
        <w:tc>
          <w:tcPr>
            <w:tcW w:w="12060" w:type="dxa"/>
            <w:tcBorders>
              <w:tl2br w:val="nil"/>
              <w:tr2bl w:val="nil"/>
            </w:tcBorders>
            <w:noWrap/>
            <w:tcMar>
              <w:top w:w="0" w:type="dxa"/>
              <w:left w:w="57" w:type="dxa"/>
              <w:bottom w:w="0" w:type="dxa"/>
              <w:right w:w="57" w:type="dxa"/>
            </w:tcMar>
            <w:vAlign w:val="center"/>
          </w:tcPr>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1）严格施工管理，采用先进施工工艺减少泥沙散落。施工材料的堆放场地应设围挡措施，并加蓬布覆盖，以免雨水冲刷造成污染。工程承包合同中应明确材料的运输过程中防止洒漏条款。禁止在水体附近设置各种散装材料或废弃物的堆放场地，以免随雨水冲入水体，造成水体污染。</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（2）合理安排施工时间，控制施工时间，规范施工行为，加强施工管理，尽量缩短工期，减少施工对城区供水的影响时间。</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）本评价建议仅在施工场地进行施工生产，不另设生活营地。施工队伍可依托沿线当地村庄，租用村民的闲置空房进行施工生活。</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（6）本工程施工生产废水处理后回用于砂石料或生产设备冲洗、或用于施工区的日常洒水，生产废水禁止外排。</w:t>
            </w:r>
          </w:p>
          <w:p>
            <w:pPr>
              <w:pStyle w:val="19"/>
              <w:bidi w:val="0"/>
              <w:jc w:val="left"/>
              <w:rPr>
                <w:rFonts w:hint="default" w:ascii="Times New Roman" w:hAnsi="Times New Roman" w:cs="Times New Roman"/>
                <w:highlight w:val="none"/>
              </w:rPr>
            </w:pPr>
            <w:r>
              <w:rPr>
                <w:rFonts w:hint="default" w:ascii="Times New Roman" w:hAnsi="Times New Roman" w:cs="Times New Roman"/>
                <w:highlight w:val="none"/>
              </w:rPr>
              <w:t>（7）施工场地设置临时厕所对施工人员生活废水进行收集处理后农灌，生活废水不外排。</w:t>
            </w:r>
          </w:p>
        </w:tc>
        <w:tc>
          <w:tcPr>
            <w:tcW w:w="1106" w:type="dxa"/>
            <w:tcBorders>
              <w:tl2br w:val="nil"/>
              <w:tr2bl w:val="nil"/>
            </w:tcBorders>
            <w:noWrap/>
            <w:vAlign w:val="center"/>
          </w:tcPr>
          <w:p>
            <w:pPr>
              <w:pStyle w:val="19"/>
              <w:bidi w:val="0"/>
              <w:jc w:val="center"/>
              <w:rPr>
                <w:rFonts w:hint="default" w:ascii="Times New Roman" w:hAnsi="Times New Roman" w:cs="Times New Roman"/>
                <w:highlight w:val="none"/>
              </w:rPr>
            </w:pPr>
            <w:r>
              <w:rPr>
                <w:rFonts w:hint="default" w:ascii="Times New Roman" w:hAnsi="Times New Roman" w:cs="Times New Roman"/>
                <w:highlight w:val="none"/>
              </w:rPr>
              <w:t>施工期采取的水污染防治措施；</w:t>
            </w:r>
          </w:p>
        </w:tc>
      </w:tr>
    </w:tbl>
    <w:p>
      <w:pPr>
        <w:widowControl/>
        <w:spacing w:beforeAutospacing="1" w:afterAutospacing="1" w:line="360" w:lineRule="auto"/>
        <w:jc w:val="left"/>
        <w:rPr>
          <w:rFonts w:hint="default" w:ascii="Times New Roman" w:hAnsi="Times New Roman" w:cs="Times New Roman"/>
          <w:kern w:val="0"/>
          <w:sz w:val="24"/>
          <w:highlight w:val="none"/>
        </w:rPr>
        <w:sectPr>
          <w:headerReference r:id="rId22" w:type="default"/>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 w:linePitch="333" w:charSpace="0"/>
        </w:sectPr>
      </w:pPr>
    </w:p>
    <w:p>
      <w:pPr>
        <w:pStyle w:val="3"/>
        <w:bidi w:val="0"/>
        <w:rPr>
          <w:rFonts w:hint="default" w:ascii="Times New Roman" w:hAnsi="Times New Roman" w:cs="Times New Roman"/>
          <w:highlight w:val="none"/>
        </w:rPr>
      </w:pPr>
      <w:bookmarkStart w:id="259" w:name="_Toc272478679"/>
      <w:bookmarkStart w:id="260" w:name="_Toc330752905"/>
      <w:bookmarkStart w:id="261" w:name="_Toc333864122"/>
      <w:bookmarkStart w:id="262" w:name="_Toc362250783"/>
      <w:bookmarkStart w:id="263" w:name="_Toc361592784"/>
      <w:bookmarkStart w:id="264" w:name="_Toc5283786"/>
      <w:bookmarkStart w:id="265" w:name="_Toc5606"/>
      <w:bookmarkStart w:id="266" w:name="_Toc533846117"/>
      <w:bookmarkStart w:id="267" w:name="_Toc444183859"/>
      <w:bookmarkStart w:id="268" w:name="_Toc30531"/>
      <w:bookmarkStart w:id="269" w:name="_Toc3308160"/>
      <w:bookmarkStart w:id="270" w:name="_Toc5279668"/>
      <w:r>
        <w:rPr>
          <w:rFonts w:hint="default" w:ascii="Times New Roman" w:hAnsi="Times New Roman" w:cs="Times New Roman"/>
          <w:highlight w:val="none"/>
        </w:rPr>
        <w:t>结论</w:t>
      </w:r>
      <w:bookmarkEnd w:id="259"/>
      <w:bookmarkEnd w:id="260"/>
      <w:bookmarkEnd w:id="261"/>
      <w:bookmarkEnd w:id="262"/>
      <w:bookmarkEnd w:id="263"/>
      <w:r>
        <w:rPr>
          <w:rFonts w:hint="default" w:ascii="Times New Roman" w:hAnsi="Times New Roman" w:cs="Times New Roman"/>
          <w:highlight w:val="none"/>
        </w:rPr>
        <w:t>及建议</w:t>
      </w:r>
      <w:bookmarkEnd w:id="264"/>
      <w:bookmarkEnd w:id="265"/>
      <w:bookmarkEnd w:id="266"/>
      <w:bookmarkEnd w:id="267"/>
      <w:bookmarkEnd w:id="268"/>
      <w:bookmarkEnd w:id="269"/>
      <w:bookmarkEnd w:id="270"/>
    </w:p>
    <w:p>
      <w:pPr>
        <w:bidi w:val="0"/>
        <w:rPr>
          <w:rFonts w:hint="default" w:ascii="Times New Roman" w:hAnsi="Times New Roman" w:cs="Times New Roman"/>
          <w:sz w:val="24"/>
          <w:highlight w:val="none"/>
        </w:rPr>
      </w:pPr>
      <w:r>
        <w:rPr>
          <w:rFonts w:hint="default" w:ascii="Times New Roman" w:hAnsi="Times New Roman" w:eastAsia="宋体" w:cs="Times New Roman"/>
          <w:sz w:val="24"/>
          <w:szCs w:val="24"/>
          <w:highlight w:val="none"/>
        </w:rPr>
        <w:t>福鼎市管阳片区农村安全饮水工程</w:t>
      </w:r>
      <w:r>
        <w:rPr>
          <w:rFonts w:hint="default" w:ascii="Times New Roman" w:hAnsi="Times New Roman" w:cs="Times New Roman"/>
          <w:sz w:val="24"/>
          <w:szCs w:val="24"/>
          <w:highlight w:val="none"/>
          <w:lang w:val="en-US" w:eastAsia="zh-CN"/>
        </w:rPr>
        <w:t>管网</w:t>
      </w:r>
      <w:r>
        <w:rPr>
          <w:rFonts w:hint="default" w:ascii="Times New Roman" w:hAnsi="Times New Roman" w:eastAsia="宋体" w:cs="Times New Roman"/>
          <w:sz w:val="24"/>
          <w:szCs w:val="24"/>
          <w:highlight w:val="none"/>
        </w:rPr>
        <w:t>（福鼎市城乡供水一体化二期）</w:t>
      </w:r>
      <w:r>
        <w:rPr>
          <w:rFonts w:hint="default" w:ascii="Times New Roman" w:hAnsi="Times New Roman" w:cs="Times New Roman"/>
          <w:highlight w:val="none"/>
        </w:rPr>
        <w:t>建设符合国家及地方产业政策，选址符合相关规划，管线布置合理，施工期</w:t>
      </w:r>
      <w:r>
        <w:rPr>
          <w:rFonts w:hint="default" w:ascii="Times New Roman" w:hAnsi="Times New Roman" w:cs="Times New Roman"/>
          <w:highlight w:val="none"/>
          <w:lang w:val="en-US" w:eastAsia="zh-CN"/>
        </w:rPr>
        <w:t>及运行期</w:t>
      </w:r>
      <w:r>
        <w:rPr>
          <w:rFonts w:hint="default" w:ascii="Times New Roman" w:hAnsi="Times New Roman" w:cs="Times New Roman"/>
          <w:highlight w:val="none"/>
        </w:rPr>
        <w:t>采取相应的环保措施处理后，对</w:t>
      </w:r>
      <w:r>
        <w:rPr>
          <w:rFonts w:hint="default" w:ascii="Times New Roman" w:hAnsi="Times New Roman" w:cs="Times New Roman"/>
          <w:highlight w:val="none"/>
          <w:lang w:val="en-US" w:eastAsia="zh-CN"/>
        </w:rPr>
        <w:t>环境</w:t>
      </w:r>
      <w:r>
        <w:rPr>
          <w:rFonts w:hint="default" w:ascii="Times New Roman" w:hAnsi="Times New Roman" w:cs="Times New Roman"/>
          <w:highlight w:val="none"/>
        </w:rPr>
        <w:t>影响较小。建设单位</w:t>
      </w:r>
      <w:r>
        <w:rPr>
          <w:rFonts w:hint="default" w:ascii="Times New Roman" w:hAnsi="Times New Roman" w:cs="Times New Roman"/>
          <w:highlight w:val="none"/>
          <w:lang w:val="en-US" w:eastAsia="zh-CN"/>
        </w:rPr>
        <w:t>应认真</w:t>
      </w:r>
      <w:r>
        <w:rPr>
          <w:rFonts w:hint="default" w:ascii="Times New Roman" w:hAnsi="Times New Roman" w:cs="Times New Roman"/>
          <w:highlight w:val="none"/>
        </w:rPr>
        <w:t>遵守“三同时”管理制度，加强生产管理和环境管理，防止污染事故的发生，严格按有关法律法规及本评价所提出的要求落实污染防治措施，项目建设所产生的负面影响是可以得到有效控制。从环境保护角度分析，本项目的建设是可行的。</w:t>
      </w:r>
    </w:p>
    <w:p>
      <w:pPr>
        <w:rPr>
          <w:rFonts w:hint="default" w:ascii="Times New Roman" w:hAnsi="Times New Roman" w:cs="Times New Roman"/>
          <w:sz w:val="24"/>
          <w:highlight w:val="none"/>
          <w:lang w:val="en-US" w:eastAsia="zh-CN"/>
        </w:rPr>
      </w:pPr>
    </w:p>
    <w:sectPr>
      <w:pgSz w:w="11850" w:h="16783"/>
      <w:pgMar w:top="1417" w:right="1417" w:bottom="1417" w:left="1417" w:header="0" w:footer="680" w:gutter="0"/>
      <w:pgBorders>
        <w:top w:val="none" w:sz="0" w:space="0"/>
        <w:left w:val="none" w:sz="0" w:space="0"/>
        <w:bottom w:val="none" w:sz="0" w:space="0"/>
        <w:right w:val="none" w:sz="0" w:space="0"/>
      </w:pgBorders>
      <w:pgNumType w:fmt="decimal"/>
      <w:cols w:space="720" w:num="1"/>
      <w:rtlGutter w:val="0"/>
      <w:docGrid w:linePitch="1" w:charSpace="0"/>
    </w:sectPr>
  </w:body>
</w:document>
</file>

<file path=word/customizations.xml><?xml version="1.0" encoding="utf-8"?>
<wne:tcg xmlns:r="http://schemas.openxmlformats.org/officeDocument/2006/relationships" xmlns:wne="http://schemas.microsoft.com/office/word/2006/wordml">
  <wne:keymaps>
    <wne:keymap wne:kcmPrimary="0635">
      <wne:acd wne:acdName="acd0"/>
    </wne:keymap>
    <wne:keymap wne:kcmPrimary="0647">
      <wne:acd wne:acdName="acd1"/>
    </wne:keymap>
    <wne:keymap wne:kcmPrimary="0642">
      <wne:acd wne:acdName="acd2"/>
    </wne:keymap>
    <wne:keymap wne:kcmPrimary="0634">
      <wne:acd wne:acdName="acd3"/>
    </wne:keymap>
    <wne:keymap wne:kcmPrimary="06DE">
      <wne:acd wne:acdName="acd4"/>
    </wne:keymap>
    <wne:keymap wne:kcmPrimary="0633">
      <wne:acd wne:acdName="acd5"/>
    </wne:keymap>
    <wne:keymap wne:kcmPrimary="0632">
      <wne:acd wne:acdName="acd6"/>
    </wne:keymap>
    <wne:keymap wne:kcmPrimary="0631">
      <wne:acd wne:acdName="acd7"/>
    </wne:keymap>
    <wne:keymap wne:kcmPrimary="0636">
      <wne:acd wne:acdName="acd8"/>
    </wne:keymap>
    <wne:keymap wne:kcmPrimary="0637">
      <wne:acd wne:acdName="acd9"/>
    </wne:keymap>
  </wne:keymaps>
  <wne:acds>
    <wne:acd wne:argValue="AQAAAAUA" wne:acdName="acd0" wne:fciIndexBasedOn="0065"/>
    <wne:acd wne:argValue="AgD+VodlB2iYmA==" wne:acdName="acd1" wne:fciIndexBasedOn="0065"/>
    <wne:acd wne:argValue="AgBoiDxoB2iYmA==" wne:acdName="acd2" wne:fciIndexBasedOn="0065"/>
    <wne:acd wne:argValue="AQAAAAQA" wne:acdName="acd3" wne:fciIndexBasedOn="0065"/>
    <wne:acd wne:argValue="AgD9lRtSpWJKVGNrh2U=" wne:acdName="acd4" wne:fciIndexBasedOn="0065"/>
    <wne:acd wne:argValue="AQAAAAMA" wne:acdName="acd5" wne:fciIndexBasedOn="0065"/>
    <wne:acd wne:argValue="AQAAAAIA" wne:acdName="acd6" wne:fciIndexBasedOn="0065"/>
    <wne:acd wne:argValue="AQAAAAEA" wne:acdName="acd7" wne:fciIndexBasedOn="0065"/>
    <wne:acd wne:argValue="AQAAAAYA" wne:acdName="acd8" wne:fciIndexBasedOn="0065"/>
    <wne:acd wne:argValue="AQAAAAcA" wne:acdName="acd9"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Cambria Math">
    <w:panose1 w:val="02040503050406030204"/>
    <w:charset w:val="00"/>
    <w:family w:val="auto"/>
    <w:pitch w:val="default"/>
    <w:sig w:usb0="E00006FF" w:usb1="420024FF" w:usb2="02000000" w:usb3="00000000" w:csb0="2000019F"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Mincho">
    <w:panose1 w:val="02020609040205080304"/>
    <w:charset w:val="80"/>
    <w:family w:val="auto"/>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keepNext w:val="0"/>
                            <w:keepLines w:val="0"/>
                            <w:pageBreakBefore w:val="0"/>
                            <w:widowControl w:val="0"/>
                            <w:kinsoku/>
                            <w:wordWrap/>
                            <w:overflowPunct/>
                            <w:topLinePunct w:val="0"/>
                            <w:autoSpaceDE w:val="0"/>
                            <w:autoSpaceDN w:val="0"/>
                            <w:bidi w:val="0"/>
                            <w:adjustRightInd/>
                            <w:snapToGrid w:val="0"/>
                            <w:ind w:firstLine="0" w:firstLineChars="0"/>
                            <w:textAlignment w:val="auto"/>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pPr>
                      <w:pStyle w:val="12"/>
                      <w:keepNext w:val="0"/>
                      <w:keepLines w:val="0"/>
                      <w:pageBreakBefore w:val="0"/>
                      <w:widowControl w:val="0"/>
                      <w:kinsoku/>
                      <w:wordWrap/>
                      <w:overflowPunct/>
                      <w:topLinePunct w:val="0"/>
                      <w:autoSpaceDE w:val="0"/>
                      <w:autoSpaceDN w:val="0"/>
                      <w:bidi w:val="0"/>
                      <w:adjustRightInd/>
                      <w:snapToGrid w:val="0"/>
                      <w:ind w:firstLine="0" w:firstLineChars="0"/>
                      <w:textAlignment w:val="auto"/>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keepNext w:val="0"/>
                            <w:keepLines w:val="0"/>
                            <w:pageBreakBefore w:val="0"/>
                            <w:widowControl w:val="0"/>
                            <w:kinsoku/>
                            <w:wordWrap/>
                            <w:overflowPunct/>
                            <w:topLinePunct w:val="0"/>
                            <w:autoSpaceDE w:val="0"/>
                            <w:autoSpaceDN w:val="0"/>
                            <w:bidi w:val="0"/>
                            <w:adjustRightInd/>
                            <w:snapToGrid w:val="0"/>
                            <w:ind w:firstLine="0" w:firstLineChars="0"/>
                            <w:textAlignment w:val="auto"/>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pPr>
                      <w:pStyle w:val="12"/>
                      <w:keepNext w:val="0"/>
                      <w:keepLines w:val="0"/>
                      <w:pageBreakBefore w:val="0"/>
                      <w:widowControl w:val="0"/>
                      <w:kinsoku/>
                      <w:wordWrap/>
                      <w:overflowPunct/>
                      <w:topLinePunct w:val="0"/>
                      <w:autoSpaceDE w:val="0"/>
                      <w:autoSpaceDN w:val="0"/>
                      <w:bidi w:val="0"/>
                      <w:adjustRightInd/>
                      <w:snapToGrid w:val="0"/>
                      <w:ind w:firstLine="0" w:firstLineChars="0"/>
                      <w:textAlignment w:val="auto"/>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112</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115</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116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pacing w:line="240" w:lineRule="exact"/>
      <w:ind w:firstLine="0" w:firstLineChars="0"/>
      <w:jc w:val="left"/>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240" w:lineRule="exact"/>
      <w:ind w:firstLine="0" w:firstLineChars="0"/>
      <w:jc w:val="left"/>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240" w:lineRule="exact"/>
      <w:ind w:firstLine="36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rPr>
        <w:rFonts w:hint="eastAsia"/>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spacing w:line="240" w:lineRule="exact"/>
      <w:ind w:firstLine="0" w:firstLineChars="0"/>
      <w:jc w:val="left"/>
      <w:rPr>
        <w:rFonts w:hint="eastAsia"/>
      </w:rPr>
    </w:pPr>
    <w:r>
      <w:rPr>
        <w:rFonts w:hint="eastAsia" w:ascii="Times New Roman" w:hAnsi="Times New Roma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0CD79F"/>
    <w:multiLevelType w:val="singleLevel"/>
    <w:tmpl w:val="980CD79F"/>
    <w:lvl w:ilvl="0" w:tentative="0">
      <w:start w:val="2"/>
      <w:numFmt w:val="chineseCounting"/>
      <w:suff w:val="nothing"/>
      <w:lvlText w:val="%1．"/>
      <w:lvlJc w:val="left"/>
      <w:rPr>
        <w:rFonts w:hint="eastAsia"/>
      </w:rPr>
    </w:lvl>
  </w:abstractNum>
  <w:abstractNum w:abstractNumId="1">
    <w:nsid w:val="E6F72C2D"/>
    <w:multiLevelType w:val="singleLevel"/>
    <w:tmpl w:val="E6F72C2D"/>
    <w:lvl w:ilvl="0" w:tentative="0">
      <w:start w:val="1"/>
      <w:numFmt w:val="decimal"/>
      <w:suff w:val="nothing"/>
      <w:lvlText w:val="（%1）"/>
      <w:lvlJc w:val="left"/>
    </w:lvl>
  </w:abstractNum>
  <w:abstractNum w:abstractNumId="2">
    <w:nsid w:val="0B3F7316"/>
    <w:multiLevelType w:val="multilevel"/>
    <w:tmpl w:val="0B3F7316"/>
    <w:lvl w:ilvl="0" w:tentative="0">
      <w:start w:val="1"/>
      <w:numFmt w:val="decimal"/>
      <w:suff w:val="space"/>
      <w:lvlText w:val="%1"/>
      <w:lvlJc w:val="left"/>
      <w:pPr>
        <w:tabs>
          <w:tab w:val="left" w:pos="0"/>
        </w:tabs>
        <w:ind w:left="432" w:hanging="432"/>
      </w:pPr>
      <w:rPr>
        <w:rFonts w:hint="default" w:ascii="Times New Roman" w:hAnsi="Times New Roman" w:eastAsia="宋体" w:cs="宋体"/>
        <w:b/>
        <w:bCs/>
        <w:sz w:val="32"/>
        <w:szCs w:val="32"/>
      </w:rPr>
    </w:lvl>
    <w:lvl w:ilvl="1" w:tentative="0">
      <w:start w:val="1"/>
      <w:numFmt w:val="decimal"/>
      <w:isLgl/>
      <w:suff w:val="space"/>
      <w:lvlText w:val="%1.%2"/>
      <w:lvlJc w:val="left"/>
      <w:pPr>
        <w:tabs>
          <w:tab w:val="left" w:pos="0"/>
        </w:tabs>
        <w:ind w:left="0" w:firstLine="0"/>
      </w:pPr>
      <w:rPr>
        <w:rFonts w:hint="eastAsia" w:ascii="Times New Roman" w:hAnsi="Times New Roman" w:eastAsia="宋体" w:cs="宋体"/>
        <w:b/>
        <w:bCs/>
        <w:sz w:val="30"/>
        <w:szCs w:val="30"/>
      </w:rPr>
    </w:lvl>
    <w:lvl w:ilvl="2" w:tentative="0">
      <w:start w:val="1"/>
      <w:numFmt w:val="decimal"/>
      <w:isLgl/>
      <w:suff w:val="space"/>
      <w:lvlText w:val="%1.%2.%3"/>
      <w:lvlJc w:val="left"/>
      <w:pPr>
        <w:tabs>
          <w:tab w:val="left" w:pos="0"/>
        </w:tabs>
        <w:ind w:left="720" w:hanging="720"/>
      </w:pPr>
      <w:rPr>
        <w:rFonts w:hint="eastAsia" w:ascii="Times New Roman" w:hAnsi="Times New Roman" w:eastAsia="宋体" w:cs="宋体"/>
        <w:b/>
        <w:bCs/>
        <w:sz w:val="24"/>
        <w:szCs w:val="28"/>
      </w:rPr>
    </w:lvl>
    <w:lvl w:ilvl="3" w:tentative="0">
      <w:start w:val="1"/>
      <w:numFmt w:val="decimal"/>
      <w:isLgl/>
      <w:suff w:val="space"/>
      <w:lvlText w:val="%1.%2.%3.%4"/>
      <w:lvlJc w:val="left"/>
      <w:pPr>
        <w:tabs>
          <w:tab w:val="left" w:pos="0"/>
        </w:tabs>
        <w:ind w:left="864" w:hanging="864"/>
      </w:pPr>
      <w:rPr>
        <w:rFonts w:hint="eastAsia" w:ascii="Times New Roman" w:hAnsi="Times New Roman" w:eastAsia="宋体" w:cs="宋体"/>
        <w:sz w:val="24"/>
        <w:szCs w:val="24"/>
      </w:rPr>
    </w:lvl>
    <w:lvl w:ilvl="4" w:tentative="0">
      <w:start w:val="1"/>
      <w:numFmt w:val="decimal"/>
      <w:isLgl/>
      <w:suff w:val="nothing"/>
      <w:lvlText w:val="（%5）"/>
      <w:lvlJc w:val="left"/>
      <w:pPr>
        <w:tabs>
          <w:tab w:val="left" w:pos="0"/>
        </w:tabs>
        <w:ind w:left="0" w:firstLine="0"/>
      </w:pPr>
      <w:rPr>
        <w:rFonts w:hint="default" w:ascii="Times New Roman" w:hAnsi="Times New Roman" w:eastAsia="宋体" w:cs="宋体"/>
        <w:sz w:val="24"/>
        <w:szCs w:val="24"/>
      </w:rPr>
    </w:lvl>
    <w:lvl w:ilvl="5" w:tentative="0">
      <w:start w:val="1"/>
      <w:numFmt w:val="decimalEnclosedCircleChinese"/>
      <w:pStyle w:val="7"/>
      <w:suff w:val="nothing"/>
      <w:lvlText w:val="%6"/>
      <w:lvlJc w:val="left"/>
      <w:pPr>
        <w:tabs>
          <w:tab w:val="left" w:pos="0"/>
        </w:tabs>
        <w:ind w:left="1151" w:hanging="1151"/>
      </w:pPr>
      <w:rPr>
        <w:rFonts w:hint="eastAsia" w:ascii="Times New Roman" w:hAnsi="Times New Roman" w:eastAsia="宋体" w:cs="宋体"/>
        <w:sz w:val="24"/>
        <w:szCs w:val="24"/>
      </w:rPr>
    </w:lvl>
    <w:lvl w:ilvl="6" w:tentative="0">
      <w:start w:val="1"/>
      <w:numFmt w:val="upperLetter"/>
      <w:pStyle w:val="8"/>
      <w:lvlText w:val="%7."/>
      <w:lvlJc w:val="left"/>
      <w:pPr>
        <w:tabs>
          <w:tab w:val="left" w:pos="420"/>
        </w:tabs>
        <w:ind w:left="1296" w:hanging="1296"/>
      </w:pPr>
      <w:rPr>
        <w:rFonts w:hint="eastAsia" w:ascii="Times New Roman" w:hAnsi="Times New Roman" w:eastAsia="宋体" w:cs="宋体"/>
      </w:rPr>
    </w:lvl>
    <w:lvl w:ilvl="7" w:tentative="0">
      <w:start w:val="1"/>
      <w:numFmt w:val="decimal"/>
      <w:lvlRestart w:val="2"/>
      <w:isLgl/>
      <w:suff w:val="space"/>
      <w:lvlText w:val="表%1.%2-%8"/>
      <w:lvlJc w:val="left"/>
      <w:pPr>
        <w:tabs>
          <w:tab w:val="left" w:pos="0"/>
        </w:tabs>
        <w:ind w:left="1440" w:hanging="1440"/>
      </w:pPr>
      <w:rPr>
        <w:rFonts w:hint="eastAsia" w:ascii="Times New Roman" w:hAnsi="Times New Roman" w:eastAsia="宋体" w:cs="宋体"/>
      </w:rPr>
    </w:lvl>
    <w:lvl w:ilvl="8" w:tentative="0">
      <w:start w:val="1"/>
      <w:numFmt w:val="decimal"/>
      <w:lvlRestart w:val="2"/>
      <w:isLgl/>
      <w:suff w:val="space"/>
      <w:lvlText w:val="图%1.%2-%9"/>
      <w:lvlJc w:val="left"/>
      <w:pPr>
        <w:tabs>
          <w:tab w:val="left" w:pos="420"/>
        </w:tabs>
        <w:ind w:left="1583" w:hanging="1583"/>
      </w:pPr>
      <w:rPr>
        <w:rFonts w:hint="eastAsia" w:ascii="Times New Roman" w:hAnsi="Times New Roman" w:eastAsia="宋体" w:cs="宋体"/>
      </w:rPr>
    </w:lvl>
  </w:abstractNum>
  <w:abstractNum w:abstractNumId="3">
    <w:nsid w:val="0D1BBBD0"/>
    <w:multiLevelType w:val="singleLevel"/>
    <w:tmpl w:val="0D1BBBD0"/>
    <w:lvl w:ilvl="0" w:tentative="0">
      <w:start w:val="1"/>
      <w:numFmt w:val="decimal"/>
      <w:suff w:val="nothing"/>
      <w:lvlText w:val="（%1）"/>
      <w:lvlJc w:val="left"/>
    </w:lvl>
  </w:abstractNum>
  <w:abstractNum w:abstractNumId="4">
    <w:nsid w:val="3C117B7D"/>
    <w:multiLevelType w:val="multilevel"/>
    <w:tmpl w:val="3C117B7D"/>
    <w:lvl w:ilvl="0" w:tentative="0">
      <w:start w:val="1"/>
      <w:numFmt w:val="decimal"/>
      <w:pStyle w:val="2"/>
      <w:suff w:val="space"/>
      <w:lvlText w:val="%1"/>
      <w:lvlJc w:val="left"/>
      <w:pPr>
        <w:tabs>
          <w:tab w:val="left" w:pos="0"/>
        </w:tabs>
        <w:ind w:left="432" w:hanging="432"/>
      </w:pPr>
      <w:rPr>
        <w:rFonts w:hint="default" w:ascii="Times New Roman" w:hAnsi="Times New Roman" w:eastAsia="宋体" w:cs="宋体"/>
      </w:rPr>
    </w:lvl>
    <w:lvl w:ilvl="1" w:tentative="0">
      <w:start w:val="1"/>
      <w:numFmt w:val="decimal"/>
      <w:pStyle w:val="3"/>
      <w:suff w:val="space"/>
      <w:lvlText w:val="%1.%2"/>
      <w:lvlJc w:val="left"/>
      <w:pPr>
        <w:tabs>
          <w:tab w:val="left" w:pos="0"/>
        </w:tabs>
        <w:ind w:left="575" w:hanging="575"/>
      </w:pPr>
      <w:rPr>
        <w:rFonts w:hint="default" w:ascii="Times New Roman" w:hAnsi="Times New Roman" w:eastAsia="宋体" w:cs="宋体"/>
      </w:rPr>
    </w:lvl>
    <w:lvl w:ilvl="2" w:tentative="0">
      <w:start w:val="1"/>
      <w:numFmt w:val="decimal"/>
      <w:pStyle w:val="4"/>
      <w:suff w:val="space"/>
      <w:lvlText w:val="%1.%2.%3"/>
      <w:lvlJc w:val="left"/>
      <w:pPr>
        <w:tabs>
          <w:tab w:val="left" w:pos="420"/>
        </w:tabs>
        <w:ind w:left="720" w:hanging="720"/>
      </w:pPr>
      <w:rPr>
        <w:rFonts w:hint="default" w:ascii="Times New Roman" w:hAnsi="Times New Roman" w:eastAsia="宋体" w:cs="宋体"/>
      </w:rPr>
    </w:lvl>
    <w:lvl w:ilvl="3" w:tentative="0">
      <w:start w:val="1"/>
      <w:numFmt w:val="decimal"/>
      <w:pStyle w:val="5"/>
      <w:suff w:val="space"/>
      <w:lvlText w:val="%1.%2.%3.%4"/>
      <w:lvlJc w:val="left"/>
      <w:pPr>
        <w:tabs>
          <w:tab w:val="left" w:pos="420"/>
        </w:tabs>
        <w:ind w:left="864" w:hanging="864"/>
      </w:pPr>
      <w:rPr>
        <w:rFonts w:hint="default" w:ascii="Times New Roman" w:hAnsi="Times New Roman" w:eastAsia="宋体" w:cs="宋体"/>
      </w:rPr>
    </w:lvl>
    <w:lvl w:ilvl="4" w:tentative="0">
      <w:start w:val="1"/>
      <w:numFmt w:val="none"/>
      <w:pStyle w:val="6"/>
      <w:lvlText w:val=""/>
      <w:lvlJc w:val="left"/>
      <w:pPr>
        <w:ind w:left="1008" w:hanging="1008"/>
      </w:pPr>
      <w:rPr>
        <w:rFonts w:hint="default" w:ascii="宋体" w:hAnsi="宋体" w:eastAsia="宋体" w:cs="宋体"/>
      </w:rPr>
    </w:lvl>
    <w:lvl w:ilvl="5" w:tentative="0">
      <w:start w:val="1"/>
      <w:numFmt w:val="decimal"/>
      <w:lvlRestart w:val="2"/>
      <w:pStyle w:val="21"/>
      <w:suff w:val="space"/>
      <w:lvlText w:val="表%1.%2-%6 "/>
      <w:lvlJc w:val="left"/>
      <w:pPr>
        <w:tabs>
          <w:tab w:val="left" w:pos="0"/>
        </w:tabs>
        <w:ind w:left="1151" w:hanging="1151"/>
      </w:pPr>
      <w:rPr>
        <w:rFonts w:hint="default" w:ascii="Times New Roman" w:hAnsi="Times New Roman" w:eastAsia="宋体" w:cs="宋体"/>
      </w:rPr>
    </w:lvl>
    <w:lvl w:ilvl="6" w:tentative="0">
      <w:start w:val="1"/>
      <w:numFmt w:val="decimal"/>
      <w:pStyle w:val="22"/>
      <w:suff w:val="space"/>
      <w:lvlText w:val="图%1.%2-%7 "/>
      <w:lvlJc w:val="left"/>
      <w:pPr>
        <w:tabs>
          <w:tab w:val="left" w:pos="420"/>
        </w:tabs>
        <w:ind w:left="1296" w:hanging="1296"/>
      </w:pPr>
      <w:rPr>
        <w:rFonts w:hint="default" w:ascii="Times New Roman" w:hAnsi="Times New Roman" w:eastAsia="宋体" w:cs="宋体"/>
      </w:rPr>
    </w:lvl>
    <w:lvl w:ilvl="7" w:tentative="0">
      <w:start w:val="1"/>
      <w:numFmt w:val="none"/>
      <w:pStyle w:val="9"/>
      <w:lvlText w:val=""/>
      <w:lvlJc w:val="left"/>
      <w:pPr>
        <w:ind w:left="1440" w:hanging="1440"/>
      </w:pPr>
      <w:rPr>
        <w:rFonts w:hint="default" w:ascii="宋体" w:hAnsi="宋体" w:eastAsia="宋体" w:cs="宋体"/>
      </w:rPr>
    </w:lvl>
    <w:lvl w:ilvl="8" w:tentative="0">
      <w:start w:val="1"/>
      <w:numFmt w:val="none"/>
      <w:pStyle w:val="10"/>
      <w:lvlText w:val=""/>
      <w:lvlJc w:val="left"/>
      <w:pPr>
        <w:ind w:left="1583" w:hanging="1583"/>
      </w:pPr>
      <w:rPr>
        <w:rFonts w:hint="default" w:ascii="宋体" w:hAnsi="宋体" w:eastAsia="宋体" w:cs="宋体"/>
      </w:rPr>
    </w:lvl>
  </w:abstractNum>
  <w:abstractNum w:abstractNumId="5">
    <w:nsid w:val="5DBBBAA9"/>
    <w:multiLevelType w:val="singleLevel"/>
    <w:tmpl w:val="5DBBBAA9"/>
    <w:lvl w:ilvl="0" w:tentative="0">
      <w:start w:val="4"/>
      <w:numFmt w:val="decimal"/>
      <w:suff w:val="nothing"/>
      <w:lvlText w:val="（%1）"/>
      <w:lvlJc w:val="left"/>
    </w:lvl>
  </w:abstractNum>
  <w:num w:numId="1">
    <w:abstractNumId w:val="4"/>
  </w:num>
  <w:num w:numId="2">
    <w:abstractNumId w:val="2"/>
  </w:num>
  <w:num w:numId="3">
    <w:abstractNumId w:val="3"/>
  </w:num>
  <w:num w:numId="4">
    <w:abstractNumId w:val="0"/>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0"/>
  <w:hyphenationZone w:val="360"/>
  <w:drawingGridVerticalSpacing w:val="168"/>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7E8E"/>
    <w:rsid w:val="00042D1D"/>
    <w:rsid w:val="000A7EA5"/>
    <w:rsid w:val="000D4BD1"/>
    <w:rsid w:val="00297871"/>
    <w:rsid w:val="002B313E"/>
    <w:rsid w:val="00350BF9"/>
    <w:rsid w:val="003517F0"/>
    <w:rsid w:val="003A4ECF"/>
    <w:rsid w:val="003B5703"/>
    <w:rsid w:val="003C5712"/>
    <w:rsid w:val="0053266C"/>
    <w:rsid w:val="006C060F"/>
    <w:rsid w:val="0071115E"/>
    <w:rsid w:val="00717433"/>
    <w:rsid w:val="007954FD"/>
    <w:rsid w:val="007A78A4"/>
    <w:rsid w:val="008C4634"/>
    <w:rsid w:val="00B017DD"/>
    <w:rsid w:val="00B8133B"/>
    <w:rsid w:val="00BB09AB"/>
    <w:rsid w:val="00C67094"/>
    <w:rsid w:val="00CC6A21"/>
    <w:rsid w:val="00D62CAA"/>
    <w:rsid w:val="00E352AA"/>
    <w:rsid w:val="00E4313B"/>
    <w:rsid w:val="010E16B3"/>
    <w:rsid w:val="011950F8"/>
    <w:rsid w:val="012A1F8C"/>
    <w:rsid w:val="012D340F"/>
    <w:rsid w:val="012F7699"/>
    <w:rsid w:val="013E19BE"/>
    <w:rsid w:val="0148083D"/>
    <w:rsid w:val="015D3174"/>
    <w:rsid w:val="015E2746"/>
    <w:rsid w:val="016317D1"/>
    <w:rsid w:val="016B4FA2"/>
    <w:rsid w:val="018211D6"/>
    <w:rsid w:val="0182459A"/>
    <w:rsid w:val="01871F5D"/>
    <w:rsid w:val="0187598C"/>
    <w:rsid w:val="01897CB0"/>
    <w:rsid w:val="0190726A"/>
    <w:rsid w:val="01924FC3"/>
    <w:rsid w:val="01972A0B"/>
    <w:rsid w:val="01A42712"/>
    <w:rsid w:val="01A95340"/>
    <w:rsid w:val="01AF15D1"/>
    <w:rsid w:val="01B422E9"/>
    <w:rsid w:val="01C17477"/>
    <w:rsid w:val="01CF6F47"/>
    <w:rsid w:val="01D50400"/>
    <w:rsid w:val="01DA6DCE"/>
    <w:rsid w:val="01DF7B73"/>
    <w:rsid w:val="01E06A7F"/>
    <w:rsid w:val="01E52FBD"/>
    <w:rsid w:val="01E6473C"/>
    <w:rsid w:val="01F35683"/>
    <w:rsid w:val="01FF5182"/>
    <w:rsid w:val="02006491"/>
    <w:rsid w:val="02034A54"/>
    <w:rsid w:val="02136EBF"/>
    <w:rsid w:val="022826A4"/>
    <w:rsid w:val="022D68C3"/>
    <w:rsid w:val="024550F5"/>
    <w:rsid w:val="02534F08"/>
    <w:rsid w:val="027601A7"/>
    <w:rsid w:val="02770FE4"/>
    <w:rsid w:val="0279097D"/>
    <w:rsid w:val="028B32F3"/>
    <w:rsid w:val="02984675"/>
    <w:rsid w:val="029E332B"/>
    <w:rsid w:val="02A614CE"/>
    <w:rsid w:val="02A70E46"/>
    <w:rsid w:val="02CA1B43"/>
    <w:rsid w:val="02CA56A0"/>
    <w:rsid w:val="02CD23F8"/>
    <w:rsid w:val="02CF3992"/>
    <w:rsid w:val="02D615CB"/>
    <w:rsid w:val="02E16AFA"/>
    <w:rsid w:val="02E916D7"/>
    <w:rsid w:val="032611AF"/>
    <w:rsid w:val="03410066"/>
    <w:rsid w:val="03422050"/>
    <w:rsid w:val="034950DD"/>
    <w:rsid w:val="034E1A9B"/>
    <w:rsid w:val="03562CA2"/>
    <w:rsid w:val="03592AFB"/>
    <w:rsid w:val="037B42B6"/>
    <w:rsid w:val="038C6CE6"/>
    <w:rsid w:val="038F28E0"/>
    <w:rsid w:val="039E12C7"/>
    <w:rsid w:val="03A75D60"/>
    <w:rsid w:val="03AE3794"/>
    <w:rsid w:val="03AE7E85"/>
    <w:rsid w:val="03BA5D0B"/>
    <w:rsid w:val="03CF16BB"/>
    <w:rsid w:val="03E51E2B"/>
    <w:rsid w:val="03E837D8"/>
    <w:rsid w:val="03E947FA"/>
    <w:rsid w:val="03EB61E2"/>
    <w:rsid w:val="03F67756"/>
    <w:rsid w:val="04007E8E"/>
    <w:rsid w:val="04007F01"/>
    <w:rsid w:val="04144C62"/>
    <w:rsid w:val="041C4E03"/>
    <w:rsid w:val="04297737"/>
    <w:rsid w:val="04342ED3"/>
    <w:rsid w:val="043C11CE"/>
    <w:rsid w:val="04536D45"/>
    <w:rsid w:val="045927F6"/>
    <w:rsid w:val="04640A9B"/>
    <w:rsid w:val="046D5BE9"/>
    <w:rsid w:val="047A27B3"/>
    <w:rsid w:val="04847DEC"/>
    <w:rsid w:val="049D0109"/>
    <w:rsid w:val="04AD4F7C"/>
    <w:rsid w:val="04B95DC5"/>
    <w:rsid w:val="04BD2C9A"/>
    <w:rsid w:val="04BF68F6"/>
    <w:rsid w:val="04D86E5E"/>
    <w:rsid w:val="05020AE6"/>
    <w:rsid w:val="0514656A"/>
    <w:rsid w:val="05155448"/>
    <w:rsid w:val="05193939"/>
    <w:rsid w:val="051E6991"/>
    <w:rsid w:val="05223CF6"/>
    <w:rsid w:val="052E76FF"/>
    <w:rsid w:val="053A68C2"/>
    <w:rsid w:val="054B570F"/>
    <w:rsid w:val="054F2248"/>
    <w:rsid w:val="05547F14"/>
    <w:rsid w:val="055D20F0"/>
    <w:rsid w:val="057D6CEE"/>
    <w:rsid w:val="05841F56"/>
    <w:rsid w:val="05915A36"/>
    <w:rsid w:val="059C1245"/>
    <w:rsid w:val="059C6E38"/>
    <w:rsid w:val="059E5941"/>
    <w:rsid w:val="05C1202F"/>
    <w:rsid w:val="05CE26DB"/>
    <w:rsid w:val="05E52170"/>
    <w:rsid w:val="05E73729"/>
    <w:rsid w:val="05E81D39"/>
    <w:rsid w:val="05EC4CC6"/>
    <w:rsid w:val="05F64032"/>
    <w:rsid w:val="05FF68C8"/>
    <w:rsid w:val="06081B86"/>
    <w:rsid w:val="060D3BFB"/>
    <w:rsid w:val="06117081"/>
    <w:rsid w:val="062255B1"/>
    <w:rsid w:val="062D2F04"/>
    <w:rsid w:val="062E4E46"/>
    <w:rsid w:val="06323BE8"/>
    <w:rsid w:val="06353C16"/>
    <w:rsid w:val="06377C92"/>
    <w:rsid w:val="063A5B78"/>
    <w:rsid w:val="06414DBB"/>
    <w:rsid w:val="064A64CB"/>
    <w:rsid w:val="064E21B4"/>
    <w:rsid w:val="06526A52"/>
    <w:rsid w:val="06696B23"/>
    <w:rsid w:val="066C301E"/>
    <w:rsid w:val="066E7CF5"/>
    <w:rsid w:val="0673748C"/>
    <w:rsid w:val="067378C8"/>
    <w:rsid w:val="06766447"/>
    <w:rsid w:val="067B0263"/>
    <w:rsid w:val="067C715A"/>
    <w:rsid w:val="0684334B"/>
    <w:rsid w:val="069C74B5"/>
    <w:rsid w:val="06BC3912"/>
    <w:rsid w:val="06CF614F"/>
    <w:rsid w:val="06D26E55"/>
    <w:rsid w:val="06D64A46"/>
    <w:rsid w:val="06D90CAA"/>
    <w:rsid w:val="06D91961"/>
    <w:rsid w:val="06E36D44"/>
    <w:rsid w:val="06E94989"/>
    <w:rsid w:val="06F26338"/>
    <w:rsid w:val="06FA72C8"/>
    <w:rsid w:val="07011BD3"/>
    <w:rsid w:val="07075664"/>
    <w:rsid w:val="071E6450"/>
    <w:rsid w:val="07307D61"/>
    <w:rsid w:val="073206E2"/>
    <w:rsid w:val="074D3A62"/>
    <w:rsid w:val="074E5A76"/>
    <w:rsid w:val="077152BB"/>
    <w:rsid w:val="078A4CDE"/>
    <w:rsid w:val="07976593"/>
    <w:rsid w:val="0797695B"/>
    <w:rsid w:val="07A63C04"/>
    <w:rsid w:val="07A90B3D"/>
    <w:rsid w:val="07AF1F1E"/>
    <w:rsid w:val="07BB4112"/>
    <w:rsid w:val="07BD0DE2"/>
    <w:rsid w:val="07BF3BBE"/>
    <w:rsid w:val="07C05347"/>
    <w:rsid w:val="07E161CE"/>
    <w:rsid w:val="07F04A11"/>
    <w:rsid w:val="07F46E28"/>
    <w:rsid w:val="07FA04F3"/>
    <w:rsid w:val="07FD5325"/>
    <w:rsid w:val="07FE4999"/>
    <w:rsid w:val="08085667"/>
    <w:rsid w:val="081A4DF5"/>
    <w:rsid w:val="082501E1"/>
    <w:rsid w:val="082516F0"/>
    <w:rsid w:val="08262BA5"/>
    <w:rsid w:val="08375645"/>
    <w:rsid w:val="084B02E7"/>
    <w:rsid w:val="085D07A8"/>
    <w:rsid w:val="086A1452"/>
    <w:rsid w:val="086C2022"/>
    <w:rsid w:val="08705D67"/>
    <w:rsid w:val="08780B53"/>
    <w:rsid w:val="087F7B36"/>
    <w:rsid w:val="08835020"/>
    <w:rsid w:val="08960C59"/>
    <w:rsid w:val="08A83E05"/>
    <w:rsid w:val="08AC1077"/>
    <w:rsid w:val="08B02890"/>
    <w:rsid w:val="08CC2113"/>
    <w:rsid w:val="08D132E3"/>
    <w:rsid w:val="08F65BDF"/>
    <w:rsid w:val="09116D08"/>
    <w:rsid w:val="09147C0A"/>
    <w:rsid w:val="09166646"/>
    <w:rsid w:val="09180A94"/>
    <w:rsid w:val="09246EFF"/>
    <w:rsid w:val="093221C0"/>
    <w:rsid w:val="0956427E"/>
    <w:rsid w:val="096C1AC7"/>
    <w:rsid w:val="096D5A8D"/>
    <w:rsid w:val="096E1453"/>
    <w:rsid w:val="0986467F"/>
    <w:rsid w:val="09886908"/>
    <w:rsid w:val="098A1499"/>
    <w:rsid w:val="098C30F1"/>
    <w:rsid w:val="099D4E69"/>
    <w:rsid w:val="099E29A7"/>
    <w:rsid w:val="09A600D8"/>
    <w:rsid w:val="09AC5E1D"/>
    <w:rsid w:val="09B5472A"/>
    <w:rsid w:val="09BE02BE"/>
    <w:rsid w:val="09BF45BF"/>
    <w:rsid w:val="09C75375"/>
    <w:rsid w:val="09C82CFF"/>
    <w:rsid w:val="09D01C25"/>
    <w:rsid w:val="09D83F8D"/>
    <w:rsid w:val="09E14C19"/>
    <w:rsid w:val="09F844A2"/>
    <w:rsid w:val="0A01025F"/>
    <w:rsid w:val="0A0170A9"/>
    <w:rsid w:val="0A0472C4"/>
    <w:rsid w:val="0A13536C"/>
    <w:rsid w:val="0A261F85"/>
    <w:rsid w:val="0A295F25"/>
    <w:rsid w:val="0A5B0747"/>
    <w:rsid w:val="0A5B5B27"/>
    <w:rsid w:val="0A6449D6"/>
    <w:rsid w:val="0A651098"/>
    <w:rsid w:val="0A6B4ED0"/>
    <w:rsid w:val="0A712824"/>
    <w:rsid w:val="0A77659D"/>
    <w:rsid w:val="0A7915A7"/>
    <w:rsid w:val="0A83221D"/>
    <w:rsid w:val="0A906A82"/>
    <w:rsid w:val="0A9B4464"/>
    <w:rsid w:val="0A9D2767"/>
    <w:rsid w:val="0AA4071A"/>
    <w:rsid w:val="0ABA2172"/>
    <w:rsid w:val="0AC46441"/>
    <w:rsid w:val="0AD2506B"/>
    <w:rsid w:val="0B283F42"/>
    <w:rsid w:val="0B3E20B8"/>
    <w:rsid w:val="0B590654"/>
    <w:rsid w:val="0B642816"/>
    <w:rsid w:val="0B9642CE"/>
    <w:rsid w:val="0B9E36E8"/>
    <w:rsid w:val="0BA13F22"/>
    <w:rsid w:val="0BAC7D25"/>
    <w:rsid w:val="0BB07512"/>
    <w:rsid w:val="0BB1029E"/>
    <w:rsid w:val="0BDA3F2A"/>
    <w:rsid w:val="0BDA71AF"/>
    <w:rsid w:val="0BDC599B"/>
    <w:rsid w:val="0BE07436"/>
    <w:rsid w:val="0BE2548E"/>
    <w:rsid w:val="0BF317AE"/>
    <w:rsid w:val="0C030348"/>
    <w:rsid w:val="0C0B2154"/>
    <w:rsid w:val="0C1E14B5"/>
    <w:rsid w:val="0C2273AC"/>
    <w:rsid w:val="0C35773B"/>
    <w:rsid w:val="0C5938B2"/>
    <w:rsid w:val="0C66575F"/>
    <w:rsid w:val="0C731809"/>
    <w:rsid w:val="0C734F09"/>
    <w:rsid w:val="0C8713A1"/>
    <w:rsid w:val="0C8B6055"/>
    <w:rsid w:val="0C9B296B"/>
    <w:rsid w:val="0CA50D6E"/>
    <w:rsid w:val="0CB36155"/>
    <w:rsid w:val="0CCF3BAF"/>
    <w:rsid w:val="0CDD6844"/>
    <w:rsid w:val="0CEB30DF"/>
    <w:rsid w:val="0CED4F0A"/>
    <w:rsid w:val="0CEF0176"/>
    <w:rsid w:val="0D153810"/>
    <w:rsid w:val="0D237271"/>
    <w:rsid w:val="0D4149A9"/>
    <w:rsid w:val="0D420067"/>
    <w:rsid w:val="0D5F7237"/>
    <w:rsid w:val="0D6558E7"/>
    <w:rsid w:val="0D683CF0"/>
    <w:rsid w:val="0D7217D8"/>
    <w:rsid w:val="0D891AC4"/>
    <w:rsid w:val="0D903E88"/>
    <w:rsid w:val="0D970FCE"/>
    <w:rsid w:val="0DA12783"/>
    <w:rsid w:val="0DB12754"/>
    <w:rsid w:val="0DB25C26"/>
    <w:rsid w:val="0DB56270"/>
    <w:rsid w:val="0DB7331E"/>
    <w:rsid w:val="0DC432A7"/>
    <w:rsid w:val="0DC857B1"/>
    <w:rsid w:val="0DCE61E2"/>
    <w:rsid w:val="0DCF4B69"/>
    <w:rsid w:val="0DD93BCC"/>
    <w:rsid w:val="0DDE0A21"/>
    <w:rsid w:val="0DE21B9F"/>
    <w:rsid w:val="0DE72B17"/>
    <w:rsid w:val="0DE76146"/>
    <w:rsid w:val="0DEE7453"/>
    <w:rsid w:val="0DF06639"/>
    <w:rsid w:val="0DF3056B"/>
    <w:rsid w:val="0DF97EEA"/>
    <w:rsid w:val="0DFF5A6B"/>
    <w:rsid w:val="0E07716B"/>
    <w:rsid w:val="0E2918A7"/>
    <w:rsid w:val="0E3361C6"/>
    <w:rsid w:val="0E356B39"/>
    <w:rsid w:val="0E486C93"/>
    <w:rsid w:val="0E5E0F06"/>
    <w:rsid w:val="0E607C12"/>
    <w:rsid w:val="0E7754D1"/>
    <w:rsid w:val="0E8637B6"/>
    <w:rsid w:val="0EB45B9E"/>
    <w:rsid w:val="0ED02D0D"/>
    <w:rsid w:val="0ED1441F"/>
    <w:rsid w:val="0EE31FC4"/>
    <w:rsid w:val="0EF155B1"/>
    <w:rsid w:val="0F00183B"/>
    <w:rsid w:val="0F06119A"/>
    <w:rsid w:val="0F0D18A4"/>
    <w:rsid w:val="0F111557"/>
    <w:rsid w:val="0F1B1BBE"/>
    <w:rsid w:val="0F250AC6"/>
    <w:rsid w:val="0F281E5C"/>
    <w:rsid w:val="0F2F3F68"/>
    <w:rsid w:val="0F361DA1"/>
    <w:rsid w:val="0F38001F"/>
    <w:rsid w:val="0F39356B"/>
    <w:rsid w:val="0F482904"/>
    <w:rsid w:val="0F484601"/>
    <w:rsid w:val="0F4874C9"/>
    <w:rsid w:val="0F4954D5"/>
    <w:rsid w:val="0F4E2997"/>
    <w:rsid w:val="0F603178"/>
    <w:rsid w:val="0F6056B1"/>
    <w:rsid w:val="0F652B70"/>
    <w:rsid w:val="0F6A1D50"/>
    <w:rsid w:val="0F747334"/>
    <w:rsid w:val="0F760799"/>
    <w:rsid w:val="0F852B53"/>
    <w:rsid w:val="0F89485F"/>
    <w:rsid w:val="0FA13619"/>
    <w:rsid w:val="0FAA0687"/>
    <w:rsid w:val="0FAC50F0"/>
    <w:rsid w:val="0FB40050"/>
    <w:rsid w:val="0FBE4531"/>
    <w:rsid w:val="0FCC142D"/>
    <w:rsid w:val="0FD13171"/>
    <w:rsid w:val="0FD20FE3"/>
    <w:rsid w:val="0FD6143C"/>
    <w:rsid w:val="0FDB6AB2"/>
    <w:rsid w:val="0FF80B08"/>
    <w:rsid w:val="100205EF"/>
    <w:rsid w:val="10051CA8"/>
    <w:rsid w:val="100C6331"/>
    <w:rsid w:val="101E3E70"/>
    <w:rsid w:val="10233343"/>
    <w:rsid w:val="102466B4"/>
    <w:rsid w:val="10372D3F"/>
    <w:rsid w:val="10437B3E"/>
    <w:rsid w:val="10545565"/>
    <w:rsid w:val="105509A7"/>
    <w:rsid w:val="1055184D"/>
    <w:rsid w:val="1055268F"/>
    <w:rsid w:val="10576E2F"/>
    <w:rsid w:val="10581CF7"/>
    <w:rsid w:val="105F6DB9"/>
    <w:rsid w:val="107D7AC7"/>
    <w:rsid w:val="107E7D3F"/>
    <w:rsid w:val="1081741C"/>
    <w:rsid w:val="10A31040"/>
    <w:rsid w:val="10A35BC0"/>
    <w:rsid w:val="10A45495"/>
    <w:rsid w:val="10AF0342"/>
    <w:rsid w:val="10BC6926"/>
    <w:rsid w:val="10BF49B7"/>
    <w:rsid w:val="10C02948"/>
    <w:rsid w:val="10CA3E21"/>
    <w:rsid w:val="10DC7659"/>
    <w:rsid w:val="10EF129B"/>
    <w:rsid w:val="10F743FC"/>
    <w:rsid w:val="11036219"/>
    <w:rsid w:val="110A0B49"/>
    <w:rsid w:val="1113338C"/>
    <w:rsid w:val="111364F1"/>
    <w:rsid w:val="111D0474"/>
    <w:rsid w:val="1121191B"/>
    <w:rsid w:val="112147F0"/>
    <w:rsid w:val="11223B80"/>
    <w:rsid w:val="11253A82"/>
    <w:rsid w:val="112D7CB1"/>
    <w:rsid w:val="114A0BA2"/>
    <w:rsid w:val="114A6067"/>
    <w:rsid w:val="115436D0"/>
    <w:rsid w:val="11567AC5"/>
    <w:rsid w:val="11610519"/>
    <w:rsid w:val="11632CBF"/>
    <w:rsid w:val="117D35E5"/>
    <w:rsid w:val="11815A6F"/>
    <w:rsid w:val="118E0C0F"/>
    <w:rsid w:val="119D4E93"/>
    <w:rsid w:val="11A92172"/>
    <w:rsid w:val="11B30F14"/>
    <w:rsid w:val="11C46EBD"/>
    <w:rsid w:val="11D70D69"/>
    <w:rsid w:val="11E42BE0"/>
    <w:rsid w:val="11E86779"/>
    <w:rsid w:val="12065360"/>
    <w:rsid w:val="12161BBB"/>
    <w:rsid w:val="122711A0"/>
    <w:rsid w:val="12272C8F"/>
    <w:rsid w:val="123253FD"/>
    <w:rsid w:val="12356C2F"/>
    <w:rsid w:val="124108F6"/>
    <w:rsid w:val="12476620"/>
    <w:rsid w:val="124B6A4F"/>
    <w:rsid w:val="124D778B"/>
    <w:rsid w:val="12532462"/>
    <w:rsid w:val="12602BF6"/>
    <w:rsid w:val="1265165F"/>
    <w:rsid w:val="126A434D"/>
    <w:rsid w:val="126A798B"/>
    <w:rsid w:val="126F247F"/>
    <w:rsid w:val="127774BF"/>
    <w:rsid w:val="12793C81"/>
    <w:rsid w:val="12861FA5"/>
    <w:rsid w:val="12A9138D"/>
    <w:rsid w:val="12AB61CF"/>
    <w:rsid w:val="12B45445"/>
    <w:rsid w:val="12B632DF"/>
    <w:rsid w:val="12C47B3B"/>
    <w:rsid w:val="12D206D3"/>
    <w:rsid w:val="12D8483E"/>
    <w:rsid w:val="12DC3522"/>
    <w:rsid w:val="12F6125B"/>
    <w:rsid w:val="12F84C8C"/>
    <w:rsid w:val="12FA2771"/>
    <w:rsid w:val="13074455"/>
    <w:rsid w:val="130C046C"/>
    <w:rsid w:val="13105606"/>
    <w:rsid w:val="131B7CF6"/>
    <w:rsid w:val="13234709"/>
    <w:rsid w:val="1332378D"/>
    <w:rsid w:val="133C65E6"/>
    <w:rsid w:val="133D1639"/>
    <w:rsid w:val="13404FA5"/>
    <w:rsid w:val="13507B90"/>
    <w:rsid w:val="13544E73"/>
    <w:rsid w:val="135A4816"/>
    <w:rsid w:val="135D3144"/>
    <w:rsid w:val="1373604E"/>
    <w:rsid w:val="137D1950"/>
    <w:rsid w:val="138E0637"/>
    <w:rsid w:val="13B32901"/>
    <w:rsid w:val="13B94008"/>
    <w:rsid w:val="13CC61FE"/>
    <w:rsid w:val="13DF3E5A"/>
    <w:rsid w:val="13E05B19"/>
    <w:rsid w:val="13F51E99"/>
    <w:rsid w:val="13F5472E"/>
    <w:rsid w:val="13F73BBE"/>
    <w:rsid w:val="13FC42A5"/>
    <w:rsid w:val="13FD34F0"/>
    <w:rsid w:val="140B08E6"/>
    <w:rsid w:val="140B7DFA"/>
    <w:rsid w:val="140C5D33"/>
    <w:rsid w:val="141302E5"/>
    <w:rsid w:val="14340A73"/>
    <w:rsid w:val="143F3497"/>
    <w:rsid w:val="144137FB"/>
    <w:rsid w:val="1445371B"/>
    <w:rsid w:val="145455B5"/>
    <w:rsid w:val="1455593D"/>
    <w:rsid w:val="145B186E"/>
    <w:rsid w:val="145F2A9F"/>
    <w:rsid w:val="14696FA9"/>
    <w:rsid w:val="146B4E88"/>
    <w:rsid w:val="14751EAC"/>
    <w:rsid w:val="14867394"/>
    <w:rsid w:val="148C56B6"/>
    <w:rsid w:val="14983B29"/>
    <w:rsid w:val="149B7796"/>
    <w:rsid w:val="14A4125B"/>
    <w:rsid w:val="14A63C46"/>
    <w:rsid w:val="14A76DE3"/>
    <w:rsid w:val="14AF6CA8"/>
    <w:rsid w:val="14B97194"/>
    <w:rsid w:val="14BA5827"/>
    <w:rsid w:val="14CC492F"/>
    <w:rsid w:val="14D47327"/>
    <w:rsid w:val="14D664DE"/>
    <w:rsid w:val="14EC42B4"/>
    <w:rsid w:val="14F47FDD"/>
    <w:rsid w:val="14F80621"/>
    <w:rsid w:val="14F906BE"/>
    <w:rsid w:val="14FF55A4"/>
    <w:rsid w:val="151A6991"/>
    <w:rsid w:val="151F4524"/>
    <w:rsid w:val="15270957"/>
    <w:rsid w:val="1528257E"/>
    <w:rsid w:val="152F44F6"/>
    <w:rsid w:val="153318CA"/>
    <w:rsid w:val="154533BF"/>
    <w:rsid w:val="154665A1"/>
    <w:rsid w:val="154834AF"/>
    <w:rsid w:val="1556738D"/>
    <w:rsid w:val="15793354"/>
    <w:rsid w:val="15877CD8"/>
    <w:rsid w:val="158A2668"/>
    <w:rsid w:val="158F2DAF"/>
    <w:rsid w:val="15A120C6"/>
    <w:rsid w:val="15AF2D9A"/>
    <w:rsid w:val="15AF71E4"/>
    <w:rsid w:val="15B639CC"/>
    <w:rsid w:val="15C1487A"/>
    <w:rsid w:val="15CF1F44"/>
    <w:rsid w:val="15D06A17"/>
    <w:rsid w:val="15D951A1"/>
    <w:rsid w:val="15F21EF1"/>
    <w:rsid w:val="15F51EDE"/>
    <w:rsid w:val="15F630F2"/>
    <w:rsid w:val="15FC2215"/>
    <w:rsid w:val="15FF7EAE"/>
    <w:rsid w:val="16015861"/>
    <w:rsid w:val="160617A2"/>
    <w:rsid w:val="161A661A"/>
    <w:rsid w:val="16220688"/>
    <w:rsid w:val="16287E0D"/>
    <w:rsid w:val="16380851"/>
    <w:rsid w:val="163B23DF"/>
    <w:rsid w:val="164711CB"/>
    <w:rsid w:val="164730F2"/>
    <w:rsid w:val="165702C1"/>
    <w:rsid w:val="165C63BA"/>
    <w:rsid w:val="16746171"/>
    <w:rsid w:val="167C5528"/>
    <w:rsid w:val="168841CE"/>
    <w:rsid w:val="16942803"/>
    <w:rsid w:val="16965ED2"/>
    <w:rsid w:val="169718D9"/>
    <w:rsid w:val="16A04132"/>
    <w:rsid w:val="16A82978"/>
    <w:rsid w:val="16AB2F19"/>
    <w:rsid w:val="16AE7618"/>
    <w:rsid w:val="16B15996"/>
    <w:rsid w:val="16B9412C"/>
    <w:rsid w:val="16CB353F"/>
    <w:rsid w:val="16D321AC"/>
    <w:rsid w:val="17027FAD"/>
    <w:rsid w:val="170356E5"/>
    <w:rsid w:val="17105347"/>
    <w:rsid w:val="171202C1"/>
    <w:rsid w:val="17160B36"/>
    <w:rsid w:val="17196E5C"/>
    <w:rsid w:val="17261754"/>
    <w:rsid w:val="1729405D"/>
    <w:rsid w:val="172A286A"/>
    <w:rsid w:val="172C0A09"/>
    <w:rsid w:val="173829C1"/>
    <w:rsid w:val="173E489E"/>
    <w:rsid w:val="174F2751"/>
    <w:rsid w:val="174F44DF"/>
    <w:rsid w:val="17524F7C"/>
    <w:rsid w:val="17617037"/>
    <w:rsid w:val="17696E07"/>
    <w:rsid w:val="177837D3"/>
    <w:rsid w:val="17814D43"/>
    <w:rsid w:val="1782503B"/>
    <w:rsid w:val="17872C16"/>
    <w:rsid w:val="179D157E"/>
    <w:rsid w:val="17A226E2"/>
    <w:rsid w:val="17C54C1D"/>
    <w:rsid w:val="17D0785F"/>
    <w:rsid w:val="17D1592E"/>
    <w:rsid w:val="17D313EB"/>
    <w:rsid w:val="17DB3028"/>
    <w:rsid w:val="17E41EF3"/>
    <w:rsid w:val="17F414DB"/>
    <w:rsid w:val="17FE25E6"/>
    <w:rsid w:val="1806329F"/>
    <w:rsid w:val="18075BC9"/>
    <w:rsid w:val="180A26FA"/>
    <w:rsid w:val="180F1AF1"/>
    <w:rsid w:val="184454BC"/>
    <w:rsid w:val="18496FE1"/>
    <w:rsid w:val="1859563E"/>
    <w:rsid w:val="185C5A98"/>
    <w:rsid w:val="187B4FEA"/>
    <w:rsid w:val="187E6864"/>
    <w:rsid w:val="1888597A"/>
    <w:rsid w:val="1892179E"/>
    <w:rsid w:val="18A27344"/>
    <w:rsid w:val="18B20B85"/>
    <w:rsid w:val="18B544ED"/>
    <w:rsid w:val="18B76B93"/>
    <w:rsid w:val="18BB1DAC"/>
    <w:rsid w:val="18BD1BDD"/>
    <w:rsid w:val="18C000F9"/>
    <w:rsid w:val="18CE70EB"/>
    <w:rsid w:val="18D373DA"/>
    <w:rsid w:val="18DE51A1"/>
    <w:rsid w:val="18ED1B74"/>
    <w:rsid w:val="18FB5029"/>
    <w:rsid w:val="19191CC1"/>
    <w:rsid w:val="191B005D"/>
    <w:rsid w:val="191B0E6E"/>
    <w:rsid w:val="192A1E84"/>
    <w:rsid w:val="19382AF2"/>
    <w:rsid w:val="194062E6"/>
    <w:rsid w:val="19666B3D"/>
    <w:rsid w:val="19A46DE5"/>
    <w:rsid w:val="19AD58C9"/>
    <w:rsid w:val="19CF5D71"/>
    <w:rsid w:val="19D222DD"/>
    <w:rsid w:val="19E12A03"/>
    <w:rsid w:val="19EE3055"/>
    <w:rsid w:val="19F3255B"/>
    <w:rsid w:val="19FF488A"/>
    <w:rsid w:val="1A0175FF"/>
    <w:rsid w:val="1A041462"/>
    <w:rsid w:val="1A113202"/>
    <w:rsid w:val="1A493CBB"/>
    <w:rsid w:val="1A520547"/>
    <w:rsid w:val="1A525688"/>
    <w:rsid w:val="1A557DE3"/>
    <w:rsid w:val="1A594CAC"/>
    <w:rsid w:val="1A5A74D8"/>
    <w:rsid w:val="1A5D57E8"/>
    <w:rsid w:val="1A785B0E"/>
    <w:rsid w:val="1A7C491C"/>
    <w:rsid w:val="1A833C47"/>
    <w:rsid w:val="1A865B46"/>
    <w:rsid w:val="1A931255"/>
    <w:rsid w:val="1A997783"/>
    <w:rsid w:val="1AAB25D1"/>
    <w:rsid w:val="1AB4003C"/>
    <w:rsid w:val="1AB51910"/>
    <w:rsid w:val="1AB55730"/>
    <w:rsid w:val="1AB55982"/>
    <w:rsid w:val="1ABF2AD5"/>
    <w:rsid w:val="1AC0021D"/>
    <w:rsid w:val="1AC2415C"/>
    <w:rsid w:val="1ACF2166"/>
    <w:rsid w:val="1AE05469"/>
    <w:rsid w:val="1AE92C31"/>
    <w:rsid w:val="1AEB71B1"/>
    <w:rsid w:val="1AEB7ABF"/>
    <w:rsid w:val="1AFE6A66"/>
    <w:rsid w:val="1B0A04FE"/>
    <w:rsid w:val="1B102AF1"/>
    <w:rsid w:val="1B1E4F55"/>
    <w:rsid w:val="1B20078D"/>
    <w:rsid w:val="1B2609C4"/>
    <w:rsid w:val="1B283133"/>
    <w:rsid w:val="1B294C47"/>
    <w:rsid w:val="1B304FDA"/>
    <w:rsid w:val="1B44646F"/>
    <w:rsid w:val="1B4A4B51"/>
    <w:rsid w:val="1B4D6F07"/>
    <w:rsid w:val="1B5956CB"/>
    <w:rsid w:val="1B5A4D84"/>
    <w:rsid w:val="1B5C5539"/>
    <w:rsid w:val="1B6E2C5F"/>
    <w:rsid w:val="1B6F7C86"/>
    <w:rsid w:val="1B895B06"/>
    <w:rsid w:val="1B9F7441"/>
    <w:rsid w:val="1BAE1420"/>
    <w:rsid w:val="1BB45A1D"/>
    <w:rsid w:val="1BBB70E9"/>
    <w:rsid w:val="1BBE1BFD"/>
    <w:rsid w:val="1BBF3107"/>
    <w:rsid w:val="1BCE0CB7"/>
    <w:rsid w:val="1BCF5393"/>
    <w:rsid w:val="1BCF6628"/>
    <w:rsid w:val="1BD05635"/>
    <w:rsid w:val="1BE16FE4"/>
    <w:rsid w:val="1BE621F1"/>
    <w:rsid w:val="1BEE75B9"/>
    <w:rsid w:val="1BF36F61"/>
    <w:rsid w:val="1BF544C8"/>
    <w:rsid w:val="1BFE6E52"/>
    <w:rsid w:val="1C0974D9"/>
    <w:rsid w:val="1C1A4140"/>
    <w:rsid w:val="1C1D2750"/>
    <w:rsid w:val="1C2850F6"/>
    <w:rsid w:val="1C370AFA"/>
    <w:rsid w:val="1C397D23"/>
    <w:rsid w:val="1C3A29A2"/>
    <w:rsid w:val="1C417DCA"/>
    <w:rsid w:val="1C421BCB"/>
    <w:rsid w:val="1C442014"/>
    <w:rsid w:val="1C4E5FF4"/>
    <w:rsid w:val="1C58458E"/>
    <w:rsid w:val="1C635F05"/>
    <w:rsid w:val="1C7163E2"/>
    <w:rsid w:val="1C7D3972"/>
    <w:rsid w:val="1C9E6A05"/>
    <w:rsid w:val="1CC36B8E"/>
    <w:rsid w:val="1CC96033"/>
    <w:rsid w:val="1CD038CB"/>
    <w:rsid w:val="1CE85292"/>
    <w:rsid w:val="1CEF2B93"/>
    <w:rsid w:val="1D025300"/>
    <w:rsid w:val="1D025B81"/>
    <w:rsid w:val="1D0333D2"/>
    <w:rsid w:val="1D060E2A"/>
    <w:rsid w:val="1D063A12"/>
    <w:rsid w:val="1D0A4C81"/>
    <w:rsid w:val="1D0F67C1"/>
    <w:rsid w:val="1D1A4CD8"/>
    <w:rsid w:val="1D265989"/>
    <w:rsid w:val="1D392227"/>
    <w:rsid w:val="1D3C4002"/>
    <w:rsid w:val="1D42436E"/>
    <w:rsid w:val="1D635846"/>
    <w:rsid w:val="1D7D471D"/>
    <w:rsid w:val="1D8879C1"/>
    <w:rsid w:val="1D983C22"/>
    <w:rsid w:val="1DAB4654"/>
    <w:rsid w:val="1DAB7013"/>
    <w:rsid w:val="1DB40AFA"/>
    <w:rsid w:val="1DC927EA"/>
    <w:rsid w:val="1DD04597"/>
    <w:rsid w:val="1DD97B20"/>
    <w:rsid w:val="1DE37FC6"/>
    <w:rsid w:val="1DE61AAC"/>
    <w:rsid w:val="1DE90B09"/>
    <w:rsid w:val="1DE978E6"/>
    <w:rsid w:val="1DEB3895"/>
    <w:rsid w:val="1DEC6BEC"/>
    <w:rsid w:val="1DEE372B"/>
    <w:rsid w:val="1DF44881"/>
    <w:rsid w:val="1DF771A2"/>
    <w:rsid w:val="1DFB5386"/>
    <w:rsid w:val="1DFC70CD"/>
    <w:rsid w:val="1E2256C8"/>
    <w:rsid w:val="1E2C32F1"/>
    <w:rsid w:val="1E327D5D"/>
    <w:rsid w:val="1E4062D2"/>
    <w:rsid w:val="1E4A3844"/>
    <w:rsid w:val="1E4B45B3"/>
    <w:rsid w:val="1E607743"/>
    <w:rsid w:val="1E6926B0"/>
    <w:rsid w:val="1E6E2B43"/>
    <w:rsid w:val="1E6F7707"/>
    <w:rsid w:val="1E73020F"/>
    <w:rsid w:val="1EA10D86"/>
    <w:rsid w:val="1EAA7E8F"/>
    <w:rsid w:val="1EAB15F1"/>
    <w:rsid w:val="1EBC68BB"/>
    <w:rsid w:val="1EDE38F5"/>
    <w:rsid w:val="1EE3459D"/>
    <w:rsid w:val="1EE41CCB"/>
    <w:rsid w:val="1EE74AB6"/>
    <w:rsid w:val="1EEA5C54"/>
    <w:rsid w:val="1F055A0B"/>
    <w:rsid w:val="1F071A6A"/>
    <w:rsid w:val="1F1E5CB3"/>
    <w:rsid w:val="1F1F377D"/>
    <w:rsid w:val="1F2D06D3"/>
    <w:rsid w:val="1F351BDA"/>
    <w:rsid w:val="1F3B357D"/>
    <w:rsid w:val="1F3E6789"/>
    <w:rsid w:val="1F4100AC"/>
    <w:rsid w:val="1F5115A5"/>
    <w:rsid w:val="1F533AFA"/>
    <w:rsid w:val="1F592480"/>
    <w:rsid w:val="1F694C48"/>
    <w:rsid w:val="1F6D1D85"/>
    <w:rsid w:val="1F850D52"/>
    <w:rsid w:val="1F861AC5"/>
    <w:rsid w:val="1F934D52"/>
    <w:rsid w:val="1FB77A96"/>
    <w:rsid w:val="1FC40351"/>
    <w:rsid w:val="1FC701B8"/>
    <w:rsid w:val="1FCB1CB3"/>
    <w:rsid w:val="1FE012DB"/>
    <w:rsid w:val="1FE306F2"/>
    <w:rsid w:val="1FEC28CD"/>
    <w:rsid w:val="1FEC2EE4"/>
    <w:rsid w:val="20074044"/>
    <w:rsid w:val="200F4ACB"/>
    <w:rsid w:val="201819B8"/>
    <w:rsid w:val="201A5ACB"/>
    <w:rsid w:val="202A022C"/>
    <w:rsid w:val="202A3C8E"/>
    <w:rsid w:val="202C7910"/>
    <w:rsid w:val="202D44AC"/>
    <w:rsid w:val="2034307A"/>
    <w:rsid w:val="203A753F"/>
    <w:rsid w:val="203F362C"/>
    <w:rsid w:val="20411BB4"/>
    <w:rsid w:val="2044557C"/>
    <w:rsid w:val="20460E86"/>
    <w:rsid w:val="204712CF"/>
    <w:rsid w:val="204B3A12"/>
    <w:rsid w:val="20674198"/>
    <w:rsid w:val="206D59D7"/>
    <w:rsid w:val="207C2449"/>
    <w:rsid w:val="207D10CC"/>
    <w:rsid w:val="20893727"/>
    <w:rsid w:val="20AE1917"/>
    <w:rsid w:val="20B26E82"/>
    <w:rsid w:val="20B31E0C"/>
    <w:rsid w:val="20B723EB"/>
    <w:rsid w:val="20BC5D44"/>
    <w:rsid w:val="20BF7AD2"/>
    <w:rsid w:val="20C777E0"/>
    <w:rsid w:val="20D858E5"/>
    <w:rsid w:val="20D912DA"/>
    <w:rsid w:val="20D9374A"/>
    <w:rsid w:val="20D94F9D"/>
    <w:rsid w:val="20F30150"/>
    <w:rsid w:val="20FE4F89"/>
    <w:rsid w:val="210C791A"/>
    <w:rsid w:val="211D3648"/>
    <w:rsid w:val="212C6A1D"/>
    <w:rsid w:val="21510B44"/>
    <w:rsid w:val="2159571E"/>
    <w:rsid w:val="215B406B"/>
    <w:rsid w:val="215B505D"/>
    <w:rsid w:val="2160458A"/>
    <w:rsid w:val="21706B6D"/>
    <w:rsid w:val="21766265"/>
    <w:rsid w:val="217819E8"/>
    <w:rsid w:val="217F544D"/>
    <w:rsid w:val="2180181B"/>
    <w:rsid w:val="21822747"/>
    <w:rsid w:val="21886235"/>
    <w:rsid w:val="219C085F"/>
    <w:rsid w:val="21B94482"/>
    <w:rsid w:val="21C70EF7"/>
    <w:rsid w:val="21E97A3F"/>
    <w:rsid w:val="22022DD7"/>
    <w:rsid w:val="221E38C4"/>
    <w:rsid w:val="222C071C"/>
    <w:rsid w:val="222C7A9B"/>
    <w:rsid w:val="22363562"/>
    <w:rsid w:val="22391FDE"/>
    <w:rsid w:val="22434642"/>
    <w:rsid w:val="22461D30"/>
    <w:rsid w:val="226E3AA1"/>
    <w:rsid w:val="22701BE3"/>
    <w:rsid w:val="227F13A1"/>
    <w:rsid w:val="22824152"/>
    <w:rsid w:val="229B515B"/>
    <w:rsid w:val="22AC2810"/>
    <w:rsid w:val="22B953C6"/>
    <w:rsid w:val="22BD7070"/>
    <w:rsid w:val="22CE5184"/>
    <w:rsid w:val="22D42C69"/>
    <w:rsid w:val="22E276D7"/>
    <w:rsid w:val="22FB56E6"/>
    <w:rsid w:val="22FE4D06"/>
    <w:rsid w:val="23003004"/>
    <w:rsid w:val="230B3E4E"/>
    <w:rsid w:val="2318391B"/>
    <w:rsid w:val="231B6FD5"/>
    <w:rsid w:val="23315173"/>
    <w:rsid w:val="23336B6D"/>
    <w:rsid w:val="23366F8D"/>
    <w:rsid w:val="233C2F65"/>
    <w:rsid w:val="233E3727"/>
    <w:rsid w:val="234F3A17"/>
    <w:rsid w:val="235347C6"/>
    <w:rsid w:val="235C02FD"/>
    <w:rsid w:val="236735D8"/>
    <w:rsid w:val="23675E9B"/>
    <w:rsid w:val="236A36EF"/>
    <w:rsid w:val="236A49AF"/>
    <w:rsid w:val="236F0BA0"/>
    <w:rsid w:val="237078DB"/>
    <w:rsid w:val="237B5029"/>
    <w:rsid w:val="2382418E"/>
    <w:rsid w:val="23876024"/>
    <w:rsid w:val="238C3C66"/>
    <w:rsid w:val="239023F7"/>
    <w:rsid w:val="23925EE6"/>
    <w:rsid w:val="239737AA"/>
    <w:rsid w:val="239D3628"/>
    <w:rsid w:val="239E422A"/>
    <w:rsid w:val="239F649F"/>
    <w:rsid w:val="23A960D2"/>
    <w:rsid w:val="23AB1349"/>
    <w:rsid w:val="23AE4FD8"/>
    <w:rsid w:val="23AE7821"/>
    <w:rsid w:val="23B16EAD"/>
    <w:rsid w:val="23C21B6E"/>
    <w:rsid w:val="23CA79D0"/>
    <w:rsid w:val="23CC6BA9"/>
    <w:rsid w:val="23E52FA3"/>
    <w:rsid w:val="23EC1C1D"/>
    <w:rsid w:val="24061ABF"/>
    <w:rsid w:val="240E56C0"/>
    <w:rsid w:val="241A2A34"/>
    <w:rsid w:val="24367263"/>
    <w:rsid w:val="243A025B"/>
    <w:rsid w:val="243A3650"/>
    <w:rsid w:val="243E072E"/>
    <w:rsid w:val="24430A01"/>
    <w:rsid w:val="24594184"/>
    <w:rsid w:val="24640B93"/>
    <w:rsid w:val="247631B3"/>
    <w:rsid w:val="247811AC"/>
    <w:rsid w:val="2485188B"/>
    <w:rsid w:val="249B7A5D"/>
    <w:rsid w:val="24BF4649"/>
    <w:rsid w:val="24C25137"/>
    <w:rsid w:val="24DE6759"/>
    <w:rsid w:val="24F72503"/>
    <w:rsid w:val="24FA0999"/>
    <w:rsid w:val="25082187"/>
    <w:rsid w:val="250B3A7F"/>
    <w:rsid w:val="25100A53"/>
    <w:rsid w:val="25357DD0"/>
    <w:rsid w:val="254B2805"/>
    <w:rsid w:val="255013B0"/>
    <w:rsid w:val="25554FFF"/>
    <w:rsid w:val="256B637F"/>
    <w:rsid w:val="256E50D7"/>
    <w:rsid w:val="25886595"/>
    <w:rsid w:val="25887CE0"/>
    <w:rsid w:val="259412A1"/>
    <w:rsid w:val="25B338AC"/>
    <w:rsid w:val="25B44D23"/>
    <w:rsid w:val="25C42F02"/>
    <w:rsid w:val="25CF6D0D"/>
    <w:rsid w:val="25D910B2"/>
    <w:rsid w:val="25DD3E98"/>
    <w:rsid w:val="25E12B6E"/>
    <w:rsid w:val="260C016B"/>
    <w:rsid w:val="261C0E7D"/>
    <w:rsid w:val="26293A09"/>
    <w:rsid w:val="26343D7C"/>
    <w:rsid w:val="26343F33"/>
    <w:rsid w:val="26360BC1"/>
    <w:rsid w:val="26543407"/>
    <w:rsid w:val="26550CB7"/>
    <w:rsid w:val="26601695"/>
    <w:rsid w:val="2669380E"/>
    <w:rsid w:val="26712433"/>
    <w:rsid w:val="267C5731"/>
    <w:rsid w:val="268432BB"/>
    <w:rsid w:val="26857BF1"/>
    <w:rsid w:val="2691248F"/>
    <w:rsid w:val="269166DD"/>
    <w:rsid w:val="26AA473A"/>
    <w:rsid w:val="26AB233D"/>
    <w:rsid w:val="26B45BC7"/>
    <w:rsid w:val="26E55A53"/>
    <w:rsid w:val="26EA0F39"/>
    <w:rsid w:val="27074FED"/>
    <w:rsid w:val="27164B38"/>
    <w:rsid w:val="27414509"/>
    <w:rsid w:val="274F0839"/>
    <w:rsid w:val="2754120F"/>
    <w:rsid w:val="2759267E"/>
    <w:rsid w:val="2765295E"/>
    <w:rsid w:val="276C057E"/>
    <w:rsid w:val="27925862"/>
    <w:rsid w:val="27AD340D"/>
    <w:rsid w:val="27AD3A09"/>
    <w:rsid w:val="27AD624B"/>
    <w:rsid w:val="27B3634A"/>
    <w:rsid w:val="27BE13C8"/>
    <w:rsid w:val="27C8401C"/>
    <w:rsid w:val="27CA7C43"/>
    <w:rsid w:val="27E060D4"/>
    <w:rsid w:val="27E61361"/>
    <w:rsid w:val="27E91FC9"/>
    <w:rsid w:val="27FB75DF"/>
    <w:rsid w:val="280B2F27"/>
    <w:rsid w:val="28140220"/>
    <w:rsid w:val="281A24AE"/>
    <w:rsid w:val="28211836"/>
    <w:rsid w:val="282545DC"/>
    <w:rsid w:val="282642C2"/>
    <w:rsid w:val="282C5FA9"/>
    <w:rsid w:val="2833643B"/>
    <w:rsid w:val="28364BB3"/>
    <w:rsid w:val="28374C62"/>
    <w:rsid w:val="283D1ECF"/>
    <w:rsid w:val="284400EB"/>
    <w:rsid w:val="28484F3C"/>
    <w:rsid w:val="28487D5F"/>
    <w:rsid w:val="2851454C"/>
    <w:rsid w:val="285960AC"/>
    <w:rsid w:val="28624170"/>
    <w:rsid w:val="28653A56"/>
    <w:rsid w:val="286C07F6"/>
    <w:rsid w:val="287274CD"/>
    <w:rsid w:val="288B333F"/>
    <w:rsid w:val="288E0AFA"/>
    <w:rsid w:val="28A16E33"/>
    <w:rsid w:val="28C82B12"/>
    <w:rsid w:val="28CB6FE0"/>
    <w:rsid w:val="28F047A5"/>
    <w:rsid w:val="29017D90"/>
    <w:rsid w:val="290305DB"/>
    <w:rsid w:val="29051D77"/>
    <w:rsid w:val="29064E28"/>
    <w:rsid w:val="29066ABE"/>
    <w:rsid w:val="290A7D57"/>
    <w:rsid w:val="290B62A1"/>
    <w:rsid w:val="29125E04"/>
    <w:rsid w:val="291434B0"/>
    <w:rsid w:val="2916645A"/>
    <w:rsid w:val="29194358"/>
    <w:rsid w:val="29195E73"/>
    <w:rsid w:val="292D1151"/>
    <w:rsid w:val="292F5C5C"/>
    <w:rsid w:val="294666C8"/>
    <w:rsid w:val="29467EED"/>
    <w:rsid w:val="297D2CCF"/>
    <w:rsid w:val="297E343B"/>
    <w:rsid w:val="297E4B89"/>
    <w:rsid w:val="29845457"/>
    <w:rsid w:val="2985609F"/>
    <w:rsid w:val="298E7006"/>
    <w:rsid w:val="29920277"/>
    <w:rsid w:val="29921AE4"/>
    <w:rsid w:val="29936D1C"/>
    <w:rsid w:val="299730AD"/>
    <w:rsid w:val="299C7A4D"/>
    <w:rsid w:val="299F6B0A"/>
    <w:rsid w:val="29A854FF"/>
    <w:rsid w:val="29B31745"/>
    <w:rsid w:val="29B35695"/>
    <w:rsid w:val="29BF2330"/>
    <w:rsid w:val="29E200FF"/>
    <w:rsid w:val="29EA0D30"/>
    <w:rsid w:val="29ED25AD"/>
    <w:rsid w:val="29F1748F"/>
    <w:rsid w:val="29F47B80"/>
    <w:rsid w:val="29FF490A"/>
    <w:rsid w:val="29FF57BE"/>
    <w:rsid w:val="2A0071A8"/>
    <w:rsid w:val="2A236536"/>
    <w:rsid w:val="2A2A7D08"/>
    <w:rsid w:val="2A367E49"/>
    <w:rsid w:val="2A42774A"/>
    <w:rsid w:val="2A4773FA"/>
    <w:rsid w:val="2A4E3806"/>
    <w:rsid w:val="2A53039B"/>
    <w:rsid w:val="2A551F9D"/>
    <w:rsid w:val="2A590CFD"/>
    <w:rsid w:val="2A5C2C57"/>
    <w:rsid w:val="2A62563A"/>
    <w:rsid w:val="2A644C81"/>
    <w:rsid w:val="2A6C46D0"/>
    <w:rsid w:val="2A70308C"/>
    <w:rsid w:val="2A733586"/>
    <w:rsid w:val="2A7A3933"/>
    <w:rsid w:val="2A81714A"/>
    <w:rsid w:val="2A850F39"/>
    <w:rsid w:val="2AA344AD"/>
    <w:rsid w:val="2AB1176B"/>
    <w:rsid w:val="2AB4238F"/>
    <w:rsid w:val="2AB91E7F"/>
    <w:rsid w:val="2AC071EC"/>
    <w:rsid w:val="2AC65C67"/>
    <w:rsid w:val="2ACD4892"/>
    <w:rsid w:val="2AD33A96"/>
    <w:rsid w:val="2AD56F93"/>
    <w:rsid w:val="2AD83C4E"/>
    <w:rsid w:val="2AE442C9"/>
    <w:rsid w:val="2AE714C6"/>
    <w:rsid w:val="2AE800FB"/>
    <w:rsid w:val="2AFB0375"/>
    <w:rsid w:val="2AFC0141"/>
    <w:rsid w:val="2B021B91"/>
    <w:rsid w:val="2B0532A8"/>
    <w:rsid w:val="2B0711FD"/>
    <w:rsid w:val="2B0819D1"/>
    <w:rsid w:val="2B10499E"/>
    <w:rsid w:val="2B171FC5"/>
    <w:rsid w:val="2B175C4D"/>
    <w:rsid w:val="2B275D02"/>
    <w:rsid w:val="2B2D2E57"/>
    <w:rsid w:val="2B2D736E"/>
    <w:rsid w:val="2B37721E"/>
    <w:rsid w:val="2B3B1D3E"/>
    <w:rsid w:val="2B565C83"/>
    <w:rsid w:val="2B5664FD"/>
    <w:rsid w:val="2B88040B"/>
    <w:rsid w:val="2B931CC2"/>
    <w:rsid w:val="2BA1784B"/>
    <w:rsid w:val="2BB20C90"/>
    <w:rsid w:val="2BBF43FF"/>
    <w:rsid w:val="2BBF5A22"/>
    <w:rsid w:val="2BC368A3"/>
    <w:rsid w:val="2BCD78A1"/>
    <w:rsid w:val="2BD562DC"/>
    <w:rsid w:val="2BDD5E7E"/>
    <w:rsid w:val="2BF70B91"/>
    <w:rsid w:val="2BFF0EBC"/>
    <w:rsid w:val="2C117583"/>
    <w:rsid w:val="2C1875A6"/>
    <w:rsid w:val="2C1F6CA2"/>
    <w:rsid w:val="2C241809"/>
    <w:rsid w:val="2C252ACB"/>
    <w:rsid w:val="2C4F40F2"/>
    <w:rsid w:val="2C517B28"/>
    <w:rsid w:val="2C5326E0"/>
    <w:rsid w:val="2C5F6459"/>
    <w:rsid w:val="2C623BC1"/>
    <w:rsid w:val="2C6421E6"/>
    <w:rsid w:val="2C65059B"/>
    <w:rsid w:val="2C72472D"/>
    <w:rsid w:val="2C730547"/>
    <w:rsid w:val="2C734233"/>
    <w:rsid w:val="2C7A6BDF"/>
    <w:rsid w:val="2C9512DC"/>
    <w:rsid w:val="2C982F9E"/>
    <w:rsid w:val="2C9E786A"/>
    <w:rsid w:val="2CA51FE3"/>
    <w:rsid w:val="2CAF4EAA"/>
    <w:rsid w:val="2CB3047C"/>
    <w:rsid w:val="2CD06494"/>
    <w:rsid w:val="2CD40128"/>
    <w:rsid w:val="2CF8101F"/>
    <w:rsid w:val="2D126DF1"/>
    <w:rsid w:val="2D1471DF"/>
    <w:rsid w:val="2D495476"/>
    <w:rsid w:val="2D5D7C83"/>
    <w:rsid w:val="2D6613F6"/>
    <w:rsid w:val="2D694E96"/>
    <w:rsid w:val="2D847702"/>
    <w:rsid w:val="2D8649B4"/>
    <w:rsid w:val="2D926578"/>
    <w:rsid w:val="2D973907"/>
    <w:rsid w:val="2DA34B73"/>
    <w:rsid w:val="2DAA75A9"/>
    <w:rsid w:val="2DB03AAC"/>
    <w:rsid w:val="2DB525A0"/>
    <w:rsid w:val="2DB66B97"/>
    <w:rsid w:val="2DC21935"/>
    <w:rsid w:val="2DC44F23"/>
    <w:rsid w:val="2DC71D77"/>
    <w:rsid w:val="2DD65E9C"/>
    <w:rsid w:val="2DE622E5"/>
    <w:rsid w:val="2DEE5D6C"/>
    <w:rsid w:val="2DFF641E"/>
    <w:rsid w:val="2E14288F"/>
    <w:rsid w:val="2E213B88"/>
    <w:rsid w:val="2E247B31"/>
    <w:rsid w:val="2E292FC0"/>
    <w:rsid w:val="2E2D7A05"/>
    <w:rsid w:val="2E3F2C8B"/>
    <w:rsid w:val="2E440166"/>
    <w:rsid w:val="2E4F0585"/>
    <w:rsid w:val="2E4F49CC"/>
    <w:rsid w:val="2E5324AE"/>
    <w:rsid w:val="2E563C67"/>
    <w:rsid w:val="2E5A17CF"/>
    <w:rsid w:val="2E732852"/>
    <w:rsid w:val="2E777654"/>
    <w:rsid w:val="2E7B1108"/>
    <w:rsid w:val="2E7E0C04"/>
    <w:rsid w:val="2E801160"/>
    <w:rsid w:val="2E8A6402"/>
    <w:rsid w:val="2E913067"/>
    <w:rsid w:val="2E941506"/>
    <w:rsid w:val="2E9872C0"/>
    <w:rsid w:val="2EA04CE6"/>
    <w:rsid w:val="2EA36B69"/>
    <w:rsid w:val="2EA60901"/>
    <w:rsid w:val="2EE55052"/>
    <w:rsid w:val="2EE57F3A"/>
    <w:rsid w:val="2EF50686"/>
    <w:rsid w:val="2F076BB5"/>
    <w:rsid w:val="2F3F5C92"/>
    <w:rsid w:val="2F4128CE"/>
    <w:rsid w:val="2F42370E"/>
    <w:rsid w:val="2F424BC8"/>
    <w:rsid w:val="2F581C5A"/>
    <w:rsid w:val="2F606488"/>
    <w:rsid w:val="2F700793"/>
    <w:rsid w:val="2F80435F"/>
    <w:rsid w:val="2F827F61"/>
    <w:rsid w:val="2F971E03"/>
    <w:rsid w:val="2F9A6074"/>
    <w:rsid w:val="2FA1092E"/>
    <w:rsid w:val="2FA75DF2"/>
    <w:rsid w:val="2FAD1559"/>
    <w:rsid w:val="2FD14936"/>
    <w:rsid w:val="2FD3738A"/>
    <w:rsid w:val="2FD85B47"/>
    <w:rsid w:val="2FE26073"/>
    <w:rsid w:val="2FED5D8D"/>
    <w:rsid w:val="2FF54DB1"/>
    <w:rsid w:val="2FF81725"/>
    <w:rsid w:val="3027590F"/>
    <w:rsid w:val="302D5A47"/>
    <w:rsid w:val="306128F0"/>
    <w:rsid w:val="30645AED"/>
    <w:rsid w:val="30677186"/>
    <w:rsid w:val="306E30DB"/>
    <w:rsid w:val="3072340F"/>
    <w:rsid w:val="307751EA"/>
    <w:rsid w:val="307810DB"/>
    <w:rsid w:val="30850FFE"/>
    <w:rsid w:val="30873D9E"/>
    <w:rsid w:val="308C3BFB"/>
    <w:rsid w:val="309A5657"/>
    <w:rsid w:val="30A20E5C"/>
    <w:rsid w:val="30B3256D"/>
    <w:rsid w:val="30BD1F15"/>
    <w:rsid w:val="30BE1C49"/>
    <w:rsid w:val="30D1219C"/>
    <w:rsid w:val="30D14882"/>
    <w:rsid w:val="30DA207A"/>
    <w:rsid w:val="30E82475"/>
    <w:rsid w:val="30F3188C"/>
    <w:rsid w:val="30F803DA"/>
    <w:rsid w:val="30FA514D"/>
    <w:rsid w:val="30FA5429"/>
    <w:rsid w:val="30FB7BCD"/>
    <w:rsid w:val="30FC1EB2"/>
    <w:rsid w:val="311450A6"/>
    <w:rsid w:val="31267786"/>
    <w:rsid w:val="31367119"/>
    <w:rsid w:val="315237EE"/>
    <w:rsid w:val="316B2435"/>
    <w:rsid w:val="316F28FE"/>
    <w:rsid w:val="31700203"/>
    <w:rsid w:val="317426EE"/>
    <w:rsid w:val="31744DD4"/>
    <w:rsid w:val="317E550E"/>
    <w:rsid w:val="318377BE"/>
    <w:rsid w:val="318D64CE"/>
    <w:rsid w:val="31AC1619"/>
    <w:rsid w:val="31C62D70"/>
    <w:rsid w:val="31CC434F"/>
    <w:rsid w:val="31D9330E"/>
    <w:rsid w:val="31DF05FB"/>
    <w:rsid w:val="31E054F0"/>
    <w:rsid w:val="322A7D6C"/>
    <w:rsid w:val="32303D35"/>
    <w:rsid w:val="325C7888"/>
    <w:rsid w:val="32646F5D"/>
    <w:rsid w:val="32720C82"/>
    <w:rsid w:val="327514FA"/>
    <w:rsid w:val="32882ABA"/>
    <w:rsid w:val="328F44B7"/>
    <w:rsid w:val="329131B3"/>
    <w:rsid w:val="32934A23"/>
    <w:rsid w:val="3297718F"/>
    <w:rsid w:val="329F1A60"/>
    <w:rsid w:val="32A1415E"/>
    <w:rsid w:val="32AA47B4"/>
    <w:rsid w:val="32B62F01"/>
    <w:rsid w:val="32BE4352"/>
    <w:rsid w:val="32BF4680"/>
    <w:rsid w:val="32C32847"/>
    <w:rsid w:val="32C65D94"/>
    <w:rsid w:val="32C67873"/>
    <w:rsid w:val="32C778ED"/>
    <w:rsid w:val="32C8531D"/>
    <w:rsid w:val="32CC5D28"/>
    <w:rsid w:val="32D97321"/>
    <w:rsid w:val="32F7083E"/>
    <w:rsid w:val="32FA4805"/>
    <w:rsid w:val="3315196D"/>
    <w:rsid w:val="331E7888"/>
    <w:rsid w:val="33204D96"/>
    <w:rsid w:val="33377C2B"/>
    <w:rsid w:val="334E7C36"/>
    <w:rsid w:val="335044D1"/>
    <w:rsid w:val="33621542"/>
    <w:rsid w:val="33667A3C"/>
    <w:rsid w:val="33832700"/>
    <w:rsid w:val="339122ED"/>
    <w:rsid w:val="33982D9C"/>
    <w:rsid w:val="33A15F5A"/>
    <w:rsid w:val="33A855C5"/>
    <w:rsid w:val="33D46CA7"/>
    <w:rsid w:val="33E25A8C"/>
    <w:rsid w:val="33E34780"/>
    <w:rsid w:val="33F12607"/>
    <w:rsid w:val="33F724DB"/>
    <w:rsid w:val="34011D3D"/>
    <w:rsid w:val="34095809"/>
    <w:rsid w:val="340C1761"/>
    <w:rsid w:val="34192090"/>
    <w:rsid w:val="341D3348"/>
    <w:rsid w:val="342A1829"/>
    <w:rsid w:val="342B776B"/>
    <w:rsid w:val="34330D6F"/>
    <w:rsid w:val="343577D1"/>
    <w:rsid w:val="34362EFB"/>
    <w:rsid w:val="34447C7C"/>
    <w:rsid w:val="3450034C"/>
    <w:rsid w:val="34684168"/>
    <w:rsid w:val="346A48C3"/>
    <w:rsid w:val="348A104A"/>
    <w:rsid w:val="349E7C24"/>
    <w:rsid w:val="34AC3D8D"/>
    <w:rsid w:val="34C07071"/>
    <w:rsid w:val="34C54D4C"/>
    <w:rsid w:val="34C5562A"/>
    <w:rsid w:val="34CB05EA"/>
    <w:rsid w:val="34D30DA6"/>
    <w:rsid w:val="34D70CA4"/>
    <w:rsid w:val="34E71203"/>
    <w:rsid w:val="350065FC"/>
    <w:rsid w:val="35262EF5"/>
    <w:rsid w:val="353112FB"/>
    <w:rsid w:val="35316FA2"/>
    <w:rsid w:val="353222DA"/>
    <w:rsid w:val="354D5D81"/>
    <w:rsid w:val="3550688B"/>
    <w:rsid w:val="355B2F5A"/>
    <w:rsid w:val="35616BE9"/>
    <w:rsid w:val="356C7B64"/>
    <w:rsid w:val="3573320E"/>
    <w:rsid w:val="358C5BEA"/>
    <w:rsid w:val="35A7540D"/>
    <w:rsid w:val="35B535C5"/>
    <w:rsid w:val="35D03CC9"/>
    <w:rsid w:val="35DB093F"/>
    <w:rsid w:val="35DD70AC"/>
    <w:rsid w:val="35FB0490"/>
    <w:rsid w:val="35FE1BC0"/>
    <w:rsid w:val="36023AA0"/>
    <w:rsid w:val="360536FE"/>
    <w:rsid w:val="360C128A"/>
    <w:rsid w:val="36280D54"/>
    <w:rsid w:val="36284F61"/>
    <w:rsid w:val="36341BB9"/>
    <w:rsid w:val="363A1B7F"/>
    <w:rsid w:val="36433731"/>
    <w:rsid w:val="36446018"/>
    <w:rsid w:val="36493B73"/>
    <w:rsid w:val="364D542B"/>
    <w:rsid w:val="36507670"/>
    <w:rsid w:val="36597A5B"/>
    <w:rsid w:val="366126AE"/>
    <w:rsid w:val="366C1C71"/>
    <w:rsid w:val="367050C3"/>
    <w:rsid w:val="36794C86"/>
    <w:rsid w:val="367C1BF9"/>
    <w:rsid w:val="368838C7"/>
    <w:rsid w:val="368B05E3"/>
    <w:rsid w:val="36913A1F"/>
    <w:rsid w:val="36AD0A63"/>
    <w:rsid w:val="36B96700"/>
    <w:rsid w:val="36B96D69"/>
    <w:rsid w:val="36CF02C0"/>
    <w:rsid w:val="36D476CD"/>
    <w:rsid w:val="36D50BC4"/>
    <w:rsid w:val="36E06E02"/>
    <w:rsid w:val="36F83F23"/>
    <w:rsid w:val="36F9155C"/>
    <w:rsid w:val="37100239"/>
    <w:rsid w:val="37172813"/>
    <w:rsid w:val="37222698"/>
    <w:rsid w:val="37356BF9"/>
    <w:rsid w:val="373A6A38"/>
    <w:rsid w:val="373B27AC"/>
    <w:rsid w:val="375757BE"/>
    <w:rsid w:val="375A7BBA"/>
    <w:rsid w:val="375B71B3"/>
    <w:rsid w:val="375D4FE4"/>
    <w:rsid w:val="376545FD"/>
    <w:rsid w:val="376B385D"/>
    <w:rsid w:val="37725FE0"/>
    <w:rsid w:val="377C18FA"/>
    <w:rsid w:val="37891719"/>
    <w:rsid w:val="378F6E88"/>
    <w:rsid w:val="379B1959"/>
    <w:rsid w:val="37B25A11"/>
    <w:rsid w:val="37B30549"/>
    <w:rsid w:val="37B55EBC"/>
    <w:rsid w:val="37B87BFA"/>
    <w:rsid w:val="37DE313F"/>
    <w:rsid w:val="37E934FF"/>
    <w:rsid w:val="37ED4239"/>
    <w:rsid w:val="37FD0F51"/>
    <w:rsid w:val="37FE2B38"/>
    <w:rsid w:val="38027EF4"/>
    <w:rsid w:val="380C21B0"/>
    <w:rsid w:val="3813107B"/>
    <w:rsid w:val="3815385F"/>
    <w:rsid w:val="38171486"/>
    <w:rsid w:val="383A240B"/>
    <w:rsid w:val="383C7D89"/>
    <w:rsid w:val="383E18BA"/>
    <w:rsid w:val="38430F59"/>
    <w:rsid w:val="38456575"/>
    <w:rsid w:val="384B5F17"/>
    <w:rsid w:val="384F1050"/>
    <w:rsid w:val="38582A86"/>
    <w:rsid w:val="38682B32"/>
    <w:rsid w:val="38706180"/>
    <w:rsid w:val="3871435A"/>
    <w:rsid w:val="38741A1A"/>
    <w:rsid w:val="387A1B1B"/>
    <w:rsid w:val="387C1888"/>
    <w:rsid w:val="38867D68"/>
    <w:rsid w:val="38892E4E"/>
    <w:rsid w:val="388F472D"/>
    <w:rsid w:val="38944141"/>
    <w:rsid w:val="38A402B6"/>
    <w:rsid w:val="38C14DF6"/>
    <w:rsid w:val="38D01537"/>
    <w:rsid w:val="38D12F59"/>
    <w:rsid w:val="38E75BE2"/>
    <w:rsid w:val="38FA3764"/>
    <w:rsid w:val="39000333"/>
    <w:rsid w:val="39096CC4"/>
    <w:rsid w:val="390B430D"/>
    <w:rsid w:val="39160843"/>
    <w:rsid w:val="39211325"/>
    <w:rsid w:val="3938232A"/>
    <w:rsid w:val="394437C6"/>
    <w:rsid w:val="39520B52"/>
    <w:rsid w:val="395521CE"/>
    <w:rsid w:val="39574254"/>
    <w:rsid w:val="395B1F76"/>
    <w:rsid w:val="395B289B"/>
    <w:rsid w:val="395D106F"/>
    <w:rsid w:val="39663570"/>
    <w:rsid w:val="396C3132"/>
    <w:rsid w:val="3971640A"/>
    <w:rsid w:val="39735BA0"/>
    <w:rsid w:val="39967FF9"/>
    <w:rsid w:val="39B22BF1"/>
    <w:rsid w:val="39B94A3E"/>
    <w:rsid w:val="39B9780B"/>
    <w:rsid w:val="39DB5A76"/>
    <w:rsid w:val="39E371C4"/>
    <w:rsid w:val="39F735FB"/>
    <w:rsid w:val="3A234A09"/>
    <w:rsid w:val="3A2B64F0"/>
    <w:rsid w:val="3A3716A8"/>
    <w:rsid w:val="3A37639F"/>
    <w:rsid w:val="3A3F56F9"/>
    <w:rsid w:val="3A403126"/>
    <w:rsid w:val="3A516A28"/>
    <w:rsid w:val="3A5F24BF"/>
    <w:rsid w:val="3A615E6F"/>
    <w:rsid w:val="3A6E7AAC"/>
    <w:rsid w:val="3A727250"/>
    <w:rsid w:val="3A7355DC"/>
    <w:rsid w:val="3A7B5BEC"/>
    <w:rsid w:val="3A90748D"/>
    <w:rsid w:val="3A923626"/>
    <w:rsid w:val="3A94481A"/>
    <w:rsid w:val="3A99603F"/>
    <w:rsid w:val="3AB31DBB"/>
    <w:rsid w:val="3AB40229"/>
    <w:rsid w:val="3AB60991"/>
    <w:rsid w:val="3ABF33EE"/>
    <w:rsid w:val="3AC03047"/>
    <w:rsid w:val="3AC851B3"/>
    <w:rsid w:val="3ACF5BF6"/>
    <w:rsid w:val="3AD47809"/>
    <w:rsid w:val="3AD73AB4"/>
    <w:rsid w:val="3AD751C4"/>
    <w:rsid w:val="3AFC1C8F"/>
    <w:rsid w:val="3B18327C"/>
    <w:rsid w:val="3B207D1C"/>
    <w:rsid w:val="3B213725"/>
    <w:rsid w:val="3B217846"/>
    <w:rsid w:val="3B360CA4"/>
    <w:rsid w:val="3B3F6AEA"/>
    <w:rsid w:val="3B752E02"/>
    <w:rsid w:val="3B7D5B89"/>
    <w:rsid w:val="3B7F37A2"/>
    <w:rsid w:val="3B873DB8"/>
    <w:rsid w:val="3B940433"/>
    <w:rsid w:val="3B99464D"/>
    <w:rsid w:val="3BB61867"/>
    <w:rsid w:val="3BB627A8"/>
    <w:rsid w:val="3BBF5842"/>
    <w:rsid w:val="3BC6016B"/>
    <w:rsid w:val="3BD9365D"/>
    <w:rsid w:val="3BFC5E8A"/>
    <w:rsid w:val="3C352906"/>
    <w:rsid w:val="3C38182B"/>
    <w:rsid w:val="3C41292C"/>
    <w:rsid w:val="3C470C21"/>
    <w:rsid w:val="3C5271D8"/>
    <w:rsid w:val="3C5D6323"/>
    <w:rsid w:val="3C646598"/>
    <w:rsid w:val="3C6740D7"/>
    <w:rsid w:val="3C6E2E7D"/>
    <w:rsid w:val="3C753E8A"/>
    <w:rsid w:val="3C8B4A97"/>
    <w:rsid w:val="3C8C3FE1"/>
    <w:rsid w:val="3C900D5A"/>
    <w:rsid w:val="3C9B5550"/>
    <w:rsid w:val="3CA479BF"/>
    <w:rsid w:val="3CA874BC"/>
    <w:rsid w:val="3CB1030F"/>
    <w:rsid w:val="3CB41AF7"/>
    <w:rsid w:val="3CD60AE5"/>
    <w:rsid w:val="3CDB7F89"/>
    <w:rsid w:val="3CE8081B"/>
    <w:rsid w:val="3CE83230"/>
    <w:rsid w:val="3CF774BC"/>
    <w:rsid w:val="3CFC01D5"/>
    <w:rsid w:val="3D061000"/>
    <w:rsid w:val="3D083C8F"/>
    <w:rsid w:val="3D0C69B1"/>
    <w:rsid w:val="3D137F39"/>
    <w:rsid w:val="3D1B5BFC"/>
    <w:rsid w:val="3D2725F2"/>
    <w:rsid w:val="3D3A2715"/>
    <w:rsid w:val="3D3B0B73"/>
    <w:rsid w:val="3D416610"/>
    <w:rsid w:val="3D4570B1"/>
    <w:rsid w:val="3D613DC7"/>
    <w:rsid w:val="3D66384C"/>
    <w:rsid w:val="3D6D28CF"/>
    <w:rsid w:val="3D7118AA"/>
    <w:rsid w:val="3D715F6A"/>
    <w:rsid w:val="3D741975"/>
    <w:rsid w:val="3D7434F1"/>
    <w:rsid w:val="3D790078"/>
    <w:rsid w:val="3D86731F"/>
    <w:rsid w:val="3D8932CD"/>
    <w:rsid w:val="3D9144FB"/>
    <w:rsid w:val="3D9A5845"/>
    <w:rsid w:val="3D9B327E"/>
    <w:rsid w:val="3DA03976"/>
    <w:rsid w:val="3DA53CD6"/>
    <w:rsid w:val="3DAA35C0"/>
    <w:rsid w:val="3DAE382E"/>
    <w:rsid w:val="3DB67018"/>
    <w:rsid w:val="3DBB6DDA"/>
    <w:rsid w:val="3DBC0038"/>
    <w:rsid w:val="3DC05EF1"/>
    <w:rsid w:val="3DC409B7"/>
    <w:rsid w:val="3DC54663"/>
    <w:rsid w:val="3DCC2065"/>
    <w:rsid w:val="3DD22605"/>
    <w:rsid w:val="3E040046"/>
    <w:rsid w:val="3E0C26AD"/>
    <w:rsid w:val="3E191FC1"/>
    <w:rsid w:val="3E374350"/>
    <w:rsid w:val="3E692B4C"/>
    <w:rsid w:val="3E7F5A2C"/>
    <w:rsid w:val="3E845CD8"/>
    <w:rsid w:val="3E950372"/>
    <w:rsid w:val="3E987081"/>
    <w:rsid w:val="3E9E2418"/>
    <w:rsid w:val="3EA9655A"/>
    <w:rsid w:val="3EA978A9"/>
    <w:rsid w:val="3EAC4E3D"/>
    <w:rsid w:val="3EBE39D4"/>
    <w:rsid w:val="3EBF065C"/>
    <w:rsid w:val="3EC92B38"/>
    <w:rsid w:val="3ED27F5D"/>
    <w:rsid w:val="3ED60960"/>
    <w:rsid w:val="3EDA06DF"/>
    <w:rsid w:val="3F04758B"/>
    <w:rsid w:val="3F2238C1"/>
    <w:rsid w:val="3F247B53"/>
    <w:rsid w:val="3F2E38E5"/>
    <w:rsid w:val="3F3A7E0F"/>
    <w:rsid w:val="3F3D26DC"/>
    <w:rsid w:val="3F3F43CB"/>
    <w:rsid w:val="3F50464B"/>
    <w:rsid w:val="3F545F61"/>
    <w:rsid w:val="3F5F14EA"/>
    <w:rsid w:val="3F7808FB"/>
    <w:rsid w:val="3F9758D9"/>
    <w:rsid w:val="3FA8265D"/>
    <w:rsid w:val="3FAF3DB9"/>
    <w:rsid w:val="3FB261E0"/>
    <w:rsid w:val="3FB62942"/>
    <w:rsid w:val="3FC21F76"/>
    <w:rsid w:val="3FC42F67"/>
    <w:rsid w:val="3FC623A6"/>
    <w:rsid w:val="3FCA0834"/>
    <w:rsid w:val="3FD331E8"/>
    <w:rsid w:val="3FD35636"/>
    <w:rsid w:val="3FE0676F"/>
    <w:rsid w:val="3FE2140B"/>
    <w:rsid w:val="3FEA1B46"/>
    <w:rsid w:val="3FF01AAF"/>
    <w:rsid w:val="3FFE22D9"/>
    <w:rsid w:val="3FFF5143"/>
    <w:rsid w:val="40256A12"/>
    <w:rsid w:val="40301DD5"/>
    <w:rsid w:val="404555BA"/>
    <w:rsid w:val="404B69D9"/>
    <w:rsid w:val="404F5F0C"/>
    <w:rsid w:val="405A4D82"/>
    <w:rsid w:val="405C0C31"/>
    <w:rsid w:val="405D727E"/>
    <w:rsid w:val="4069104E"/>
    <w:rsid w:val="407E7C81"/>
    <w:rsid w:val="40817904"/>
    <w:rsid w:val="40865464"/>
    <w:rsid w:val="40895D04"/>
    <w:rsid w:val="408A2B85"/>
    <w:rsid w:val="408E0530"/>
    <w:rsid w:val="408E23CA"/>
    <w:rsid w:val="409C0917"/>
    <w:rsid w:val="40BF1100"/>
    <w:rsid w:val="40C979B7"/>
    <w:rsid w:val="40CC6F00"/>
    <w:rsid w:val="40E30660"/>
    <w:rsid w:val="40EB6DDA"/>
    <w:rsid w:val="40F05136"/>
    <w:rsid w:val="40F40899"/>
    <w:rsid w:val="40FE56DB"/>
    <w:rsid w:val="40FF6B24"/>
    <w:rsid w:val="410A786B"/>
    <w:rsid w:val="411C3FD8"/>
    <w:rsid w:val="411D1A36"/>
    <w:rsid w:val="412F303F"/>
    <w:rsid w:val="4132399E"/>
    <w:rsid w:val="413D4809"/>
    <w:rsid w:val="41407B03"/>
    <w:rsid w:val="414A7F68"/>
    <w:rsid w:val="414D209B"/>
    <w:rsid w:val="415A7B59"/>
    <w:rsid w:val="416167D8"/>
    <w:rsid w:val="41620C18"/>
    <w:rsid w:val="416432ED"/>
    <w:rsid w:val="41704767"/>
    <w:rsid w:val="41771CE0"/>
    <w:rsid w:val="417C0014"/>
    <w:rsid w:val="418235CC"/>
    <w:rsid w:val="41B34308"/>
    <w:rsid w:val="41BC569A"/>
    <w:rsid w:val="41C31A75"/>
    <w:rsid w:val="41CA535B"/>
    <w:rsid w:val="41D035E3"/>
    <w:rsid w:val="41D03DF4"/>
    <w:rsid w:val="41EB3D21"/>
    <w:rsid w:val="41F13F74"/>
    <w:rsid w:val="41FD7A91"/>
    <w:rsid w:val="420F5CBA"/>
    <w:rsid w:val="42266526"/>
    <w:rsid w:val="422C2F90"/>
    <w:rsid w:val="42325378"/>
    <w:rsid w:val="425D441D"/>
    <w:rsid w:val="426B3DB6"/>
    <w:rsid w:val="428227CF"/>
    <w:rsid w:val="42886371"/>
    <w:rsid w:val="428F537D"/>
    <w:rsid w:val="42913AF3"/>
    <w:rsid w:val="42B01447"/>
    <w:rsid w:val="42B328D6"/>
    <w:rsid w:val="42CD19A4"/>
    <w:rsid w:val="42D37C85"/>
    <w:rsid w:val="42D37D72"/>
    <w:rsid w:val="42DA671A"/>
    <w:rsid w:val="42F24786"/>
    <w:rsid w:val="431205F3"/>
    <w:rsid w:val="431723D9"/>
    <w:rsid w:val="431E096A"/>
    <w:rsid w:val="431E5D7C"/>
    <w:rsid w:val="4326101C"/>
    <w:rsid w:val="432F3B0D"/>
    <w:rsid w:val="4333660B"/>
    <w:rsid w:val="433562B2"/>
    <w:rsid w:val="43366DB6"/>
    <w:rsid w:val="43390105"/>
    <w:rsid w:val="434A0C83"/>
    <w:rsid w:val="434D4472"/>
    <w:rsid w:val="43516844"/>
    <w:rsid w:val="435E165A"/>
    <w:rsid w:val="4365412B"/>
    <w:rsid w:val="436C0640"/>
    <w:rsid w:val="437156F8"/>
    <w:rsid w:val="4372703B"/>
    <w:rsid w:val="437333ED"/>
    <w:rsid w:val="438E490C"/>
    <w:rsid w:val="439C22F3"/>
    <w:rsid w:val="43A0473B"/>
    <w:rsid w:val="43A639A8"/>
    <w:rsid w:val="43A86031"/>
    <w:rsid w:val="43B11D9E"/>
    <w:rsid w:val="43B537DF"/>
    <w:rsid w:val="43BB2672"/>
    <w:rsid w:val="43BF263A"/>
    <w:rsid w:val="43C10113"/>
    <w:rsid w:val="43E70F87"/>
    <w:rsid w:val="43E81DC7"/>
    <w:rsid w:val="43F002A9"/>
    <w:rsid w:val="43F749EF"/>
    <w:rsid w:val="44095E1B"/>
    <w:rsid w:val="44257EC2"/>
    <w:rsid w:val="44283CAA"/>
    <w:rsid w:val="442D456E"/>
    <w:rsid w:val="443470F5"/>
    <w:rsid w:val="443940F9"/>
    <w:rsid w:val="443B7EF2"/>
    <w:rsid w:val="444033FE"/>
    <w:rsid w:val="44695173"/>
    <w:rsid w:val="44730093"/>
    <w:rsid w:val="447710ED"/>
    <w:rsid w:val="447E0F7A"/>
    <w:rsid w:val="44912B67"/>
    <w:rsid w:val="44A1106B"/>
    <w:rsid w:val="44A42E3D"/>
    <w:rsid w:val="44A91E34"/>
    <w:rsid w:val="44B1257C"/>
    <w:rsid w:val="44C567C9"/>
    <w:rsid w:val="44C73053"/>
    <w:rsid w:val="44CB7C6F"/>
    <w:rsid w:val="44DA4380"/>
    <w:rsid w:val="44DC1442"/>
    <w:rsid w:val="44F2052E"/>
    <w:rsid w:val="450965AF"/>
    <w:rsid w:val="4517687B"/>
    <w:rsid w:val="4520767D"/>
    <w:rsid w:val="45317FE8"/>
    <w:rsid w:val="453D6F78"/>
    <w:rsid w:val="454834C3"/>
    <w:rsid w:val="454B76ED"/>
    <w:rsid w:val="45510A59"/>
    <w:rsid w:val="45517505"/>
    <w:rsid w:val="45537F28"/>
    <w:rsid w:val="45570AD1"/>
    <w:rsid w:val="45583952"/>
    <w:rsid w:val="4569225C"/>
    <w:rsid w:val="45954F09"/>
    <w:rsid w:val="45A22BF5"/>
    <w:rsid w:val="45A95073"/>
    <w:rsid w:val="45CE77AE"/>
    <w:rsid w:val="45E21716"/>
    <w:rsid w:val="45F625E6"/>
    <w:rsid w:val="46120C27"/>
    <w:rsid w:val="4613532A"/>
    <w:rsid w:val="461A276B"/>
    <w:rsid w:val="4623784E"/>
    <w:rsid w:val="462E694A"/>
    <w:rsid w:val="464D070C"/>
    <w:rsid w:val="46544551"/>
    <w:rsid w:val="465B5F4E"/>
    <w:rsid w:val="465E23E5"/>
    <w:rsid w:val="466929A0"/>
    <w:rsid w:val="466B36ED"/>
    <w:rsid w:val="466D2389"/>
    <w:rsid w:val="466E6C14"/>
    <w:rsid w:val="467B1E36"/>
    <w:rsid w:val="467C1203"/>
    <w:rsid w:val="46903A79"/>
    <w:rsid w:val="4697228A"/>
    <w:rsid w:val="46973A4D"/>
    <w:rsid w:val="46C14201"/>
    <w:rsid w:val="46CC2D9D"/>
    <w:rsid w:val="46D41819"/>
    <w:rsid w:val="470E53EE"/>
    <w:rsid w:val="470F1673"/>
    <w:rsid w:val="47172D40"/>
    <w:rsid w:val="4729208D"/>
    <w:rsid w:val="4729511A"/>
    <w:rsid w:val="47347CDF"/>
    <w:rsid w:val="47374107"/>
    <w:rsid w:val="474D0CEC"/>
    <w:rsid w:val="475110F1"/>
    <w:rsid w:val="47512F96"/>
    <w:rsid w:val="47684976"/>
    <w:rsid w:val="476A5FA6"/>
    <w:rsid w:val="47754B61"/>
    <w:rsid w:val="47794D99"/>
    <w:rsid w:val="477A3720"/>
    <w:rsid w:val="477B53F2"/>
    <w:rsid w:val="478770EE"/>
    <w:rsid w:val="478D7600"/>
    <w:rsid w:val="479876E6"/>
    <w:rsid w:val="47DE2374"/>
    <w:rsid w:val="47EE0D76"/>
    <w:rsid w:val="47F20CDE"/>
    <w:rsid w:val="47F8110A"/>
    <w:rsid w:val="47FB1038"/>
    <w:rsid w:val="48293390"/>
    <w:rsid w:val="482E5C0E"/>
    <w:rsid w:val="483B4819"/>
    <w:rsid w:val="48422197"/>
    <w:rsid w:val="484830EE"/>
    <w:rsid w:val="485D0C6D"/>
    <w:rsid w:val="48637C35"/>
    <w:rsid w:val="487257F7"/>
    <w:rsid w:val="48747646"/>
    <w:rsid w:val="487B6D83"/>
    <w:rsid w:val="48814940"/>
    <w:rsid w:val="488A04A7"/>
    <w:rsid w:val="48906A4B"/>
    <w:rsid w:val="48936065"/>
    <w:rsid w:val="489861BA"/>
    <w:rsid w:val="489E6489"/>
    <w:rsid w:val="489F02D3"/>
    <w:rsid w:val="48A73C3A"/>
    <w:rsid w:val="48B3413A"/>
    <w:rsid w:val="48C22323"/>
    <w:rsid w:val="48C86A2A"/>
    <w:rsid w:val="48CC5A93"/>
    <w:rsid w:val="48D062FA"/>
    <w:rsid w:val="48D06991"/>
    <w:rsid w:val="48E11F2F"/>
    <w:rsid w:val="48F80F55"/>
    <w:rsid w:val="49020F2B"/>
    <w:rsid w:val="4910480E"/>
    <w:rsid w:val="49195C70"/>
    <w:rsid w:val="491D6AB1"/>
    <w:rsid w:val="49250D10"/>
    <w:rsid w:val="492D3C24"/>
    <w:rsid w:val="49352233"/>
    <w:rsid w:val="49430AB8"/>
    <w:rsid w:val="49537666"/>
    <w:rsid w:val="495847B8"/>
    <w:rsid w:val="495D417D"/>
    <w:rsid w:val="49603276"/>
    <w:rsid w:val="49631361"/>
    <w:rsid w:val="496D2A70"/>
    <w:rsid w:val="496D6D7E"/>
    <w:rsid w:val="496E1031"/>
    <w:rsid w:val="496E4671"/>
    <w:rsid w:val="497D17A2"/>
    <w:rsid w:val="498E71C3"/>
    <w:rsid w:val="49964D3A"/>
    <w:rsid w:val="499C435E"/>
    <w:rsid w:val="49AD6E32"/>
    <w:rsid w:val="49DF0C9B"/>
    <w:rsid w:val="49E3695B"/>
    <w:rsid w:val="49E71894"/>
    <w:rsid w:val="49EE3022"/>
    <w:rsid w:val="4A046F56"/>
    <w:rsid w:val="4A1411D4"/>
    <w:rsid w:val="4A3A7CAA"/>
    <w:rsid w:val="4A3E24F1"/>
    <w:rsid w:val="4A430618"/>
    <w:rsid w:val="4A563276"/>
    <w:rsid w:val="4A591E71"/>
    <w:rsid w:val="4A5B0CC2"/>
    <w:rsid w:val="4A682575"/>
    <w:rsid w:val="4A747EBC"/>
    <w:rsid w:val="4A761BE0"/>
    <w:rsid w:val="4A781C97"/>
    <w:rsid w:val="4A8240EE"/>
    <w:rsid w:val="4A9C4DD5"/>
    <w:rsid w:val="4A9D6C78"/>
    <w:rsid w:val="4AB20BE2"/>
    <w:rsid w:val="4AB915E0"/>
    <w:rsid w:val="4AC948AA"/>
    <w:rsid w:val="4AD1044E"/>
    <w:rsid w:val="4AE37189"/>
    <w:rsid w:val="4AE569A1"/>
    <w:rsid w:val="4AEA2E38"/>
    <w:rsid w:val="4AEA5D99"/>
    <w:rsid w:val="4AFB79CA"/>
    <w:rsid w:val="4B043DBB"/>
    <w:rsid w:val="4B101CD8"/>
    <w:rsid w:val="4B2270F3"/>
    <w:rsid w:val="4B252126"/>
    <w:rsid w:val="4B5A7609"/>
    <w:rsid w:val="4B673891"/>
    <w:rsid w:val="4B7A7AAB"/>
    <w:rsid w:val="4B9A198C"/>
    <w:rsid w:val="4BB73064"/>
    <w:rsid w:val="4BB91540"/>
    <w:rsid w:val="4BC604AE"/>
    <w:rsid w:val="4BCD7B24"/>
    <w:rsid w:val="4BE27999"/>
    <w:rsid w:val="4BEA5C11"/>
    <w:rsid w:val="4BED1216"/>
    <w:rsid w:val="4C0F397F"/>
    <w:rsid w:val="4C166E9E"/>
    <w:rsid w:val="4C1828BF"/>
    <w:rsid w:val="4C207266"/>
    <w:rsid w:val="4C261238"/>
    <w:rsid w:val="4C2679B1"/>
    <w:rsid w:val="4C2857C1"/>
    <w:rsid w:val="4C2861DE"/>
    <w:rsid w:val="4C4C7296"/>
    <w:rsid w:val="4C4F24A7"/>
    <w:rsid w:val="4C5B1F90"/>
    <w:rsid w:val="4C6270F7"/>
    <w:rsid w:val="4C6A4E10"/>
    <w:rsid w:val="4C6B6B70"/>
    <w:rsid w:val="4C6E0283"/>
    <w:rsid w:val="4C7D0F66"/>
    <w:rsid w:val="4C8C2E5F"/>
    <w:rsid w:val="4C8C581F"/>
    <w:rsid w:val="4C9E369C"/>
    <w:rsid w:val="4CA44936"/>
    <w:rsid w:val="4CC5541F"/>
    <w:rsid w:val="4CC607BE"/>
    <w:rsid w:val="4CCB6DFE"/>
    <w:rsid w:val="4CD745CA"/>
    <w:rsid w:val="4CDF4A87"/>
    <w:rsid w:val="4CE55733"/>
    <w:rsid w:val="4CE70734"/>
    <w:rsid w:val="4CEA2542"/>
    <w:rsid w:val="4CFE14A1"/>
    <w:rsid w:val="4D0F56E8"/>
    <w:rsid w:val="4D213F09"/>
    <w:rsid w:val="4D214B0C"/>
    <w:rsid w:val="4D232342"/>
    <w:rsid w:val="4D2B3B70"/>
    <w:rsid w:val="4D2E5E21"/>
    <w:rsid w:val="4D37218F"/>
    <w:rsid w:val="4D372AD4"/>
    <w:rsid w:val="4D3A280D"/>
    <w:rsid w:val="4D4D566F"/>
    <w:rsid w:val="4D624972"/>
    <w:rsid w:val="4D683AB6"/>
    <w:rsid w:val="4D745C80"/>
    <w:rsid w:val="4D986E12"/>
    <w:rsid w:val="4D9B5640"/>
    <w:rsid w:val="4D9B7532"/>
    <w:rsid w:val="4DB21B43"/>
    <w:rsid w:val="4DBE179C"/>
    <w:rsid w:val="4DC31C50"/>
    <w:rsid w:val="4DC56346"/>
    <w:rsid w:val="4DC6750F"/>
    <w:rsid w:val="4DC80C18"/>
    <w:rsid w:val="4DC95B04"/>
    <w:rsid w:val="4DE103E1"/>
    <w:rsid w:val="4DE67761"/>
    <w:rsid w:val="4DF0649D"/>
    <w:rsid w:val="4E135AD5"/>
    <w:rsid w:val="4E190856"/>
    <w:rsid w:val="4E1B09C7"/>
    <w:rsid w:val="4E2E597B"/>
    <w:rsid w:val="4E3A710E"/>
    <w:rsid w:val="4E51106E"/>
    <w:rsid w:val="4E523A72"/>
    <w:rsid w:val="4E550956"/>
    <w:rsid w:val="4E69276F"/>
    <w:rsid w:val="4E6F78AC"/>
    <w:rsid w:val="4E7107F8"/>
    <w:rsid w:val="4E747400"/>
    <w:rsid w:val="4E985129"/>
    <w:rsid w:val="4E991274"/>
    <w:rsid w:val="4E9F4303"/>
    <w:rsid w:val="4EA154E8"/>
    <w:rsid w:val="4EA50696"/>
    <w:rsid w:val="4EB742DF"/>
    <w:rsid w:val="4EF71BF1"/>
    <w:rsid w:val="4EF77C64"/>
    <w:rsid w:val="4F0C20B9"/>
    <w:rsid w:val="4F0E2636"/>
    <w:rsid w:val="4F157BA3"/>
    <w:rsid w:val="4F1C2533"/>
    <w:rsid w:val="4F314195"/>
    <w:rsid w:val="4F5611D5"/>
    <w:rsid w:val="4F5B0E13"/>
    <w:rsid w:val="4F64612C"/>
    <w:rsid w:val="4F6B5B74"/>
    <w:rsid w:val="4F6C637A"/>
    <w:rsid w:val="4F7E00D2"/>
    <w:rsid w:val="4F8F0A33"/>
    <w:rsid w:val="4F8F6751"/>
    <w:rsid w:val="4F931CEF"/>
    <w:rsid w:val="4F973A1F"/>
    <w:rsid w:val="4F9F5380"/>
    <w:rsid w:val="4FB40CAF"/>
    <w:rsid w:val="4FBB1F80"/>
    <w:rsid w:val="4FD7186D"/>
    <w:rsid w:val="4FD86FFC"/>
    <w:rsid w:val="4FE57A0B"/>
    <w:rsid w:val="4FEE04C3"/>
    <w:rsid w:val="4FFF05C8"/>
    <w:rsid w:val="500D0C92"/>
    <w:rsid w:val="50101B68"/>
    <w:rsid w:val="50145561"/>
    <w:rsid w:val="50231237"/>
    <w:rsid w:val="50316AE6"/>
    <w:rsid w:val="503C3033"/>
    <w:rsid w:val="50402176"/>
    <w:rsid w:val="504501BA"/>
    <w:rsid w:val="504B66F9"/>
    <w:rsid w:val="504F0FD5"/>
    <w:rsid w:val="508A2BC1"/>
    <w:rsid w:val="508D2838"/>
    <w:rsid w:val="509A1445"/>
    <w:rsid w:val="50A225B2"/>
    <w:rsid w:val="50AD0FE0"/>
    <w:rsid w:val="50B002DF"/>
    <w:rsid w:val="50BD043A"/>
    <w:rsid w:val="50C14622"/>
    <w:rsid w:val="50CE4A67"/>
    <w:rsid w:val="50D138C9"/>
    <w:rsid w:val="50D144AB"/>
    <w:rsid w:val="50E61BE4"/>
    <w:rsid w:val="50ED2ECF"/>
    <w:rsid w:val="50F14DDD"/>
    <w:rsid w:val="50F50D28"/>
    <w:rsid w:val="50F52842"/>
    <w:rsid w:val="50F66128"/>
    <w:rsid w:val="51111962"/>
    <w:rsid w:val="51156E16"/>
    <w:rsid w:val="51201C56"/>
    <w:rsid w:val="512C6826"/>
    <w:rsid w:val="514D04DD"/>
    <w:rsid w:val="51574163"/>
    <w:rsid w:val="515A3BA8"/>
    <w:rsid w:val="515B5AD7"/>
    <w:rsid w:val="51601A75"/>
    <w:rsid w:val="51705134"/>
    <w:rsid w:val="518039E0"/>
    <w:rsid w:val="519040C6"/>
    <w:rsid w:val="51A470B3"/>
    <w:rsid w:val="51AD3058"/>
    <w:rsid w:val="51AE4EF8"/>
    <w:rsid w:val="51C4727C"/>
    <w:rsid w:val="51C504C1"/>
    <w:rsid w:val="51C80D0E"/>
    <w:rsid w:val="51CF0BEC"/>
    <w:rsid w:val="51D13C59"/>
    <w:rsid w:val="51E47613"/>
    <w:rsid w:val="51EE7DD6"/>
    <w:rsid w:val="51FD59DB"/>
    <w:rsid w:val="52006EE0"/>
    <w:rsid w:val="520663F2"/>
    <w:rsid w:val="52420A77"/>
    <w:rsid w:val="52511D9F"/>
    <w:rsid w:val="525147D7"/>
    <w:rsid w:val="52585931"/>
    <w:rsid w:val="52661F3F"/>
    <w:rsid w:val="526D3977"/>
    <w:rsid w:val="52821EF5"/>
    <w:rsid w:val="528D62B4"/>
    <w:rsid w:val="528F2F47"/>
    <w:rsid w:val="52AA2396"/>
    <w:rsid w:val="52B04CD1"/>
    <w:rsid w:val="52B83815"/>
    <w:rsid w:val="52CF0C58"/>
    <w:rsid w:val="52DF1D50"/>
    <w:rsid w:val="52EA2BFB"/>
    <w:rsid w:val="52FD2432"/>
    <w:rsid w:val="530E4282"/>
    <w:rsid w:val="531119C6"/>
    <w:rsid w:val="53116DA3"/>
    <w:rsid w:val="53120972"/>
    <w:rsid w:val="531275FC"/>
    <w:rsid w:val="53153187"/>
    <w:rsid w:val="53170A93"/>
    <w:rsid w:val="533037D6"/>
    <w:rsid w:val="533234BB"/>
    <w:rsid w:val="533A3F89"/>
    <w:rsid w:val="533E6CB2"/>
    <w:rsid w:val="53455E88"/>
    <w:rsid w:val="534F1F62"/>
    <w:rsid w:val="537024A1"/>
    <w:rsid w:val="53837EE1"/>
    <w:rsid w:val="538843AE"/>
    <w:rsid w:val="538F05EA"/>
    <w:rsid w:val="53B00319"/>
    <w:rsid w:val="53BE3D21"/>
    <w:rsid w:val="53C412FF"/>
    <w:rsid w:val="53C53EB2"/>
    <w:rsid w:val="53F355BF"/>
    <w:rsid w:val="53F65D3D"/>
    <w:rsid w:val="53FD5E0F"/>
    <w:rsid w:val="53FF0127"/>
    <w:rsid w:val="540B4E37"/>
    <w:rsid w:val="540C5477"/>
    <w:rsid w:val="542343B9"/>
    <w:rsid w:val="542D4E9F"/>
    <w:rsid w:val="54334692"/>
    <w:rsid w:val="54390352"/>
    <w:rsid w:val="543A6AE0"/>
    <w:rsid w:val="543B0435"/>
    <w:rsid w:val="54524D4C"/>
    <w:rsid w:val="54573DC1"/>
    <w:rsid w:val="54594A1D"/>
    <w:rsid w:val="545E3FAA"/>
    <w:rsid w:val="5467615C"/>
    <w:rsid w:val="546C2261"/>
    <w:rsid w:val="547539B2"/>
    <w:rsid w:val="547B5588"/>
    <w:rsid w:val="548D5DA7"/>
    <w:rsid w:val="549C2C56"/>
    <w:rsid w:val="54A17A7E"/>
    <w:rsid w:val="54C82BBE"/>
    <w:rsid w:val="54D82A8A"/>
    <w:rsid w:val="54DB67BF"/>
    <w:rsid w:val="54F56891"/>
    <w:rsid w:val="550D006F"/>
    <w:rsid w:val="5526707D"/>
    <w:rsid w:val="554002BB"/>
    <w:rsid w:val="555154A6"/>
    <w:rsid w:val="555513FE"/>
    <w:rsid w:val="556343E1"/>
    <w:rsid w:val="556D3F61"/>
    <w:rsid w:val="556F5581"/>
    <w:rsid w:val="558C4971"/>
    <w:rsid w:val="558D01C9"/>
    <w:rsid w:val="55935D06"/>
    <w:rsid w:val="55944FF6"/>
    <w:rsid w:val="55A00533"/>
    <w:rsid w:val="55BC7891"/>
    <w:rsid w:val="55C32C9C"/>
    <w:rsid w:val="55C35CE3"/>
    <w:rsid w:val="55C72AE2"/>
    <w:rsid w:val="55EC11E5"/>
    <w:rsid w:val="55EF6A6D"/>
    <w:rsid w:val="55F45FE2"/>
    <w:rsid w:val="56011A54"/>
    <w:rsid w:val="562036EF"/>
    <w:rsid w:val="56244815"/>
    <w:rsid w:val="562A5C2F"/>
    <w:rsid w:val="564533F2"/>
    <w:rsid w:val="564C60AD"/>
    <w:rsid w:val="565106B9"/>
    <w:rsid w:val="5656111C"/>
    <w:rsid w:val="56563955"/>
    <w:rsid w:val="56567058"/>
    <w:rsid w:val="565C2936"/>
    <w:rsid w:val="56714E71"/>
    <w:rsid w:val="56857799"/>
    <w:rsid w:val="568E3E6B"/>
    <w:rsid w:val="56AA737A"/>
    <w:rsid w:val="56D202D6"/>
    <w:rsid w:val="56DD0B1D"/>
    <w:rsid w:val="56E53446"/>
    <w:rsid w:val="56FB40BC"/>
    <w:rsid w:val="57076AC3"/>
    <w:rsid w:val="570D0E3F"/>
    <w:rsid w:val="571300E1"/>
    <w:rsid w:val="57241737"/>
    <w:rsid w:val="5725083E"/>
    <w:rsid w:val="572B6E5B"/>
    <w:rsid w:val="572C009D"/>
    <w:rsid w:val="572D4E76"/>
    <w:rsid w:val="57332CAB"/>
    <w:rsid w:val="573C5815"/>
    <w:rsid w:val="575876CE"/>
    <w:rsid w:val="577105D7"/>
    <w:rsid w:val="57905765"/>
    <w:rsid w:val="579218C8"/>
    <w:rsid w:val="57944C75"/>
    <w:rsid w:val="57976A43"/>
    <w:rsid w:val="579B6E2D"/>
    <w:rsid w:val="579F3571"/>
    <w:rsid w:val="57B817D1"/>
    <w:rsid w:val="57DB16CB"/>
    <w:rsid w:val="57E20AF6"/>
    <w:rsid w:val="57EA34AA"/>
    <w:rsid w:val="57F45199"/>
    <w:rsid w:val="57F9404E"/>
    <w:rsid w:val="580010BF"/>
    <w:rsid w:val="58033E91"/>
    <w:rsid w:val="5810560C"/>
    <w:rsid w:val="58211389"/>
    <w:rsid w:val="58457F23"/>
    <w:rsid w:val="58506DCD"/>
    <w:rsid w:val="586B20A1"/>
    <w:rsid w:val="58754B2C"/>
    <w:rsid w:val="587C0142"/>
    <w:rsid w:val="58A16F73"/>
    <w:rsid w:val="58A306FA"/>
    <w:rsid w:val="58A5429A"/>
    <w:rsid w:val="58AF094D"/>
    <w:rsid w:val="58B61DD1"/>
    <w:rsid w:val="58B725E0"/>
    <w:rsid w:val="58C54901"/>
    <w:rsid w:val="58D421C9"/>
    <w:rsid w:val="58D506E2"/>
    <w:rsid w:val="58DF75FA"/>
    <w:rsid w:val="58E14D09"/>
    <w:rsid w:val="58E20379"/>
    <w:rsid w:val="58E540AB"/>
    <w:rsid w:val="58EA30A9"/>
    <w:rsid w:val="58F20941"/>
    <w:rsid w:val="58F635D0"/>
    <w:rsid w:val="590671F4"/>
    <w:rsid w:val="590733F6"/>
    <w:rsid w:val="590A1333"/>
    <w:rsid w:val="59111714"/>
    <w:rsid w:val="59141D9A"/>
    <w:rsid w:val="59154952"/>
    <w:rsid w:val="592D5B8F"/>
    <w:rsid w:val="593A7CC5"/>
    <w:rsid w:val="59457A02"/>
    <w:rsid w:val="5947489C"/>
    <w:rsid w:val="59526B3D"/>
    <w:rsid w:val="597E2A03"/>
    <w:rsid w:val="598A57D4"/>
    <w:rsid w:val="59960183"/>
    <w:rsid w:val="59997D27"/>
    <w:rsid w:val="59A82319"/>
    <w:rsid w:val="59B87474"/>
    <w:rsid w:val="59CD32FE"/>
    <w:rsid w:val="59CF780A"/>
    <w:rsid w:val="59D41216"/>
    <w:rsid w:val="59E662B6"/>
    <w:rsid w:val="59F848F7"/>
    <w:rsid w:val="59FC5D85"/>
    <w:rsid w:val="5A0E78A9"/>
    <w:rsid w:val="5A140015"/>
    <w:rsid w:val="5A1D787B"/>
    <w:rsid w:val="5A241C72"/>
    <w:rsid w:val="5A276704"/>
    <w:rsid w:val="5A2A7840"/>
    <w:rsid w:val="5A326424"/>
    <w:rsid w:val="5A427A70"/>
    <w:rsid w:val="5A5D69FE"/>
    <w:rsid w:val="5A5F3D7E"/>
    <w:rsid w:val="5A61177E"/>
    <w:rsid w:val="5A616D80"/>
    <w:rsid w:val="5A6B7A73"/>
    <w:rsid w:val="5A6D278B"/>
    <w:rsid w:val="5A774219"/>
    <w:rsid w:val="5A8175C0"/>
    <w:rsid w:val="5A8F06C3"/>
    <w:rsid w:val="5A9606FA"/>
    <w:rsid w:val="5A9946D3"/>
    <w:rsid w:val="5AA23AA7"/>
    <w:rsid w:val="5ABB436C"/>
    <w:rsid w:val="5ABE24D7"/>
    <w:rsid w:val="5AC3265A"/>
    <w:rsid w:val="5AC51821"/>
    <w:rsid w:val="5AC5791C"/>
    <w:rsid w:val="5AC64C0E"/>
    <w:rsid w:val="5AC73531"/>
    <w:rsid w:val="5AC9079F"/>
    <w:rsid w:val="5ACC485E"/>
    <w:rsid w:val="5AE15E60"/>
    <w:rsid w:val="5AE21691"/>
    <w:rsid w:val="5AF235D5"/>
    <w:rsid w:val="5B0E5632"/>
    <w:rsid w:val="5B1647C4"/>
    <w:rsid w:val="5B19589B"/>
    <w:rsid w:val="5B197B8F"/>
    <w:rsid w:val="5B297EF0"/>
    <w:rsid w:val="5B34741E"/>
    <w:rsid w:val="5B4228DA"/>
    <w:rsid w:val="5B4272E9"/>
    <w:rsid w:val="5B4B47E8"/>
    <w:rsid w:val="5B505584"/>
    <w:rsid w:val="5B506307"/>
    <w:rsid w:val="5B5114AD"/>
    <w:rsid w:val="5B64693B"/>
    <w:rsid w:val="5B6753DC"/>
    <w:rsid w:val="5B786262"/>
    <w:rsid w:val="5B863935"/>
    <w:rsid w:val="5B8B29AF"/>
    <w:rsid w:val="5B8F6E2D"/>
    <w:rsid w:val="5B9B0E93"/>
    <w:rsid w:val="5BA14B97"/>
    <w:rsid w:val="5BB175E9"/>
    <w:rsid w:val="5BDB1CF1"/>
    <w:rsid w:val="5BDF1EAA"/>
    <w:rsid w:val="5BE05266"/>
    <w:rsid w:val="5BE52D17"/>
    <w:rsid w:val="5BEA612E"/>
    <w:rsid w:val="5BF25702"/>
    <w:rsid w:val="5BF379B1"/>
    <w:rsid w:val="5C0448EB"/>
    <w:rsid w:val="5C0611B7"/>
    <w:rsid w:val="5C077301"/>
    <w:rsid w:val="5C0A4DAE"/>
    <w:rsid w:val="5C1863AF"/>
    <w:rsid w:val="5C2C2639"/>
    <w:rsid w:val="5C2E4222"/>
    <w:rsid w:val="5C327842"/>
    <w:rsid w:val="5C3E631A"/>
    <w:rsid w:val="5C4C1F72"/>
    <w:rsid w:val="5C5C4E98"/>
    <w:rsid w:val="5C64646C"/>
    <w:rsid w:val="5C676F3F"/>
    <w:rsid w:val="5C7438B5"/>
    <w:rsid w:val="5C864E4A"/>
    <w:rsid w:val="5C8969BC"/>
    <w:rsid w:val="5C9D20AD"/>
    <w:rsid w:val="5CB16C24"/>
    <w:rsid w:val="5CB77E40"/>
    <w:rsid w:val="5CC162ED"/>
    <w:rsid w:val="5CCE0F10"/>
    <w:rsid w:val="5CD13076"/>
    <w:rsid w:val="5CD27947"/>
    <w:rsid w:val="5CF678B4"/>
    <w:rsid w:val="5D013592"/>
    <w:rsid w:val="5D055BA3"/>
    <w:rsid w:val="5D1B041F"/>
    <w:rsid w:val="5D1B7924"/>
    <w:rsid w:val="5D2A24C9"/>
    <w:rsid w:val="5D391E96"/>
    <w:rsid w:val="5D406D30"/>
    <w:rsid w:val="5D4248CA"/>
    <w:rsid w:val="5D4B2266"/>
    <w:rsid w:val="5D4F45D7"/>
    <w:rsid w:val="5D540EC0"/>
    <w:rsid w:val="5D5465B9"/>
    <w:rsid w:val="5D5A6FD7"/>
    <w:rsid w:val="5D5F443C"/>
    <w:rsid w:val="5D8D76B8"/>
    <w:rsid w:val="5D8E4839"/>
    <w:rsid w:val="5D9A7AAD"/>
    <w:rsid w:val="5D9B2FBD"/>
    <w:rsid w:val="5DAA7A18"/>
    <w:rsid w:val="5DB653FC"/>
    <w:rsid w:val="5DB72BFA"/>
    <w:rsid w:val="5DB91812"/>
    <w:rsid w:val="5DC75683"/>
    <w:rsid w:val="5DC94C1B"/>
    <w:rsid w:val="5DD26A25"/>
    <w:rsid w:val="5DD85268"/>
    <w:rsid w:val="5DDA0136"/>
    <w:rsid w:val="5DDA70FE"/>
    <w:rsid w:val="5DE306BF"/>
    <w:rsid w:val="5DE341D7"/>
    <w:rsid w:val="5E04763B"/>
    <w:rsid w:val="5E066CFE"/>
    <w:rsid w:val="5E0A6B77"/>
    <w:rsid w:val="5E1905A2"/>
    <w:rsid w:val="5E2938CC"/>
    <w:rsid w:val="5E3958A3"/>
    <w:rsid w:val="5E495910"/>
    <w:rsid w:val="5E5503E8"/>
    <w:rsid w:val="5E5B0CB2"/>
    <w:rsid w:val="5E5C5D2D"/>
    <w:rsid w:val="5E5D36FD"/>
    <w:rsid w:val="5E673EE5"/>
    <w:rsid w:val="5E7D2534"/>
    <w:rsid w:val="5E8334E6"/>
    <w:rsid w:val="5E8D27DA"/>
    <w:rsid w:val="5E9F5B49"/>
    <w:rsid w:val="5EC21280"/>
    <w:rsid w:val="5EC6043B"/>
    <w:rsid w:val="5ED41397"/>
    <w:rsid w:val="5EDA41CB"/>
    <w:rsid w:val="5EF063E0"/>
    <w:rsid w:val="5EFA13F2"/>
    <w:rsid w:val="5F0810B4"/>
    <w:rsid w:val="5F0A7ECF"/>
    <w:rsid w:val="5F116610"/>
    <w:rsid w:val="5F194A34"/>
    <w:rsid w:val="5F2172D9"/>
    <w:rsid w:val="5F310AC1"/>
    <w:rsid w:val="5F3343E8"/>
    <w:rsid w:val="5F3474BA"/>
    <w:rsid w:val="5F357E91"/>
    <w:rsid w:val="5F3E4D18"/>
    <w:rsid w:val="5F3F0FFE"/>
    <w:rsid w:val="5F4021A9"/>
    <w:rsid w:val="5F485C40"/>
    <w:rsid w:val="5F5B7BB8"/>
    <w:rsid w:val="5F6C69DB"/>
    <w:rsid w:val="5F7D0766"/>
    <w:rsid w:val="5F8C2046"/>
    <w:rsid w:val="5F9162EA"/>
    <w:rsid w:val="5F917801"/>
    <w:rsid w:val="5FC45DDA"/>
    <w:rsid w:val="5FD06B45"/>
    <w:rsid w:val="5FD6026D"/>
    <w:rsid w:val="5FD87371"/>
    <w:rsid w:val="5FE275F3"/>
    <w:rsid w:val="5FFB60A8"/>
    <w:rsid w:val="60017A09"/>
    <w:rsid w:val="601B0D4E"/>
    <w:rsid w:val="602C7C90"/>
    <w:rsid w:val="602D5E03"/>
    <w:rsid w:val="60397EF5"/>
    <w:rsid w:val="60504019"/>
    <w:rsid w:val="60576939"/>
    <w:rsid w:val="607A67EE"/>
    <w:rsid w:val="60815EB7"/>
    <w:rsid w:val="6085056C"/>
    <w:rsid w:val="60897F8D"/>
    <w:rsid w:val="60902A17"/>
    <w:rsid w:val="60913368"/>
    <w:rsid w:val="60967EAC"/>
    <w:rsid w:val="60971666"/>
    <w:rsid w:val="60971C7E"/>
    <w:rsid w:val="6097689F"/>
    <w:rsid w:val="60A100B0"/>
    <w:rsid w:val="60A54D7D"/>
    <w:rsid w:val="60C61F37"/>
    <w:rsid w:val="60CA1BC6"/>
    <w:rsid w:val="60CB17FC"/>
    <w:rsid w:val="60CC6C52"/>
    <w:rsid w:val="60CF49F7"/>
    <w:rsid w:val="60E45C7D"/>
    <w:rsid w:val="60F47E6D"/>
    <w:rsid w:val="60F63633"/>
    <w:rsid w:val="60FA41F8"/>
    <w:rsid w:val="612B5AEF"/>
    <w:rsid w:val="613C6F93"/>
    <w:rsid w:val="614B50D3"/>
    <w:rsid w:val="615546AA"/>
    <w:rsid w:val="6166128D"/>
    <w:rsid w:val="61745F8E"/>
    <w:rsid w:val="617E1EF3"/>
    <w:rsid w:val="61815293"/>
    <w:rsid w:val="61823DD9"/>
    <w:rsid w:val="618C74E6"/>
    <w:rsid w:val="61A02765"/>
    <w:rsid w:val="61B56EC3"/>
    <w:rsid w:val="61BA5BDA"/>
    <w:rsid w:val="61C42844"/>
    <w:rsid w:val="61C478A6"/>
    <w:rsid w:val="61C64BA8"/>
    <w:rsid w:val="61C64FA2"/>
    <w:rsid w:val="61C663F0"/>
    <w:rsid w:val="61CB7E83"/>
    <w:rsid w:val="61CE22A0"/>
    <w:rsid w:val="61D0643C"/>
    <w:rsid w:val="61E0243A"/>
    <w:rsid w:val="61E57AF5"/>
    <w:rsid w:val="61F41754"/>
    <w:rsid w:val="61FF3B05"/>
    <w:rsid w:val="621F24CE"/>
    <w:rsid w:val="621F3012"/>
    <w:rsid w:val="622C5691"/>
    <w:rsid w:val="62514BD9"/>
    <w:rsid w:val="62537046"/>
    <w:rsid w:val="625A1746"/>
    <w:rsid w:val="62650030"/>
    <w:rsid w:val="626A2182"/>
    <w:rsid w:val="626A7583"/>
    <w:rsid w:val="62827991"/>
    <w:rsid w:val="62B14135"/>
    <w:rsid w:val="62BB1E94"/>
    <w:rsid w:val="62BC06E2"/>
    <w:rsid w:val="62C048D2"/>
    <w:rsid w:val="62CE40F0"/>
    <w:rsid w:val="62D0517D"/>
    <w:rsid w:val="62D20169"/>
    <w:rsid w:val="62D31719"/>
    <w:rsid w:val="62D34FA5"/>
    <w:rsid w:val="62DB7D37"/>
    <w:rsid w:val="62E54467"/>
    <w:rsid w:val="62FE08AE"/>
    <w:rsid w:val="630E3CEE"/>
    <w:rsid w:val="63111482"/>
    <w:rsid w:val="6317026A"/>
    <w:rsid w:val="631B4B49"/>
    <w:rsid w:val="631C468A"/>
    <w:rsid w:val="63261F69"/>
    <w:rsid w:val="632E1A65"/>
    <w:rsid w:val="63503B57"/>
    <w:rsid w:val="63553ADA"/>
    <w:rsid w:val="63660B67"/>
    <w:rsid w:val="636C40FD"/>
    <w:rsid w:val="63723042"/>
    <w:rsid w:val="637316AB"/>
    <w:rsid w:val="637B6D6E"/>
    <w:rsid w:val="63A90F5D"/>
    <w:rsid w:val="63C20401"/>
    <w:rsid w:val="63C822DC"/>
    <w:rsid w:val="63CC161B"/>
    <w:rsid w:val="63D00566"/>
    <w:rsid w:val="63FD5A6D"/>
    <w:rsid w:val="64095FA3"/>
    <w:rsid w:val="640966F9"/>
    <w:rsid w:val="640A21D0"/>
    <w:rsid w:val="640C4CD7"/>
    <w:rsid w:val="64114B66"/>
    <w:rsid w:val="642E1564"/>
    <w:rsid w:val="6430758A"/>
    <w:rsid w:val="643B1239"/>
    <w:rsid w:val="64576003"/>
    <w:rsid w:val="64723A9C"/>
    <w:rsid w:val="647720F0"/>
    <w:rsid w:val="64961339"/>
    <w:rsid w:val="649762EE"/>
    <w:rsid w:val="649852E7"/>
    <w:rsid w:val="649C27AC"/>
    <w:rsid w:val="64A46808"/>
    <w:rsid w:val="64B23BAD"/>
    <w:rsid w:val="64C4057D"/>
    <w:rsid w:val="64C54B7D"/>
    <w:rsid w:val="64C55F55"/>
    <w:rsid w:val="64CB253F"/>
    <w:rsid w:val="64E06011"/>
    <w:rsid w:val="64E54F65"/>
    <w:rsid w:val="64E57ADF"/>
    <w:rsid w:val="64E9348B"/>
    <w:rsid w:val="64F27EFF"/>
    <w:rsid w:val="650A4C79"/>
    <w:rsid w:val="650C0B46"/>
    <w:rsid w:val="6513701D"/>
    <w:rsid w:val="651B5167"/>
    <w:rsid w:val="6527174B"/>
    <w:rsid w:val="65347A20"/>
    <w:rsid w:val="65356E19"/>
    <w:rsid w:val="653809BB"/>
    <w:rsid w:val="654123C8"/>
    <w:rsid w:val="65483E8E"/>
    <w:rsid w:val="654953B8"/>
    <w:rsid w:val="6550646F"/>
    <w:rsid w:val="655222B8"/>
    <w:rsid w:val="656C105A"/>
    <w:rsid w:val="657716EB"/>
    <w:rsid w:val="657C7AA6"/>
    <w:rsid w:val="657D2902"/>
    <w:rsid w:val="658D0A48"/>
    <w:rsid w:val="659B4F04"/>
    <w:rsid w:val="65AC75D8"/>
    <w:rsid w:val="65C45E2C"/>
    <w:rsid w:val="65D2716F"/>
    <w:rsid w:val="65E23506"/>
    <w:rsid w:val="65EA7E76"/>
    <w:rsid w:val="65F500ED"/>
    <w:rsid w:val="65FD0FAA"/>
    <w:rsid w:val="660A53D1"/>
    <w:rsid w:val="660E5151"/>
    <w:rsid w:val="661279CB"/>
    <w:rsid w:val="662E450B"/>
    <w:rsid w:val="663E16BC"/>
    <w:rsid w:val="66441D8F"/>
    <w:rsid w:val="66535622"/>
    <w:rsid w:val="665D0F37"/>
    <w:rsid w:val="667D7058"/>
    <w:rsid w:val="66824076"/>
    <w:rsid w:val="66847997"/>
    <w:rsid w:val="66854D39"/>
    <w:rsid w:val="668571DD"/>
    <w:rsid w:val="66892080"/>
    <w:rsid w:val="66945D0E"/>
    <w:rsid w:val="669553D3"/>
    <w:rsid w:val="669E53DA"/>
    <w:rsid w:val="669F0735"/>
    <w:rsid w:val="66AB51DC"/>
    <w:rsid w:val="66B40A28"/>
    <w:rsid w:val="66DE0064"/>
    <w:rsid w:val="66E100A6"/>
    <w:rsid w:val="66E707FE"/>
    <w:rsid w:val="66F336BB"/>
    <w:rsid w:val="66FD7999"/>
    <w:rsid w:val="670507D6"/>
    <w:rsid w:val="670B5BDF"/>
    <w:rsid w:val="670C0403"/>
    <w:rsid w:val="670D6E32"/>
    <w:rsid w:val="6718585C"/>
    <w:rsid w:val="671F1DB0"/>
    <w:rsid w:val="67312081"/>
    <w:rsid w:val="67322EDD"/>
    <w:rsid w:val="673342B9"/>
    <w:rsid w:val="673D6283"/>
    <w:rsid w:val="67403AD1"/>
    <w:rsid w:val="674F51D6"/>
    <w:rsid w:val="676608B2"/>
    <w:rsid w:val="67744159"/>
    <w:rsid w:val="678A74A2"/>
    <w:rsid w:val="678B3D68"/>
    <w:rsid w:val="67A87528"/>
    <w:rsid w:val="67AF7B84"/>
    <w:rsid w:val="67B22DFA"/>
    <w:rsid w:val="67BE19F5"/>
    <w:rsid w:val="67CB65BB"/>
    <w:rsid w:val="67D1258E"/>
    <w:rsid w:val="67D279B4"/>
    <w:rsid w:val="67D428E2"/>
    <w:rsid w:val="67D6072C"/>
    <w:rsid w:val="680F780A"/>
    <w:rsid w:val="681F7A8D"/>
    <w:rsid w:val="68235429"/>
    <w:rsid w:val="682C2558"/>
    <w:rsid w:val="682C6150"/>
    <w:rsid w:val="682F69B5"/>
    <w:rsid w:val="682F7804"/>
    <w:rsid w:val="683439B1"/>
    <w:rsid w:val="683E4449"/>
    <w:rsid w:val="684B2BA4"/>
    <w:rsid w:val="686E7635"/>
    <w:rsid w:val="687B333E"/>
    <w:rsid w:val="687C5C23"/>
    <w:rsid w:val="687E4C39"/>
    <w:rsid w:val="68827DFC"/>
    <w:rsid w:val="688D0230"/>
    <w:rsid w:val="688D74E2"/>
    <w:rsid w:val="68A43423"/>
    <w:rsid w:val="68A86D05"/>
    <w:rsid w:val="68AC425E"/>
    <w:rsid w:val="68B9291D"/>
    <w:rsid w:val="68C43F2A"/>
    <w:rsid w:val="68C97FFB"/>
    <w:rsid w:val="68E01DC5"/>
    <w:rsid w:val="68EE4939"/>
    <w:rsid w:val="68F10EFC"/>
    <w:rsid w:val="690256EF"/>
    <w:rsid w:val="6911093E"/>
    <w:rsid w:val="69122405"/>
    <w:rsid w:val="691C503E"/>
    <w:rsid w:val="69232DEE"/>
    <w:rsid w:val="69267D90"/>
    <w:rsid w:val="692717DF"/>
    <w:rsid w:val="69275329"/>
    <w:rsid w:val="693458D1"/>
    <w:rsid w:val="69350275"/>
    <w:rsid w:val="69350B5A"/>
    <w:rsid w:val="69422659"/>
    <w:rsid w:val="69475A76"/>
    <w:rsid w:val="69476CEF"/>
    <w:rsid w:val="694E47F4"/>
    <w:rsid w:val="69534FE3"/>
    <w:rsid w:val="696D1451"/>
    <w:rsid w:val="696E5D0F"/>
    <w:rsid w:val="697B4CE5"/>
    <w:rsid w:val="699777C2"/>
    <w:rsid w:val="699810C7"/>
    <w:rsid w:val="699D24FC"/>
    <w:rsid w:val="69A90618"/>
    <w:rsid w:val="69AA0AE9"/>
    <w:rsid w:val="69AA5E1B"/>
    <w:rsid w:val="69AF5E42"/>
    <w:rsid w:val="69B6554D"/>
    <w:rsid w:val="69B970E4"/>
    <w:rsid w:val="69C16578"/>
    <w:rsid w:val="69C573D3"/>
    <w:rsid w:val="69E61A99"/>
    <w:rsid w:val="69F4734F"/>
    <w:rsid w:val="69F73285"/>
    <w:rsid w:val="6A003520"/>
    <w:rsid w:val="6A191FC7"/>
    <w:rsid w:val="6A1E5E15"/>
    <w:rsid w:val="6A286091"/>
    <w:rsid w:val="6A2E10C8"/>
    <w:rsid w:val="6A3E3AA5"/>
    <w:rsid w:val="6A53406D"/>
    <w:rsid w:val="6A557BD5"/>
    <w:rsid w:val="6A617166"/>
    <w:rsid w:val="6A7B77BE"/>
    <w:rsid w:val="6A8B6F04"/>
    <w:rsid w:val="6AA6591C"/>
    <w:rsid w:val="6AC042A7"/>
    <w:rsid w:val="6ACA53BC"/>
    <w:rsid w:val="6AD418D7"/>
    <w:rsid w:val="6ADE0004"/>
    <w:rsid w:val="6AE73200"/>
    <w:rsid w:val="6AE97A6D"/>
    <w:rsid w:val="6AF3215F"/>
    <w:rsid w:val="6AFA206E"/>
    <w:rsid w:val="6AFD4C58"/>
    <w:rsid w:val="6B073F1B"/>
    <w:rsid w:val="6B082B6F"/>
    <w:rsid w:val="6B113DF7"/>
    <w:rsid w:val="6B22253C"/>
    <w:rsid w:val="6B2851C1"/>
    <w:rsid w:val="6B2D2965"/>
    <w:rsid w:val="6B365313"/>
    <w:rsid w:val="6B37790B"/>
    <w:rsid w:val="6B381B4F"/>
    <w:rsid w:val="6B434ED2"/>
    <w:rsid w:val="6B4B565C"/>
    <w:rsid w:val="6B4F6145"/>
    <w:rsid w:val="6B5B234E"/>
    <w:rsid w:val="6B61333F"/>
    <w:rsid w:val="6B62552D"/>
    <w:rsid w:val="6B7042A1"/>
    <w:rsid w:val="6B756F7D"/>
    <w:rsid w:val="6B8A39E8"/>
    <w:rsid w:val="6B8B32E5"/>
    <w:rsid w:val="6B975DC7"/>
    <w:rsid w:val="6BE04962"/>
    <w:rsid w:val="6BEB3957"/>
    <w:rsid w:val="6BEF7759"/>
    <w:rsid w:val="6BF73358"/>
    <w:rsid w:val="6C0106F7"/>
    <w:rsid w:val="6C147012"/>
    <w:rsid w:val="6C1B5FE5"/>
    <w:rsid w:val="6C3B0A91"/>
    <w:rsid w:val="6C4F07D2"/>
    <w:rsid w:val="6C5D6491"/>
    <w:rsid w:val="6C663B1D"/>
    <w:rsid w:val="6C7034D2"/>
    <w:rsid w:val="6C7129B7"/>
    <w:rsid w:val="6C716475"/>
    <w:rsid w:val="6C7D0114"/>
    <w:rsid w:val="6C7D3AE6"/>
    <w:rsid w:val="6C812E83"/>
    <w:rsid w:val="6CA07B8C"/>
    <w:rsid w:val="6CA1391F"/>
    <w:rsid w:val="6CA25865"/>
    <w:rsid w:val="6CB16E89"/>
    <w:rsid w:val="6CB85AAE"/>
    <w:rsid w:val="6CF37541"/>
    <w:rsid w:val="6CF831E9"/>
    <w:rsid w:val="6D075A07"/>
    <w:rsid w:val="6D0E0649"/>
    <w:rsid w:val="6D1B1B0D"/>
    <w:rsid w:val="6D1C4452"/>
    <w:rsid w:val="6D1C4C82"/>
    <w:rsid w:val="6D2A43E9"/>
    <w:rsid w:val="6D371CDF"/>
    <w:rsid w:val="6D3A60F6"/>
    <w:rsid w:val="6D4D20CF"/>
    <w:rsid w:val="6D683FC6"/>
    <w:rsid w:val="6D6C446C"/>
    <w:rsid w:val="6D721E04"/>
    <w:rsid w:val="6D8576E8"/>
    <w:rsid w:val="6D8874A7"/>
    <w:rsid w:val="6D913710"/>
    <w:rsid w:val="6DB17246"/>
    <w:rsid w:val="6DBD05B2"/>
    <w:rsid w:val="6DC15FAE"/>
    <w:rsid w:val="6DCB0AB6"/>
    <w:rsid w:val="6DCC1F2D"/>
    <w:rsid w:val="6DD10B9C"/>
    <w:rsid w:val="6DE912BE"/>
    <w:rsid w:val="6DED1BA9"/>
    <w:rsid w:val="6E0939AD"/>
    <w:rsid w:val="6E1649D3"/>
    <w:rsid w:val="6E181508"/>
    <w:rsid w:val="6E273CBB"/>
    <w:rsid w:val="6E312175"/>
    <w:rsid w:val="6E333DEB"/>
    <w:rsid w:val="6E363C2E"/>
    <w:rsid w:val="6E4143D5"/>
    <w:rsid w:val="6E4678C8"/>
    <w:rsid w:val="6E5F4128"/>
    <w:rsid w:val="6E743A45"/>
    <w:rsid w:val="6E793A00"/>
    <w:rsid w:val="6E82366F"/>
    <w:rsid w:val="6E8E7028"/>
    <w:rsid w:val="6EA16220"/>
    <w:rsid w:val="6EA44296"/>
    <w:rsid w:val="6EA51426"/>
    <w:rsid w:val="6ECD2A87"/>
    <w:rsid w:val="6ECF7E53"/>
    <w:rsid w:val="6EE32300"/>
    <w:rsid w:val="6F022B3E"/>
    <w:rsid w:val="6F2344B4"/>
    <w:rsid w:val="6F2F7EF6"/>
    <w:rsid w:val="6F4C4C46"/>
    <w:rsid w:val="6F5A1785"/>
    <w:rsid w:val="6F5E23DD"/>
    <w:rsid w:val="6F6168A5"/>
    <w:rsid w:val="6F7D694F"/>
    <w:rsid w:val="6F806B3E"/>
    <w:rsid w:val="6FB12074"/>
    <w:rsid w:val="6FB63E04"/>
    <w:rsid w:val="6FBF1AC7"/>
    <w:rsid w:val="6FC52C27"/>
    <w:rsid w:val="6FC82C4A"/>
    <w:rsid w:val="6FCD1B76"/>
    <w:rsid w:val="6FCF41F5"/>
    <w:rsid w:val="6FD84231"/>
    <w:rsid w:val="6FE30817"/>
    <w:rsid w:val="6FEA3328"/>
    <w:rsid w:val="6FF604BD"/>
    <w:rsid w:val="7002262F"/>
    <w:rsid w:val="70080B0C"/>
    <w:rsid w:val="703426D7"/>
    <w:rsid w:val="70411A58"/>
    <w:rsid w:val="7050779F"/>
    <w:rsid w:val="705527BE"/>
    <w:rsid w:val="70775B37"/>
    <w:rsid w:val="70792717"/>
    <w:rsid w:val="708904D6"/>
    <w:rsid w:val="709C74A5"/>
    <w:rsid w:val="70A071CE"/>
    <w:rsid w:val="70B0597B"/>
    <w:rsid w:val="70B60E43"/>
    <w:rsid w:val="70B753C9"/>
    <w:rsid w:val="70C04955"/>
    <w:rsid w:val="70C55298"/>
    <w:rsid w:val="70D31FF9"/>
    <w:rsid w:val="70E37502"/>
    <w:rsid w:val="70E66742"/>
    <w:rsid w:val="70EF71D2"/>
    <w:rsid w:val="70F71700"/>
    <w:rsid w:val="7116641F"/>
    <w:rsid w:val="711B0652"/>
    <w:rsid w:val="71470941"/>
    <w:rsid w:val="71471BBF"/>
    <w:rsid w:val="715200AA"/>
    <w:rsid w:val="71537CAC"/>
    <w:rsid w:val="715D5C1F"/>
    <w:rsid w:val="715E45DA"/>
    <w:rsid w:val="716B3C2D"/>
    <w:rsid w:val="7181784E"/>
    <w:rsid w:val="718809A3"/>
    <w:rsid w:val="71892835"/>
    <w:rsid w:val="718A11EB"/>
    <w:rsid w:val="71A5178B"/>
    <w:rsid w:val="71A602F9"/>
    <w:rsid w:val="71AD0EA1"/>
    <w:rsid w:val="71B5071C"/>
    <w:rsid w:val="71BC5C16"/>
    <w:rsid w:val="71C21E6F"/>
    <w:rsid w:val="71C55BEF"/>
    <w:rsid w:val="71CD1DF3"/>
    <w:rsid w:val="71CF7F39"/>
    <w:rsid w:val="71D56FDC"/>
    <w:rsid w:val="71E77A5E"/>
    <w:rsid w:val="71F63915"/>
    <w:rsid w:val="71F91C3D"/>
    <w:rsid w:val="722409A8"/>
    <w:rsid w:val="72256D40"/>
    <w:rsid w:val="72260EBB"/>
    <w:rsid w:val="722D1D61"/>
    <w:rsid w:val="722F3935"/>
    <w:rsid w:val="72430CB0"/>
    <w:rsid w:val="7245224E"/>
    <w:rsid w:val="724804B0"/>
    <w:rsid w:val="725A043E"/>
    <w:rsid w:val="725F0D9C"/>
    <w:rsid w:val="7269380F"/>
    <w:rsid w:val="728325B8"/>
    <w:rsid w:val="729A1A15"/>
    <w:rsid w:val="729E387B"/>
    <w:rsid w:val="72A7132C"/>
    <w:rsid w:val="72A736DA"/>
    <w:rsid w:val="72AC39EB"/>
    <w:rsid w:val="72AE272E"/>
    <w:rsid w:val="72B33C64"/>
    <w:rsid w:val="72B85BAB"/>
    <w:rsid w:val="72C0182F"/>
    <w:rsid w:val="72C072DF"/>
    <w:rsid w:val="72CE7C79"/>
    <w:rsid w:val="72D57C7A"/>
    <w:rsid w:val="72E81E11"/>
    <w:rsid w:val="72EC61A3"/>
    <w:rsid w:val="72EF10D6"/>
    <w:rsid w:val="72F16CE2"/>
    <w:rsid w:val="72F21DD2"/>
    <w:rsid w:val="72F74938"/>
    <w:rsid w:val="73046A4B"/>
    <w:rsid w:val="730747A4"/>
    <w:rsid w:val="730D7B4C"/>
    <w:rsid w:val="73161F6E"/>
    <w:rsid w:val="73187E1D"/>
    <w:rsid w:val="73316FC1"/>
    <w:rsid w:val="733B2D16"/>
    <w:rsid w:val="7341546B"/>
    <w:rsid w:val="734667EB"/>
    <w:rsid w:val="734B26C6"/>
    <w:rsid w:val="73541A04"/>
    <w:rsid w:val="735F0AEE"/>
    <w:rsid w:val="736A0BF3"/>
    <w:rsid w:val="738F1A15"/>
    <w:rsid w:val="739568FC"/>
    <w:rsid w:val="739E746D"/>
    <w:rsid w:val="73A41718"/>
    <w:rsid w:val="73AF42EC"/>
    <w:rsid w:val="73C6762E"/>
    <w:rsid w:val="73C94873"/>
    <w:rsid w:val="73D4731F"/>
    <w:rsid w:val="73FB6321"/>
    <w:rsid w:val="73FD3731"/>
    <w:rsid w:val="74037344"/>
    <w:rsid w:val="74127CC5"/>
    <w:rsid w:val="741B3EAA"/>
    <w:rsid w:val="74483B6D"/>
    <w:rsid w:val="746566F4"/>
    <w:rsid w:val="74693EF6"/>
    <w:rsid w:val="746F0BD3"/>
    <w:rsid w:val="74702CE5"/>
    <w:rsid w:val="748B2242"/>
    <w:rsid w:val="748F28DB"/>
    <w:rsid w:val="748F2A32"/>
    <w:rsid w:val="749337F9"/>
    <w:rsid w:val="7495051C"/>
    <w:rsid w:val="749E74E3"/>
    <w:rsid w:val="74A502E1"/>
    <w:rsid w:val="74B04D1C"/>
    <w:rsid w:val="74B866AF"/>
    <w:rsid w:val="74C17934"/>
    <w:rsid w:val="74C503FE"/>
    <w:rsid w:val="74CC7D68"/>
    <w:rsid w:val="74D33B75"/>
    <w:rsid w:val="74DD1E2C"/>
    <w:rsid w:val="74E21EF6"/>
    <w:rsid w:val="74ED2658"/>
    <w:rsid w:val="74F97CF0"/>
    <w:rsid w:val="74FA223D"/>
    <w:rsid w:val="750315E6"/>
    <w:rsid w:val="7505387B"/>
    <w:rsid w:val="75265756"/>
    <w:rsid w:val="752D20CE"/>
    <w:rsid w:val="75396E85"/>
    <w:rsid w:val="75506B57"/>
    <w:rsid w:val="75561BC1"/>
    <w:rsid w:val="755C23DD"/>
    <w:rsid w:val="75660E3D"/>
    <w:rsid w:val="757163C7"/>
    <w:rsid w:val="757513D8"/>
    <w:rsid w:val="758E60E6"/>
    <w:rsid w:val="75B024A4"/>
    <w:rsid w:val="75CC3524"/>
    <w:rsid w:val="75CD7A8E"/>
    <w:rsid w:val="75D906F5"/>
    <w:rsid w:val="75E02736"/>
    <w:rsid w:val="75E303C4"/>
    <w:rsid w:val="75EA5D69"/>
    <w:rsid w:val="75F94A2D"/>
    <w:rsid w:val="75FE308A"/>
    <w:rsid w:val="76057126"/>
    <w:rsid w:val="760A1D28"/>
    <w:rsid w:val="760D51E2"/>
    <w:rsid w:val="76193A74"/>
    <w:rsid w:val="762228F4"/>
    <w:rsid w:val="76230FF1"/>
    <w:rsid w:val="763E4242"/>
    <w:rsid w:val="7645135A"/>
    <w:rsid w:val="765E77FA"/>
    <w:rsid w:val="765E7AC4"/>
    <w:rsid w:val="76644DF0"/>
    <w:rsid w:val="766837C5"/>
    <w:rsid w:val="766B5651"/>
    <w:rsid w:val="766D067D"/>
    <w:rsid w:val="766E4371"/>
    <w:rsid w:val="76744B79"/>
    <w:rsid w:val="76765E14"/>
    <w:rsid w:val="7679549B"/>
    <w:rsid w:val="76811D28"/>
    <w:rsid w:val="768174E5"/>
    <w:rsid w:val="769A2130"/>
    <w:rsid w:val="76A84B0C"/>
    <w:rsid w:val="76AB22C8"/>
    <w:rsid w:val="76AF2DC9"/>
    <w:rsid w:val="76B72C3B"/>
    <w:rsid w:val="76D041DA"/>
    <w:rsid w:val="76D06D0E"/>
    <w:rsid w:val="76E10237"/>
    <w:rsid w:val="77065259"/>
    <w:rsid w:val="77277623"/>
    <w:rsid w:val="772C1519"/>
    <w:rsid w:val="77403551"/>
    <w:rsid w:val="77442587"/>
    <w:rsid w:val="77487BE0"/>
    <w:rsid w:val="774E7860"/>
    <w:rsid w:val="77596920"/>
    <w:rsid w:val="77663FAB"/>
    <w:rsid w:val="77693CEB"/>
    <w:rsid w:val="77771873"/>
    <w:rsid w:val="77876EC7"/>
    <w:rsid w:val="7793682A"/>
    <w:rsid w:val="77A27ADB"/>
    <w:rsid w:val="77B06C3F"/>
    <w:rsid w:val="77C10167"/>
    <w:rsid w:val="77C15669"/>
    <w:rsid w:val="77C96B94"/>
    <w:rsid w:val="77CA70F9"/>
    <w:rsid w:val="77D026DE"/>
    <w:rsid w:val="77D73B73"/>
    <w:rsid w:val="77DA193F"/>
    <w:rsid w:val="77E4055E"/>
    <w:rsid w:val="77E828AE"/>
    <w:rsid w:val="77F8271A"/>
    <w:rsid w:val="78030336"/>
    <w:rsid w:val="7803747F"/>
    <w:rsid w:val="7811776C"/>
    <w:rsid w:val="78182190"/>
    <w:rsid w:val="781A491D"/>
    <w:rsid w:val="78276F59"/>
    <w:rsid w:val="78326F49"/>
    <w:rsid w:val="7835205D"/>
    <w:rsid w:val="78481F5D"/>
    <w:rsid w:val="78522850"/>
    <w:rsid w:val="78636B7E"/>
    <w:rsid w:val="78680CC0"/>
    <w:rsid w:val="787368E0"/>
    <w:rsid w:val="787C643F"/>
    <w:rsid w:val="788A1F30"/>
    <w:rsid w:val="788E2615"/>
    <w:rsid w:val="78904401"/>
    <w:rsid w:val="78995012"/>
    <w:rsid w:val="789F3DD3"/>
    <w:rsid w:val="78AD638A"/>
    <w:rsid w:val="78D469CC"/>
    <w:rsid w:val="78E51DF6"/>
    <w:rsid w:val="78EB1591"/>
    <w:rsid w:val="78FB389D"/>
    <w:rsid w:val="78FD3750"/>
    <w:rsid w:val="790E79A3"/>
    <w:rsid w:val="791A4A50"/>
    <w:rsid w:val="79266468"/>
    <w:rsid w:val="792F3F4F"/>
    <w:rsid w:val="793F06C3"/>
    <w:rsid w:val="7946052F"/>
    <w:rsid w:val="794A6F50"/>
    <w:rsid w:val="794B4B50"/>
    <w:rsid w:val="795C7D8B"/>
    <w:rsid w:val="7964414F"/>
    <w:rsid w:val="79693CE4"/>
    <w:rsid w:val="796A75C8"/>
    <w:rsid w:val="797B1323"/>
    <w:rsid w:val="79866D3A"/>
    <w:rsid w:val="798B6201"/>
    <w:rsid w:val="799366B3"/>
    <w:rsid w:val="7999459D"/>
    <w:rsid w:val="79A8132D"/>
    <w:rsid w:val="79A84AC7"/>
    <w:rsid w:val="79C329FE"/>
    <w:rsid w:val="79C35A42"/>
    <w:rsid w:val="79CD0D4A"/>
    <w:rsid w:val="79DB324A"/>
    <w:rsid w:val="79DB7541"/>
    <w:rsid w:val="79DB7F1C"/>
    <w:rsid w:val="79DD49D1"/>
    <w:rsid w:val="79FF7A8D"/>
    <w:rsid w:val="7A1A2B99"/>
    <w:rsid w:val="7A245DF6"/>
    <w:rsid w:val="7A275948"/>
    <w:rsid w:val="7A3E7008"/>
    <w:rsid w:val="7A403CB4"/>
    <w:rsid w:val="7A5F2B7A"/>
    <w:rsid w:val="7A602074"/>
    <w:rsid w:val="7A6176FD"/>
    <w:rsid w:val="7A6F5E8E"/>
    <w:rsid w:val="7A75344E"/>
    <w:rsid w:val="7A870628"/>
    <w:rsid w:val="7A8B6C46"/>
    <w:rsid w:val="7A91443D"/>
    <w:rsid w:val="7A927F46"/>
    <w:rsid w:val="7A991962"/>
    <w:rsid w:val="7AAC3009"/>
    <w:rsid w:val="7AC11166"/>
    <w:rsid w:val="7AC60567"/>
    <w:rsid w:val="7ACC7236"/>
    <w:rsid w:val="7AD316C3"/>
    <w:rsid w:val="7ADE6F13"/>
    <w:rsid w:val="7AE47883"/>
    <w:rsid w:val="7AF82410"/>
    <w:rsid w:val="7AFA7BD2"/>
    <w:rsid w:val="7AFB2990"/>
    <w:rsid w:val="7B1D3994"/>
    <w:rsid w:val="7B3C007C"/>
    <w:rsid w:val="7B45756B"/>
    <w:rsid w:val="7B541161"/>
    <w:rsid w:val="7B6B246A"/>
    <w:rsid w:val="7B7D191D"/>
    <w:rsid w:val="7B7D6F42"/>
    <w:rsid w:val="7B7F440C"/>
    <w:rsid w:val="7B92607F"/>
    <w:rsid w:val="7BA61193"/>
    <w:rsid w:val="7BA77718"/>
    <w:rsid w:val="7BAA6490"/>
    <w:rsid w:val="7BAB038F"/>
    <w:rsid w:val="7BB41A75"/>
    <w:rsid w:val="7BB64354"/>
    <w:rsid w:val="7BBF56B6"/>
    <w:rsid w:val="7BDA0A1D"/>
    <w:rsid w:val="7BDA0C42"/>
    <w:rsid w:val="7BE90521"/>
    <w:rsid w:val="7BE9674D"/>
    <w:rsid w:val="7BEB50DB"/>
    <w:rsid w:val="7BEC243D"/>
    <w:rsid w:val="7BEF4133"/>
    <w:rsid w:val="7BF64C70"/>
    <w:rsid w:val="7C0D70AE"/>
    <w:rsid w:val="7C154949"/>
    <w:rsid w:val="7C2623F9"/>
    <w:rsid w:val="7C2759E5"/>
    <w:rsid w:val="7C404BF2"/>
    <w:rsid w:val="7C4378BB"/>
    <w:rsid w:val="7C601753"/>
    <w:rsid w:val="7C6C23EE"/>
    <w:rsid w:val="7C6E1FD3"/>
    <w:rsid w:val="7C6E39B9"/>
    <w:rsid w:val="7C845519"/>
    <w:rsid w:val="7C8777EC"/>
    <w:rsid w:val="7C8D3860"/>
    <w:rsid w:val="7CA93A4A"/>
    <w:rsid w:val="7CB43D88"/>
    <w:rsid w:val="7CBB754A"/>
    <w:rsid w:val="7CC85D7C"/>
    <w:rsid w:val="7CCA6E60"/>
    <w:rsid w:val="7CD34EAB"/>
    <w:rsid w:val="7CD376E1"/>
    <w:rsid w:val="7CD94D01"/>
    <w:rsid w:val="7CED2DB1"/>
    <w:rsid w:val="7CF0591A"/>
    <w:rsid w:val="7CF3398D"/>
    <w:rsid w:val="7D127B6F"/>
    <w:rsid w:val="7D1324A2"/>
    <w:rsid w:val="7D1837D8"/>
    <w:rsid w:val="7D1C3CD6"/>
    <w:rsid w:val="7D2F1249"/>
    <w:rsid w:val="7D342FBF"/>
    <w:rsid w:val="7D3771BE"/>
    <w:rsid w:val="7D472DA7"/>
    <w:rsid w:val="7D505053"/>
    <w:rsid w:val="7D54328A"/>
    <w:rsid w:val="7D570B68"/>
    <w:rsid w:val="7D5D2C2F"/>
    <w:rsid w:val="7D75423D"/>
    <w:rsid w:val="7D8B1D40"/>
    <w:rsid w:val="7D8C090D"/>
    <w:rsid w:val="7D9336C8"/>
    <w:rsid w:val="7D9438E9"/>
    <w:rsid w:val="7D97552B"/>
    <w:rsid w:val="7D976A33"/>
    <w:rsid w:val="7DA95BE7"/>
    <w:rsid w:val="7DB1259B"/>
    <w:rsid w:val="7DCF17CE"/>
    <w:rsid w:val="7DD32E22"/>
    <w:rsid w:val="7DE7374B"/>
    <w:rsid w:val="7E000C6B"/>
    <w:rsid w:val="7E3E7E97"/>
    <w:rsid w:val="7E522D4C"/>
    <w:rsid w:val="7E526C66"/>
    <w:rsid w:val="7E5F79E1"/>
    <w:rsid w:val="7E6054EC"/>
    <w:rsid w:val="7E62339E"/>
    <w:rsid w:val="7E671AD1"/>
    <w:rsid w:val="7E7332DB"/>
    <w:rsid w:val="7E783A50"/>
    <w:rsid w:val="7E9226F2"/>
    <w:rsid w:val="7E93768D"/>
    <w:rsid w:val="7E9E2D09"/>
    <w:rsid w:val="7EA34E8D"/>
    <w:rsid w:val="7EA57993"/>
    <w:rsid w:val="7EB678A2"/>
    <w:rsid w:val="7EB93139"/>
    <w:rsid w:val="7EC608BA"/>
    <w:rsid w:val="7EC7059D"/>
    <w:rsid w:val="7ECE5DA2"/>
    <w:rsid w:val="7ED61882"/>
    <w:rsid w:val="7ED86D2D"/>
    <w:rsid w:val="7EE26598"/>
    <w:rsid w:val="7F0F6BDE"/>
    <w:rsid w:val="7F21186A"/>
    <w:rsid w:val="7F2439B4"/>
    <w:rsid w:val="7F64149F"/>
    <w:rsid w:val="7F6453F6"/>
    <w:rsid w:val="7F6612F9"/>
    <w:rsid w:val="7F8F48B8"/>
    <w:rsid w:val="7FBA039F"/>
    <w:rsid w:val="7FBD1F73"/>
    <w:rsid w:val="7FC5429F"/>
    <w:rsid w:val="7FD73870"/>
    <w:rsid w:val="7FF6632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line="360" w:lineRule="auto"/>
      <w:ind w:firstLine="723" w:firstLineChars="200"/>
    </w:pPr>
    <w:rPr>
      <w:rFonts w:ascii="Times New Roman" w:hAnsi="Times New Roman" w:eastAsia="宋体" w:cs="宋体"/>
      <w:kern w:val="0"/>
      <w:sz w:val="24"/>
      <w:szCs w:val="22"/>
      <w:lang w:val="zh-CN" w:eastAsia="zh-CN" w:bidi="ar-SA"/>
    </w:rPr>
  </w:style>
  <w:style w:type="paragraph" w:styleId="2">
    <w:name w:val="heading 1"/>
    <w:basedOn w:val="1"/>
    <w:next w:val="1"/>
    <w:link w:val="29"/>
    <w:qFormat/>
    <w:uiPriority w:val="0"/>
    <w:pPr>
      <w:numPr>
        <w:ilvl w:val="0"/>
        <w:numId w:val="1"/>
      </w:numPr>
      <w:tabs>
        <w:tab w:val="left" w:pos="420"/>
        <w:tab w:val="clear" w:pos="0"/>
      </w:tabs>
      <w:bidi w:val="0"/>
      <w:adjustRightInd w:val="0"/>
      <w:spacing w:before="300" w:after="300" w:line="360" w:lineRule="auto"/>
      <w:ind w:left="432" w:hanging="432" w:firstLineChars="0"/>
      <w:jc w:val="center"/>
      <w:outlineLvl w:val="0"/>
    </w:pPr>
    <w:rPr>
      <w:b/>
      <w:bCs/>
      <w:sz w:val="36"/>
      <w:szCs w:val="30"/>
    </w:rPr>
  </w:style>
  <w:style w:type="paragraph" w:styleId="3">
    <w:name w:val="heading 2"/>
    <w:basedOn w:val="1"/>
    <w:next w:val="1"/>
    <w:link w:val="25"/>
    <w:qFormat/>
    <w:uiPriority w:val="0"/>
    <w:pPr>
      <w:numPr>
        <w:ilvl w:val="1"/>
        <w:numId w:val="1"/>
      </w:numPr>
      <w:spacing w:before="50" w:beforeLines="50" w:after="50" w:afterLines="50" w:line="360" w:lineRule="auto"/>
      <w:ind w:left="0" w:firstLine="0" w:firstLineChars="0"/>
      <w:outlineLvl w:val="1"/>
    </w:pPr>
    <w:rPr>
      <w:rFonts w:ascii="Times New Roman" w:hAnsi="Times New Roman" w:eastAsia="宋体"/>
      <w:b/>
      <w:bCs/>
      <w:sz w:val="30"/>
      <w:szCs w:val="28"/>
    </w:rPr>
  </w:style>
  <w:style w:type="paragraph" w:styleId="4">
    <w:name w:val="heading 3"/>
    <w:basedOn w:val="1"/>
    <w:next w:val="1"/>
    <w:link w:val="30"/>
    <w:qFormat/>
    <w:uiPriority w:val="0"/>
    <w:pPr>
      <w:numPr>
        <w:ilvl w:val="2"/>
        <w:numId w:val="1"/>
      </w:numPr>
      <w:tabs>
        <w:tab w:val="left" w:pos="0"/>
        <w:tab w:val="clear" w:pos="420"/>
      </w:tabs>
      <w:spacing w:before="50" w:beforeLines="50" w:after="50" w:afterLines="50" w:line="360" w:lineRule="auto"/>
      <w:ind w:left="720" w:hanging="720" w:firstLineChars="0"/>
      <w:outlineLvl w:val="2"/>
    </w:pPr>
    <w:rPr>
      <w:b/>
      <w:szCs w:val="24"/>
    </w:rPr>
  </w:style>
  <w:style w:type="paragraph" w:styleId="5">
    <w:name w:val="heading 4"/>
    <w:basedOn w:val="1"/>
    <w:next w:val="1"/>
    <w:link w:val="27"/>
    <w:qFormat/>
    <w:uiPriority w:val="9"/>
    <w:pPr>
      <w:keepNext/>
      <w:keepLines/>
      <w:numPr>
        <w:ilvl w:val="3"/>
        <w:numId w:val="1"/>
      </w:numPr>
      <w:tabs>
        <w:tab w:val="left" w:pos="0"/>
        <w:tab w:val="clear" w:pos="420"/>
      </w:tabs>
      <w:spacing w:before="0" w:beforeAutospacing="0" w:after="0" w:afterAutospacing="0" w:line="360" w:lineRule="auto"/>
      <w:ind w:left="0" w:firstLine="0" w:firstLineChars="0"/>
      <w:outlineLvl w:val="3"/>
    </w:pPr>
    <w:rPr>
      <w:rFonts w:ascii="Times New Roman" w:hAnsi="Times New Roman" w:eastAsia="宋体"/>
    </w:rPr>
  </w:style>
  <w:style w:type="paragraph" w:styleId="6">
    <w:name w:val="heading 5"/>
    <w:basedOn w:val="1"/>
    <w:next w:val="1"/>
    <w:link w:val="24"/>
    <w:qFormat/>
    <w:uiPriority w:val="9"/>
    <w:pPr>
      <w:keepNext/>
      <w:keepLines/>
      <w:numPr>
        <w:ilvl w:val="4"/>
        <w:numId w:val="1"/>
      </w:numPr>
      <w:tabs>
        <w:tab w:val="left" w:pos="420"/>
      </w:tabs>
      <w:adjustRightInd/>
      <w:spacing w:beforeAutospacing="0" w:afterAutospacing="0" w:line="360" w:lineRule="auto"/>
      <w:ind w:left="1008" w:leftChars="0" w:right="0" w:rightChars="0" w:hanging="1008" w:firstLineChars="0"/>
      <w:outlineLvl w:val="4"/>
    </w:pPr>
    <w:rPr>
      <w:rFonts w:ascii="Times New Roman" w:hAnsi="Times New Roman" w:eastAsia="宋体"/>
    </w:rPr>
  </w:style>
  <w:style w:type="paragraph" w:styleId="7">
    <w:name w:val="heading 6"/>
    <w:basedOn w:val="1"/>
    <w:next w:val="1"/>
    <w:qFormat/>
    <w:uiPriority w:val="9"/>
    <w:pPr>
      <w:keepNext/>
      <w:keepLines/>
      <w:numPr>
        <w:ilvl w:val="5"/>
        <w:numId w:val="2"/>
      </w:numPr>
      <w:tabs>
        <w:tab w:val="left" w:pos="420"/>
        <w:tab w:val="clear" w:pos="0"/>
      </w:tabs>
      <w:spacing w:beforeAutospacing="0" w:afterAutospacing="0" w:line="360" w:lineRule="auto"/>
      <w:ind w:left="1151" w:hanging="1151" w:firstLineChars="0"/>
      <w:outlineLvl w:val="5"/>
    </w:pPr>
    <w:rPr>
      <w:rFonts w:ascii="Times New Roman" w:hAnsi="Times New Roman" w:eastAsia="宋体"/>
    </w:rPr>
  </w:style>
  <w:style w:type="paragraph" w:styleId="8">
    <w:name w:val="heading 7"/>
    <w:basedOn w:val="1"/>
    <w:next w:val="1"/>
    <w:qFormat/>
    <w:uiPriority w:val="9"/>
    <w:pPr>
      <w:keepNext/>
      <w:keepLines/>
      <w:numPr>
        <w:ilvl w:val="6"/>
        <w:numId w:val="2"/>
      </w:numPr>
      <w:spacing w:beforeAutospacing="0" w:afterAutospacing="0" w:line="360" w:lineRule="auto"/>
      <w:ind w:left="1296" w:hanging="1296" w:firstLineChars="0"/>
      <w:outlineLvl w:val="6"/>
    </w:pPr>
    <w:rPr>
      <w:rFonts w:ascii="Times New Roman" w:hAnsi="Times New Roman" w:eastAsia="宋体"/>
    </w:rPr>
  </w:style>
  <w:style w:type="paragraph" w:styleId="9">
    <w:name w:val="heading 8"/>
    <w:basedOn w:val="1"/>
    <w:next w:val="1"/>
    <w:qFormat/>
    <w:uiPriority w:val="9"/>
    <w:pPr>
      <w:keepNext/>
      <w:keepLines/>
      <w:numPr>
        <w:ilvl w:val="7"/>
        <w:numId w:val="1"/>
      </w:numPr>
      <w:spacing w:before="240" w:beforeAutospacing="0" w:after="64" w:afterAutospacing="0" w:line="317" w:lineRule="auto"/>
      <w:ind w:left="1440" w:hanging="1440" w:firstLineChars="0"/>
      <w:outlineLvl w:val="7"/>
    </w:pPr>
    <w:rPr>
      <w:rFonts w:ascii="Arial" w:hAnsi="Arial" w:eastAsia="黑体"/>
      <w:sz w:val="24"/>
    </w:rPr>
  </w:style>
  <w:style w:type="paragraph" w:styleId="10">
    <w:name w:val="heading 9"/>
    <w:basedOn w:val="1"/>
    <w:next w:val="1"/>
    <w:qFormat/>
    <w:uiPriority w:val="9"/>
    <w:pPr>
      <w:keepNext/>
      <w:keepLines/>
      <w:numPr>
        <w:ilvl w:val="8"/>
        <w:numId w:val="1"/>
      </w:numPr>
      <w:spacing w:before="240" w:beforeAutospacing="0" w:after="64" w:afterAutospacing="0" w:line="317" w:lineRule="auto"/>
      <w:ind w:left="1583" w:hanging="1583" w:firstLineChars="0"/>
      <w:outlineLvl w:val="8"/>
    </w:pPr>
    <w:rPr>
      <w:rFonts w:ascii="Arial" w:hAnsi="Arial" w:eastAsia="黑体"/>
      <w:sz w:val="21"/>
    </w:rPr>
  </w:style>
  <w:style w:type="character" w:default="1" w:styleId="18">
    <w:name w:val="Default Paragraph Font"/>
    <w:qFormat/>
    <w:uiPriority w:val="1"/>
  </w:style>
  <w:style w:type="table" w:default="1" w:styleId="16">
    <w:name w:val="Normal Table"/>
    <w:qFormat/>
    <w:uiPriority w:val="99"/>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oc 2"/>
    <w:basedOn w:val="1"/>
    <w:next w:val="1"/>
    <w:uiPriority w:val="0"/>
    <w:pPr>
      <w:ind w:left="420" w:leftChars="200"/>
    </w:pPr>
  </w:style>
  <w:style w:type="table" w:styleId="17">
    <w:name w:val="Table Grid"/>
    <w:basedOn w:val="16"/>
    <w:qFormat/>
    <w:uiPriority w:val="0"/>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19">
    <w:name w:val="表格内容"/>
    <w:next w:val="1"/>
    <w:link w:val="28"/>
    <w:qFormat/>
    <w:uiPriority w:val="0"/>
    <w:pPr>
      <w:numPr>
        <w:ilvl w:val="0"/>
        <w:numId w:val="0"/>
      </w:numPr>
      <w:tabs>
        <w:tab w:val="left" w:pos="0"/>
      </w:tabs>
      <w:spacing w:line="240" w:lineRule="auto"/>
      <w:ind w:left="0" w:firstLine="0" w:firstLineChars="0"/>
      <w:jc w:val="center"/>
    </w:pPr>
    <w:rPr>
      <w:rFonts w:ascii="Times New Roman" w:hAnsi="Times New Roman" w:eastAsia="宋体" w:cs="Times New Roman"/>
      <w:sz w:val="21"/>
    </w:rPr>
  </w:style>
  <w:style w:type="character" w:customStyle="1" w:styleId="20">
    <w:name w:val="表格内容 Char"/>
    <w:link w:val="19"/>
    <w:qFormat/>
    <w:uiPriority w:val="0"/>
    <w:rPr>
      <w:rFonts w:ascii="Times New Roman" w:hAnsi="Times New Roman" w:eastAsia="宋体"/>
      <w:sz w:val="21"/>
    </w:rPr>
  </w:style>
  <w:style w:type="paragraph" w:customStyle="1" w:styleId="21">
    <w:name w:val="表头"/>
    <w:basedOn w:val="1"/>
    <w:next w:val="1"/>
    <w:link w:val="32"/>
    <w:qFormat/>
    <w:uiPriority w:val="0"/>
    <w:pPr>
      <w:numPr>
        <w:ilvl w:val="5"/>
        <w:numId w:val="1"/>
      </w:numPr>
      <w:ind w:left="0" w:firstLine="0" w:firstLineChars="0"/>
      <w:jc w:val="center"/>
    </w:pPr>
    <w:rPr>
      <w:b/>
    </w:rPr>
  </w:style>
  <w:style w:type="paragraph" w:customStyle="1" w:styleId="22">
    <w:name w:val="图文标题"/>
    <w:basedOn w:val="1"/>
    <w:next w:val="1"/>
    <w:link w:val="23"/>
    <w:qFormat/>
    <w:uiPriority w:val="0"/>
    <w:pPr>
      <w:numPr>
        <w:ilvl w:val="6"/>
        <w:numId w:val="1"/>
      </w:numPr>
      <w:tabs>
        <w:tab w:val="left" w:pos="0"/>
      </w:tabs>
      <w:adjustRightInd/>
      <w:snapToGrid/>
      <w:spacing w:line="360" w:lineRule="auto"/>
      <w:ind w:left="1296" w:hanging="1296" w:firstLineChars="0"/>
      <w:jc w:val="center"/>
      <w:outlineLvl w:val="5"/>
    </w:pPr>
    <w:rPr>
      <w:rFonts w:ascii="Times New Roman" w:hAnsi="Times New Roman" w:eastAsia="宋体"/>
      <w:b/>
    </w:rPr>
  </w:style>
  <w:style w:type="character" w:customStyle="1" w:styleId="23">
    <w:name w:val="图文标题 Char"/>
    <w:link w:val="22"/>
    <w:qFormat/>
    <w:uiPriority w:val="0"/>
    <w:rPr>
      <w:rFonts w:ascii="Times New Roman" w:hAnsi="Times New Roman" w:eastAsia="宋体"/>
      <w:b/>
    </w:rPr>
  </w:style>
  <w:style w:type="character" w:customStyle="1" w:styleId="24">
    <w:name w:val="标题 5 Char"/>
    <w:link w:val="6"/>
    <w:qFormat/>
    <w:uiPriority w:val="9"/>
    <w:rPr>
      <w:rFonts w:ascii="Times New Roman" w:hAnsi="Times New Roman" w:eastAsia="宋体"/>
      <w:sz w:val="24"/>
    </w:rPr>
  </w:style>
  <w:style w:type="character" w:customStyle="1" w:styleId="25">
    <w:name w:val="标题 2 Char"/>
    <w:basedOn w:val="18"/>
    <w:link w:val="3"/>
    <w:qFormat/>
    <w:uiPriority w:val="0"/>
    <w:rPr>
      <w:rFonts w:ascii="Times New Roman" w:hAnsi="Times New Roman" w:eastAsia="宋体" w:cs="宋体"/>
      <w:b/>
      <w:bCs/>
      <w:kern w:val="0"/>
      <w:sz w:val="30"/>
      <w:szCs w:val="28"/>
      <w:lang w:val="zh-CN"/>
    </w:rPr>
  </w:style>
  <w:style w:type="character" w:customStyle="1" w:styleId="26">
    <w:name w:val="标题 3 Char"/>
    <w:basedOn w:val="18"/>
    <w:link w:val="4"/>
    <w:qFormat/>
    <w:uiPriority w:val="0"/>
    <w:rPr>
      <w:rFonts w:ascii="Times New Roman" w:hAnsi="Times New Roman" w:eastAsia="宋体" w:cs="宋体"/>
      <w:b/>
      <w:bCs/>
      <w:kern w:val="0"/>
      <w:sz w:val="24"/>
      <w:szCs w:val="24"/>
      <w:lang w:val="zh-CN"/>
    </w:rPr>
  </w:style>
  <w:style w:type="character" w:customStyle="1" w:styleId="27">
    <w:name w:val="标题 4 Char"/>
    <w:link w:val="5"/>
    <w:qFormat/>
    <w:uiPriority w:val="9"/>
    <w:rPr>
      <w:rFonts w:ascii="Times New Roman" w:hAnsi="Times New Roman" w:eastAsia="宋体"/>
    </w:rPr>
  </w:style>
  <w:style w:type="character" w:customStyle="1" w:styleId="28">
    <w:name w:val="表格内容 Char1"/>
    <w:link w:val="19"/>
    <w:qFormat/>
    <w:uiPriority w:val="0"/>
    <w:rPr>
      <w:rFonts w:ascii="Times New Roman" w:hAnsi="Times New Roman" w:eastAsia="宋体"/>
      <w:kern w:val="0"/>
      <w:sz w:val="21"/>
    </w:rPr>
  </w:style>
  <w:style w:type="character" w:customStyle="1" w:styleId="29">
    <w:name w:val="标题 1 Char"/>
    <w:basedOn w:val="18"/>
    <w:link w:val="2"/>
    <w:qFormat/>
    <w:uiPriority w:val="0"/>
    <w:rPr>
      <w:rFonts w:ascii="Times New Roman" w:hAnsi="Times New Roman" w:eastAsia="宋体" w:cs="宋体"/>
      <w:b/>
      <w:bCs/>
      <w:kern w:val="0"/>
      <w:sz w:val="36"/>
      <w:szCs w:val="30"/>
      <w:lang w:val="zh-CN"/>
    </w:rPr>
  </w:style>
  <w:style w:type="character" w:customStyle="1" w:styleId="30">
    <w:name w:val="标题 3 字符"/>
    <w:basedOn w:val="18"/>
    <w:link w:val="4"/>
    <w:qFormat/>
    <w:uiPriority w:val="9"/>
    <w:rPr>
      <w:rFonts w:ascii="Times New Roman" w:hAnsi="Times New Roman" w:eastAsia="宋体"/>
      <w:b/>
      <w:kern w:val="0"/>
      <w:sz w:val="24"/>
      <w:szCs w:val="20"/>
    </w:rPr>
  </w:style>
  <w:style w:type="table" w:customStyle="1" w:styleId="31">
    <w:name w:val="Table Normal"/>
    <w:semiHidden/>
    <w:unhideWhenUsed/>
    <w:qFormat/>
    <w:uiPriority w:val="0"/>
    <w:rPr>
      <w:rFonts w:ascii="Arial" w:hAnsi="Arial" w:cs="Arial" w:eastAsiaTheme="minorEastAsia"/>
      <w:snapToGrid w:val="0"/>
      <w:color w:val="000000"/>
      <w:sz w:val="21"/>
      <w:szCs w:val="21"/>
    </w:rPr>
    <w:tblPr>
      <w:tblCellMar>
        <w:top w:w="0" w:type="dxa"/>
        <w:left w:w="0" w:type="dxa"/>
        <w:bottom w:w="0" w:type="dxa"/>
        <w:right w:w="0" w:type="dxa"/>
      </w:tblCellMar>
    </w:tblPr>
  </w:style>
  <w:style w:type="character" w:customStyle="1" w:styleId="32">
    <w:name w:val="表头 Char1"/>
    <w:link w:val="21"/>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6.bin"/><Relationship Id="rId98" Type="http://schemas.openxmlformats.org/officeDocument/2006/relationships/image" Target="media/image40.wmf"/><Relationship Id="rId97" Type="http://schemas.openxmlformats.org/officeDocument/2006/relationships/oleObject" Target="embeddings/oleObject35.bin"/><Relationship Id="rId96" Type="http://schemas.openxmlformats.org/officeDocument/2006/relationships/image" Target="media/image39.wmf"/><Relationship Id="rId95" Type="http://schemas.openxmlformats.org/officeDocument/2006/relationships/oleObject" Target="embeddings/oleObject34.bin"/><Relationship Id="rId94" Type="http://schemas.openxmlformats.org/officeDocument/2006/relationships/image" Target="media/image38.wmf"/><Relationship Id="rId93" Type="http://schemas.openxmlformats.org/officeDocument/2006/relationships/oleObject" Target="embeddings/oleObject33.bin"/><Relationship Id="rId92" Type="http://schemas.openxmlformats.org/officeDocument/2006/relationships/image" Target="media/image37.wmf"/><Relationship Id="rId91" Type="http://schemas.openxmlformats.org/officeDocument/2006/relationships/oleObject" Target="embeddings/oleObject32.bin"/><Relationship Id="rId90" Type="http://schemas.openxmlformats.org/officeDocument/2006/relationships/image" Target="media/image36.wmf"/><Relationship Id="rId9" Type="http://schemas.openxmlformats.org/officeDocument/2006/relationships/footer" Target="footer3.xml"/><Relationship Id="rId89" Type="http://schemas.openxmlformats.org/officeDocument/2006/relationships/oleObject" Target="embeddings/oleObject31.bin"/><Relationship Id="rId88" Type="http://schemas.openxmlformats.org/officeDocument/2006/relationships/image" Target="media/image35.wmf"/><Relationship Id="rId87" Type="http://schemas.openxmlformats.org/officeDocument/2006/relationships/oleObject" Target="embeddings/oleObject30.bin"/><Relationship Id="rId86" Type="http://schemas.openxmlformats.org/officeDocument/2006/relationships/image" Target="media/image34.wmf"/><Relationship Id="rId85" Type="http://schemas.openxmlformats.org/officeDocument/2006/relationships/oleObject" Target="embeddings/oleObject29.bin"/><Relationship Id="rId84" Type="http://schemas.openxmlformats.org/officeDocument/2006/relationships/image" Target="media/image33.wmf"/><Relationship Id="rId83" Type="http://schemas.openxmlformats.org/officeDocument/2006/relationships/oleObject" Target="embeddings/oleObject28.bin"/><Relationship Id="rId82" Type="http://schemas.openxmlformats.org/officeDocument/2006/relationships/image" Target="media/image32.wmf"/><Relationship Id="rId81" Type="http://schemas.openxmlformats.org/officeDocument/2006/relationships/oleObject" Target="embeddings/oleObject27.bin"/><Relationship Id="rId80" Type="http://schemas.openxmlformats.org/officeDocument/2006/relationships/image" Target="media/image31.wmf"/><Relationship Id="rId8" Type="http://schemas.openxmlformats.org/officeDocument/2006/relationships/header" Target="header2.xml"/><Relationship Id="rId79" Type="http://schemas.openxmlformats.org/officeDocument/2006/relationships/oleObject" Target="embeddings/oleObject26.bin"/><Relationship Id="rId78" Type="http://schemas.openxmlformats.org/officeDocument/2006/relationships/image" Target="media/image30.wmf"/><Relationship Id="rId77" Type="http://schemas.openxmlformats.org/officeDocument/2006/relationships/oleObject" Target="embeddings/oleObject25.bin"/><Relationship Id="rId76" Type="http://schemas.openxmlformats.org/officeDocument/2006/relationships/image" Target="media/image29.wmf"/><Relationship Id="rId75" Type="http://schemas.openxmlformats.org/officeDocument/2006/relationships/oleObject" Target="embeddings/oleObject24.bin"/><Relationship Id="rId74" Type="http://schemas.openxmlformats.org/officeDocument/2006/relationships/image" Target="media/image28.wmf"/><Relationship Id="rId73" Type="http://schemas.openxmlformats.org/officeDocument/2006/relationships/oleObject" Target="embeddings/oleObject23.bin"/><Relationship Id="rId72" Type="http://schemas.openxmlformats.org/officeDocument/2006/relationships/image" Target="media/image27.wmf"/><Relationship Id="rId71" Type="http://schemas.openxmlformats.org/officeDocument/2006/relationships/oleObject" Target="embeddings/oleObject22.bin"/><Relationship Id="rId70" Type="http://schemas.openxmlformats.org/officeDocument/2006/relationships/image" Target="media/image26.wmf"/><Relationship Id="rId7" Type="http://schemas.openxmlformats.org/officeDocument/2006/relationships/footer" Target="footer2.xml"/><Relationship Id="rId69" Type="http://schemas.openxmlformats.org/officeDocument/2006/relationships/oleObject" Target="embeddings/oleObject21.bin"/><Relationship Id="rId68" Type="http://schemas.openxmlformats.org/officeDocument/2006/relationships/oleObject" Target="embeddings/oleObject20.bin"/><Relationship Id="rId67" Type="http://schemas.openxmlformats.org/officeDocument/2006/relationships/image" Target="media/image25.wmf"/><Relationship Id="rId66" Type="http://schemas.openxmlformats.org/officeDocument/2006/relationships/oleObject" Target="embeddings/oleObject19.bin"/><Relationship Id="rId65" Type="http://schemas.openxmlformats.org/officeDocument/2006/relationships/image" Target="media/image24.wmf"/><Relationship Id="rId64" Type="http://schemas.openxmlformats.org/officeDocument/2006/relationships/oleObject" Target="embeddings/oleObject18.bin"/><Relationship Id="rId63" Type="http://schemas.openxmlformats.org/officeDocument/2006/relationships/oleObject" Target="embeddings/oleObject17.bin"/><Relationship Id="rId62" Type="http://schemas.openxmlformats.org/officeDocument/2006/relationships/image" Target="media/image23.wmf"/><Relationship Id="rId61" Type="http://schemas.openxmlformats.org/officeDocument/2006/relationships/oleObject" Target="embeddings/oleObject16.bin"/><Relationship Id="rId60" Type="http://schemas.openxmlformats.org/officeDocument/2006/relationships/image" Target="media/image22.wmf"/><Relationship Id="rId6" Type="http://schemas.openxmlformats.org/officeDocument/2006/relationships/footer" Target="footer1.xml"/><Relationship Id="rId59" Type="http://schemas.openxmlformats.org/officeDocument/2006/relationships/oleObject" Target="embeddings/oleObject15.bin"/><Relationship Id="rId58" Type="http://schemas.openxmlformats.org/officeDocument/2006/relationships/image" Target="media/image21.wmf"/><Relationship Id="rId57" Type="http://schemas.openxmlformats.org/officeDocument/2006/relationships/oleObject" Target="embeddings/oleObject14.bin"/><Relationship Id="rId56" Type="http://schemas.openxmlformats.org/officeDocument/2006/relationships/image" Target="media/image20.wmf"/><Relationship Id="rId55" Type="http://schemas.openxmlformats.org/officeDocument/2006/relationships/oleObject" Target="embeddings/oleObject13.bin"/><Relationship Id="rId54" Type="http://schemas.openxmlformats.org/officeDocument/2006/relationships/image" Target="media/image19.png"/><Relationship Id="rId53" Type="http://schemas.openxmlformats.org/officeDocument/2006/relationships/image" Target="media/image18.wmf"/><Relationship Id="rId52" Type="http://schemas.openxmlformats.org/officeDocument/2006/relationships/oleObject" Target="embeddings/oleObject12.bin"/><Relationship Id="rId51" Type="http://schemas.openxmlformats.org/officeDocument/2006/relationships/image" Target="media/image17.wmf"/><Relationship Id="rId50" Type="http://schemas.openxmlformats.org/officeDocument/2006/relationships/oleObject" Target="embeddings/oleObject11.bin"/><Relationship Id="rId5" Type="http://schemas.openxmlformats.org/officeDocument/2006/relationships/header" Target="header1.xml"/><Relationship Id="rId49" Type="http://schemas.openxmlformats.org/officeDocument/2006/relationships/image" Target="media/image16.wmf"/><Relationship Id="rId48" Type="http://schemas.openxmlformats.org/officeDocument/2006/relationships/oleObject" Target="embeddings/oleObject10.bin"/><Relationship Id="rId47" Type="http://schemas.openxmlformats.org/officeDocument/2006/relationships/image" Target="media/image15.wmf"/><Relationship Id="rId46" Type="http://schemas.openxmlformats.org/officeDocument/2006/relationships/oleObject" Target="embeddings/oleObject9.bin"/><Relationship Id="rId45" Type="http://schemas.openxmlformats.org/officeDocument/2006/relationships/image" Target="media/image14.wmf"/><Relationship Id="rId44" Type="http://schemas.openxmlformats.org/officeDocument/2006/relationships/oleObject" Target="embeddings/oleObject8.bin"/><Relationship Id="rId43" Type="http://schemas.openxmlformats.org/officeDocument/2006/relationships/image" Target="media/image13.wmf"/><Relationship Id="rId42" Type="http://schemas.openxmlformats.org/officeDocument/2006/relationships/oleObject" Target="embeddings/oleObject7.bin"/><Relationship Id="rId41" Type="http://schemas.openxmlformats.org/officeDocument/2006/relationships/image" Target="media/image12.wmf"/><Relationship Id="rId40" Type="http://schemas.openxmlformats.org/officeDocument/2006/relationships/oleObject" Target="embeddings/oleObject6.bin"/><Relationship Id="rId4" Type="http://schemas.openxmlformats.org/officeDocument/2006/relationships/endnotes" Target="endnotes.xml"/><Relationship Id="rId39" Type="http://schemas.openxmlformats.org/officeDocument/2006/relationships/image" Target="media/image11.wmf"/><Relationship Id="rId38" Type="http://schemas.openxmlformats.org/officeDocument/2006/relationships/oleObject" Target="embeddings/oleObject5.bin"/><Relationship Id="rId37" Type="http://schemas.openxmlformats.org/officeDocument/2006/relationships/image" Target="media/image10.wmf"/><Relationship Id="rId36" Type="http://schemas.openxmlformats.org/officeDocument/2006/relationships/oleObject" Target="embeddings/oleObject4.bin"/><Relationship Id="rId35" Type="http://schemas.openxmlformats.org/officeDocument/2006/relationships/image" Target="media/image9.wmf"/><Relationship Id="rId34" Type="http://schemas.openxmlformats.org/officeDocument/2006/relationships/oleObject" Target="embeddings/oleObject3.bin"/><Relationship Id="rId33" Type="http://schemas.openxmlformats.org/officeDocument/2006/relationships/image" Target="media/image8.wmf"/><Relationship Id="rId32" Type="http://schemas.openxmlformats.org/officeDocument/2006/relationships/oleObject" Target="embeddings/oleObject2.bin"/><Relationship Id="rId31" Type="http://schemas.openxmlformats.org/officeDocument/2006/relationships/image" Target="media/image7.emf"/><Relationship Id="rId30" Type="http://schemas.openxmlformats.org/officeDocument/2006/relationships/oleObject" Target="embeddings/oleObject1.bin"/><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header" Target="header9.xml"/><Relationship Id="rId21" Type="http://schemas.openxmlformats.org/officeDocument/2006/relationships/footer" Target="foot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9" Type="http://schemas.openxmlformats.org/officeDocument/2006/relationships/fontTable" Target="fontTable.xml"/><Relationship Id="rId148" Type="http://schemas.microsoft.com/office/2006/relationships/keyMapCustomizations" Target="customizations.xml"/><Relationship Id="rId147" Type="http://schemas.openxmlformats.org/officeDocument/2006/relationships/numbering" Target="numbering.xml"/><Relationship Id="rId146" Type="http://schemas.openxmlformats.org/officeDocument/2006/relationships/customXml" Target="../customXml/item1.xml"/><Relationship Id="rId145" Type="http://schemas.openxmlformats.org/officeDocument/2006/relationships/image" Target="media/image75.emf"/><Relationship Id="rId144" Type="http://schemas.openxmlformats.org/officeDocument/2006/relationships/oleObject" Target="embeddings/oleObject47.bin"/><Relationship Id="rId143" Type="http://schemas.openxmlformats.org/officeDocument/2006/relationships/image" Target="media/image74.wmf"/><Relationship Id="rId142" Type="http://schemas.openxmlformats.org/officeDocument/2006/relationships/oleObject" Target="embeddings/oleObject46.bin"/><Relationship Id="rId141" Type="http://schemas.openxmlformats.org/officeDocument/2006/relationships/image" Target="media/image73.wmf"/><Relationship Id="rId140" Type="http://schemas.openxmlformats.org/officeDocument/2006/relationships/oleObject" Target="embeddings/oleObject45.bin"/><Relationship Id="rId14" Type="http://schemas.openxmlformats.org/officeDocument/2006/relationships/footer" Target="footer5.xml"/><Relationship Id="rId139" Type="http://schemas.openxmlformats.org/officeDocument/2006/relationships/image" Target="media/image72.wmf"/><Relationship Id="rId138" Type="http://schemas.openxmlformats.org/officeDocument/2006/relationships/image" Target="media/image71.wmf"/><Relationship Id="rId137" Type="http://schemas.openxmlformats.org/officeDocument/2006/relationships/image" Target="media/image70.wmf"/><Relationship Id="rId136" Type="http://schemas.openxmlformats.org/officeDocument/2006/relationships/image" Target="media/image69.wmf"/><Relationship Id="rId135" Type="http://schemas.openxmlformats.org/officeDocument/2006/relationships/image" Target="media/image68.wmf"/><Relationship Id="rId134" Type="http://schemas.openxmlformats.org/officeDocument/2006/relationships/image" Target="media/image67.wmf"/><Relationship Id="rId133" Type="http://schemas.openxmlformats.org/officeDocument/2006/relationships/image" Target="media/image66.wmf"/><Relationship Id="rId132" Type="http://schemas.openxmlformats.org/officeDocument/2006/relationships/image" Target="media/image65.wmf"/><Relationship Id="rId131" Type="http://schemas.openxmlformats.org/officeDocument/2006/relationships/image" Target="media/image64.wmf"/><Relationship Id="rId130" Type="http://schemas.openxmlformats.org/officeDocument/2006/relationships/image" Target="media/image63.wmf"/><Relationship Id="rId13" Type="http://schemas.openxmlformats.org/officeDocument/2006/relationships/footer" Target="footer4.xml"/><Relationship Id="rId129" Type="http://schemas.openxmlformats.org/officeDocument/2006/relationships/oleObject" Target="embeddings/oleObject44.bin"/><Relationship Id="rId128" Type="http://schemas.openxmlformats.org/officeDocument/2006/relationships/image" Target="media/image62.wmf"/><Relationship Id="rId127" Type="http://schemas.openxmlformats.org/officeDocument/2006/relationships/oleObject" Target="embeddings/oleObject43.bin"/><Relationship Id="rId126" Type="http://schemas.openxmlformats.org/officeDocument/2006/relationships/image" Target="media/image61.png"/><Relationship Id="rId125" Type="http://schemas.openxmlformats.org/officeDocument/2006/relationships/image" Target="media/image60.png"/><Relationship Id="rId124" Type="http://schemas.openxmlformats.org/officeDocument/2006/relationships/image" Target="media/image59.png"/><Relationship Id="rId123" Type="http://schemas.openxmlformats.org/officeDocument/2006/relationships/image" Target="media/image58.png"/><Relationship Id="rId122" Type="http://schemas.openxmlformats.org/officeDocument/2006/relationships/image" Target="media/image57.png"/><Relationship Id="rId121" Type="http://schemas.openxmlformats.org/officeDocument/2006/relationships/image" Target="media/image56.jpeg"/><Relationship Id="rId120" Type="http://schemas.openxmlformats.org/officeDocument/2006/relationships/image" Target="media/image55.jpeg"/><Relationship Id="rId12" Type="http://schemas.openxmlformats.org/officeDocument/2006/relationships/header" Target="header5.xml"/><Relationship Id="rId119" Type="http://schemas.openxmlformats.org/officeDocument/2006/relationships/image" Target="media/image54.jpeg"/><Relationship Id="rId118" Type="http://schemas.openxmlformats.org/officeDocument/2006/relationships/image" Target="media/image53.jpeg"/><Relationship Id="rId117" Type="http://schemas.openxmlformats.org/officeDocument/2006/relationships/image" Target="media/image52.jpeg"/><Relationship Id="rId116" Type="http://schemas.openxmlformats.org/officeDocument/2006/relationships/image" Target="media/image51.jpeg"/><Relationship Id="rId115" Type="http://schemas.openxmlformats.org/officeDocument/2006/relationships/image" Target="media/image50.wmf"/><Relationship Id="rId114" Type="http://schemas.openxmlformats.org/officeDocument/2006/relationships/oleObject" Target="embeddings/oleObject42.bin"/><Relationship Id="rId113" Type="http://schemas.openxmlformats.org/officeDocument/2006/relationships/image" Target="media/image49.wmf"/><Relationship Id="rId112" Type="http://schemas.openxmlformats.org/officeDocument/2006/relationships/oleObject" Target="embeddings/oleObject41.bin"/><Relationship Id="rId111" Type="http://schemas.openxmlformats.org/officeDocument/2006/relationships/image" Target="media/image48.wmf"/><Relationship Id="rId110" Type="http://schemas.openxmlformats.org/officeDocument/2006/relationships/image" Target="media/image47.jpeg"/><Relationship Id="rId11" Type="http://schemas.openxmlformats.org/officeDocument/2006/relationships/header" Target="header4.xml"/><Relationship Id="rId109" Type="http://schemas.openxmlformats.org/officeDocument/2006/relationships/image" Target="media/image46.jpeg"/><Relationship Id="rId108" Type="http://schemas.openxmlformats.org/officeDocument/2006/relationships/image" Target="media/image45.wmf"/><Relationship Id="rId107" Type="http://schemas.openxmlformats.org/officeDocument/2006/relationships/oleObject" Target="embeddings/oleObject40.bin"/><Relationship Id="rId106" Type="http://schemas.openxmlformats.org/officeDocument/2006/relationships/image" Target="media/image44.wmf"/><Relationship Id="rId105" Type="http://schemas.openxmlformats.org/officeDocument/2006/relationships/oleObject" Target="embeddings/oleObject39.bin"/><Relationship Id="rId104" Type="http://schemas.openxmlformats.org/officeDocument/2006/relationships/image" Target="media/image43.wmf"/><Relationship Id="rId103" Type="http://schemas.openxmlformats.org/officeDocument/2006/relationships/oleObject" Target="embeddings/oleObject38.bin"/><Relationship Id="rId102" Type="http://schemas.openxmlformats.org/officeDocument/2006/relationships/image" Target="media/image42.wmf"/><Relationship Id="rId101" Type="http://schemas.openxmlformats.org/officeDocument/2006/relationships/oleObject" Target="embeddings/oleObject37.bin"/><Relationship Id="rId100" Type="http://schemas.openxmlformats.org/officeDocument/2006/relationships/image" Target="media/image41.wmf"/><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城乡供水调度业务用房.dotx</Template>
  <Pages>114</Pages>
  <Words>44055</Words>
  <Characters>55473</Characters>
  <Lines>0</Lines>
  <Paragraphs>2764</Paragraphs>
  <TotalTime>8</TotalTime>
  <ScaleCrop>false</ScaleCrop>
  <LinksUpToDate>false</LinksUpToDate>
  <CharactersWithSpaces>56090</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2021-01-19T01:13:00Z</dcterms:created>
  <dc:creator>朱瑞峰</dc:creator>
  <cp:lastModifiedBy>种子wei</cp:lastModifiedBy>
  <dcterms:modified xsi:type="dcterms:W3CDTF">2021-12-31T00:53:17Z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31612F189B904EEFB3EB7A8EAF043D5F</vt:lpwstr>
  </property>
</Properties>
</file>