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z w:val="36"/>
          <w:szCs w:val="36"/>
          <w:highlight w:val="yellow"/>
        </w:rPr>
      </w:pPr>
    </w:p>
    <w:p>
      <w:pPr>
        <w:rPr>
          <w:rFonts w:ascii="仿宋_GB2312" w:hAnsi="仿宋_GB2312" w:eastAsia="仿宋_GB2312" w:cs="仿宋_GB2312"/>
          <w:color w:val="auto"/>
          <w:sz w:val="36"/>
          <w:szCs w:val="36"/>
          <w:highlight w:val="yellow"/>
        </w:rPr>
      </w:pPr>
    </w:p>
    <w:p>
      <w:pPr>
        <w:rPr>
          <w:rFonts w:ascii="仿宋_GB2312" w:hAnsi="仿宋_GB2312" w:eastAsia="仿宋_GB2312" w:cs="仿宋_GB2312"/>
          <w:color w:val="auto"/>
          <w:sz w:val="36"/>
          <w:szCs w:val="36"/>
          <w:highlight w:val="yellow"/>
        </w:rPr>
      </w:pPr>
    </w:p>
    <w:p>
      <w:pPr>
        <w:rPr>
          <w:rFonts w:ascii="仿宋_GB2312" w:hAnsi="仿宋_GB2312" w:eastAsia="仿宋_GB2312" w:cs="仿宋_GB2312"/>
          <w:color w:val="auto"/>
          <w:sz w:val="36"/>
          <w:szCs w:val="36"/>
          <w:highlight w:val="yellow"/>
        </w:rPr>
      </w:pPr>
    </w:p>
    <w:p>
      <w:pPr>
        <w:rPr>
          <w:rFonts w:ascii="仿宋_GB2312" w:hAnsi="仿宋_GB2312" w:eastAsia="仿宋_GB2312" w:cs="仿宋_GB2312"/>
          <w:color w:val="auto"/>
          <w:sz w:val="36"/>
          <w:szCs w:val="36"/>
          <w:highlight w:val="yellow"/>
        </w:rPr>
      </w:pPr>
    </w:p>
    <w:p>
      <w:pPr>
        <w:adjustRightInd w:val="0"/>
        <w:snapToGrid w:val="0"/>
        <w:jc w:val="center"/>
        <w:outlineLvl w:val="0"/>
        <w:rPr>
          <w:rFonts w:ascii="方正小标宋_GBK" w:eastAsia="方正小标宋_GBK"/>
          <w:bCs/>
          <w:color w:val="auto"/>
          <w:sz w:val="72"/>
          <w:szCs w:val="72"/>
          <w:highlight w:val="none"/>
        </w:rPr>
      </w:pPr>
      <w:r>
        <w:rPr>
          <w:rFonts w:hint="eastAsia" w:ascii="方正小标宋_GBK" w:eastAsia="方正小标宋_GBK"/>
          <w:bCs/>
          <w:color w:val="auto"/>
          <w:sz w:val="72"/>
          <w:szCs w:val="72"/>
          <w:highlight w:val="none"/>
        </w:rPr>
        <w:t>建设项目环境影响报告表</w:t>
      </w:r>
    </w:p>
    <w:p>
      <w:pPr>
        <w:adjustRightInd w:val="0"/>
        <w:snapToGrid w:val="0"/>
        <w:spacing w:before="192" w:beforeLines="80"/>
        <w:jc w:val="center"/>
        <w:outlineLvl w:val="0"/>
        <w:rPr>
          <w:rFonts w:ascii="楷体_GB2312" w:eastAsia="楷体_GB2312"/>
          <w:bCs/>
          <w:color w:val="auto"/>
          <w:sz w:val="48"/>
          <w:szCs w:val="48"/>
          <w:highlight w:val="none"/>
        </w:rPr>
      </w:pPr>
      <w:r>
        <w:rPr>
          <w:rFonts w:hint="eastAsia" w:ascii="楷体_GB2312" w:eastAsia="楷体_GB2312"/>
          <w:bCs/>
          <w:color w:val="auto"/>
          <w:sz w:val="48"/>
          <w:szCs w:val="48"/>
          <w:highlight w:val="none"/>
        </w:rPr>
        <w:t>（污染影响类）</w:t>
      </w:r>
    </w:p>
    <w:p>
      <w:pPr>
        <w:rPr>
          <w:color w:val="auto"/>
          <w:highlight w:val="yellow"/>
        </w:rPr>
      </w:pPr>
    </w:p>
    <w:p>
      <w:pPr>
        <w:rPr>
          <w:color w:val="auto"/>
          <w:highlight w:val="yellow"/>
        </w:rPr>
      </w:pPr>
    </w:p>
    <w:p>
      <w:pPr>
        <w:rPr>
          <w:color w:val="auto"/>
          <w:highlight w:val="yellow"/>
        </w:rPr>
      </w:pPr>
    </w:p>
    <w:p>
      <w:pPr>
        <w:rPr>
          <w:color w:val="auto"/>
          <w:highlight w:val="yellow"/>
        </w:rPr>
      </w:pPr>
    </w:p>
    <w:p>
      <w:pPr>
        <w:ind w:firstLine="1040"/>
        <w:jc w:val="left"/>
        <w:rPr>
          <w:rFonts w:eastAsia="仿宋"/>
          <w:color w:val="auto"/>
          <w:sz w:val="44"/>
          <w:szCs w:val="44"/>
          <w:highlight w:val="yellow"/>
        </w:rPr>
      </w:pPr>
    </w:p>
    <w:p>
      <w:pPr>
        <w:rPr>
          <w:rFonts w:eastAsia="仿宋"/>
          <w:color w:val="auto"/>
          <w:sz w:val="44"/>
          <w:szCs w:val="44"/>
          <w:highlight w:val="yellow"/>
        </w:rPr>
      </w:pPr>
    </w:p>
    <w:p>
      <w:pPr>
        <w:rPr>
          <w:rFonts w:eastAsia="仿宋"/>
          <w:color w:val="auto"/>
          <w:sz w:val="44"/>
          <w:szCs w:val="44"/>
          <w:highlight w:val="yellow"/>
        </w:rPr>
      </w:pPr>
    </w:p>
    <w:p>
      <w:pPr>
        <w:rPr>
          <w:rFonts w:eastAsia="仿宋"/>
          <w:color w:val="auto"/>
          <w:sz w:val="44"/>
          <w:szCs w:val="44"/>
          <w:highlight w:val="yellow"/>
        </w:rPr>
      </w:pPr>
    </w:p>
    <w:p>
      <w:pPr>
        <w:ind w:firstLine="1040"/>
        <w:jc w:val="left"/>
        <w:rPr>
          <w:rFonts w:eastAsia="仿宋"/>
          <w:color w:val="auto"/>
          <w:sz w:val="44"/>
          <w:szCs w:val="44"/>
          <w:highlight w:val="yellow"/>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ascii="仿宋_GB2312" w:eastAsia="仿宋_GB2312"/>
          <w:color w:val="auto"/>
          <w:sz w:val="36"/>
          <w:szCs w:val="36"/>
          <w:highlight w:val="none"/>
          <w:u w:val="single"/>
        </w:rPr>
      </w:pPr>
      <w:r>
        <w:rPr>
          <w:rFonts w:hint="eastAsia" w:ascii="仿宋_GB2312" w:eastAsia="仿宋_GB2312"/>
          <w:color w:val="auto"/>
          <w:sz w:val="36"/>
          <w:szCs w:val="36"/>
          <w:highlight w:val="none"/>
        </w:rPr>
        <w:t>项目名称：</w:t>
      </w:r>
      <w:r>
        <w:rPr>
          <w:rFonts w:hint="eastAsia" w:ascii="仿宋_GB2312" w:eastAsia="仿宋_GB2312"/>
          <w:color w:val="auto"/>
          <w:sz w:val="36"/>
          <w:szCs w:val="36"/>
          <w:highlight w:val="none"/>
          <w:u w:val="single"/>
          <w:lang w:val="en-US" w:eastAsia="zh-CN"/>
        </w:rPr>
        <w:t>福建省超达锻造有限公司阀门锻件技改项目</w:t>
      </w:r>
      <w:r>
        <w:rPr>
          <w:rFonts w:hint="eastAsia" w:ascii="仿宋_GB2312" w:eastAsia="仿宋_GB2312"/>
          <w:color w:val="auto"/>
          <w:sz w:val="36"/>
          <w:szCs w:val="36"/>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ascii="仿宋_GB2312" w:eastAsia="仿宋_GB2312"/>
          <w:color w:val="auto"/>
          <w:sz w:val="36"/>
          <w:szCs w:val="36"/>
          <w:highlight w:val="none"/>
          <w:u w:val="single"/>
        </w:rPr>
      </w:pPr>
      <w:r>
        <w:rPr>
          <w:rFonts w:hint="eastAsia" w:ascii="仿宋_GB2312" w:eastAsia="仿宋_GB2312"/>
          <w:color w:val="auto"/>
          <w:sz w:val="36"/>
          <w:szCs w:val="36"/>
          <w:highlight w:val="none"/>
        </w:rPr>
        <w:t>建设单位（盖章）：</w:t>
      </w:r>
      <w:r>
        <w:rPr>
          <w:rFonts w:hint="eastAsia" w:ascii="仿宋_GB2312" w:eastAsia="仿宋_GB2312"/>
          <w:color w:val="auto"/>
          <w:sz w:val="36"/>
          <w:szCs w:val="36"/>
          <w:highlight w:val="none"/>
          <w:u w:val="single"/>
        </w:rPr>
        <w:t xml:space="preserve">福建省超达锻造有限公司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ascii="仿宋_GB2312" w:eastAsia="仿宋_GB2312"/>
          <w:color w:val="auto"/>
          <w:sz w:val="36"/>
          <w:szCs w:val="36"/>
          <w:highlight w:val="none"/>
          <w:u w:val="single"/>
        </w:rPr>
      </w:pPr>
      <w:r>
        <w:rPr>
          <w:rFonts w:hint="eastAsia" w:ascii="仿宋_GB2312" w:eastAsia="仿宋_GB2312"/>
          <w:color w:val="auto"/>
          <w:sz w:val="36"/>
          <w:szCs w:val="36"/>
          <w:highlight w:val="none"/>
        </w:rPr>
        <w:t>编制日期：</w:t>
      </w:r>
      <w:r>
        <w:rPr>
          <w:rFonts w:hint="eastAsia" w:ascii="仿宋_GB2312" w:eastAsia="仿宋_GB2312"/>
          <w:color w:val="auto"/>
          <w:sz w:val="36"/>
          <w:szCs w:val="36"/>
          <w:highlight w:val="none"/>
          <w:u w:val="single"/>
        </w:rPr>
        <w:t xml:space="preserve"> </w:t>
      </w:r>
      <w:r>
        <w:rPr>
          <w:rFonts w:ascii="仿宋_GB2312" w:eastAsia="仿宋_GB2312"/>
          <w:color w:val="auto"/>
          <w:sz w:val="36"/>
          <w:szCs w:val="36"/>
          <w:highlight w:val="none"/>
          <w:u w:val="single"/>
        </w:rPr>
        <w:t xml:space="preserve">     </w:t>
      </w:r>
      <w:r>
        <w:rPr>
          <w:rFonts w:hint="eastAsia" w:ascii="仿宋_GB2312" w:eastAsia="仿宋_GB2312"/>
          <w:color w:val="auto"/>
          <w:sz w:val="36"/>
          <w:szCs w:val="36"/>
          <w:highlight w:val="none"/>
          <w:u w:val="single"/>
        </w:rPr>
        <w:t xml:space="preserve">  202</w:t>
      </w:r>
      <w:r>
        <w:rPr>
          <w:rFonts w:hint="eastAsia" w:ascii="仿宋_GB2312" w:eastAsia="仿宋_GB2312"/>
          <w:color w:val="auto"/>
          <w:sz w:val="36"/>
          <w:szCs w:val="36"/>
          <w:highlight w:val="none"/>
          <w:u w:val="single"/>
          <w:lang w:val="en-US" w:eastAsia="zh-CN"/>
        </w:rPr>
        <w:t>2</w:t>
      </w:r>
      <w:r>
        <w:rPr>
          <w:rFonts w:hint="eastAsia" w:ascii="仿宋_GB2312" w:eastAsia="仿宋_GB2312"/>
          <w:color w:val="auto"/>
          <w:sz w:val="36"/>
          <w:szCs w:val="36"/>
          <w:highlight w:val="none"/>
          <w:u w:val="single"/>
        </w:rPr>
        <w:t>年</w:t>
      </w:r>
      <w:r>
        <w:rPr>
          <w:rFonts w:hint="eastAsia" w:ascii="仿宋_GB2312" w:eastAsia="仿宋_GB2312"/>
          <w:color w:val="auto"/>
          <w:sz w:val="36"/>
          <w:szCs w:val="36"/>
          <w:highlight w:val="none"/>
          <w:u w:val="single"/>
          <w:lang w:val="en-US" w:eastAsia="zh-CN"/>
        </w:rPr>
        <w:t>3</w:t>
      </w:r>
      <w:r>
        <w:rPr>
          <w:rFonts w:hint="eastAsia" w:ascii="仿宋_GB2312" w:eastAsia="仿宋_GB2312"/>
          <w:color w:val="auto"/>
          <w:sz w:val="36"/>
          <w:szCs w:val="36"/>
          <w:highlight w:val="none"/>
          <w:u w:val="single"/>
        </w:rPr>
        <w:t xml:space="preserve">月           </w:t>
      </w:r>
      <w:r>
        <w:rPr>
          <w:rFonts w:ascii="仿宋_GB2312" w:eastAsia="仿宋_GB2312"/>
          <w:color w:val="auto"/>
          <w:sz w:val="36"/>
          <w:szCs w:val="36"/>
          <w:highlight w:val="none"/>
          <w:u w:val="single"/>
        </w:rPr>
        <w:t xml:space="preserve">    </w:t>
      </w:r>
      <w:r>
        <w:rPr>
          <w:rFonts w:hint="eastAsia" w:ascii="仿宋_GB2312" w:eastAsia="仿宋_GB2312"/>
          <w:color w:val="auto"/>
          <w:sz w:val="36"/>
          <w:szCs w:val="36"/>
          <w:highlight w:val="none"/>
          <w:u w:val="single"/>
        </w:rPr>
        <w:t xml:space="preserve"> </w:t>
      </w:r>
    </w:p>
    <w:p>
      <w:pPr>
        <w:adjustRightInd w:val="0"/>
        <w:snapToGrid w:val="0"/>
        <w:spacing w:line="288" w:lineRule="auto"/>
        <w:ind w:firstLine="1040"/>
        <w:jc w:val="left"/>
        <w:rPr>
          <w:rFonts w:ascii="仿宋_GB2312" w:eastAsia="仿宋_GB2312"/>
          <w:color w:val="auto"/>
          <w:sz w:val="36"/>
          <w:szCs w:val="36"/>
          <w:highlight w:val="yellow"/>
          <w:u w:val="single"/>
        </w:rPr>
      </w:pPr>
      <w:bookmarkStart w:id="0" w:name="_Hlk57884087"/>
    </w:p>
    <w:p>
      <w:pPr>
        <w:adjustRightInd w:val="0"/>
        <w:snapToGrid w:val="0"/>
        <w:spacing w:line="288" w:lineRule="auto"/>
        <w:ind w:firstLine="1040"/>
        <w:jc w:val="left"/>
        <w:rPr>
          <w:rFonts w:ascii="仿宋_GB2312" w:eastAsia="仿宋_GB2312"/>
          <w:color w:val="auto"/>
          <w:sz w:val="36"/>
          <w:szCs w:val="36"/>
          <w:highlight w:val="yellow"/>
        </w:rPr>
      </w:pPr>
    </w:p>
    <w:p>
      <w:pPr>
        <w:adjustRightInd w:val="0"/>
        <w:snapToGrid w:val="0"/>
        <w:spacing w:line="288" w:lineRule="auto"/>
        <w:ind w:firstLine="1040"/>
        <w:jc w:val="left"/>
        <w:rPr>
          <w:rFonts w:ascii="仿宋_GB2312" w:eastAsia="仿宋_GB2312"/>
          <w:color w:val="auto"/>
          <w:sz w:val="36"/>
          <w:szCs w:val="36"/>
          <w:highlight w:val="yellow"/>
        </w:rPr>
      </w:pPr>
    </w:p>
    <w:p>
      <w:pPr>
        <w:adjustRightInd w:val="0"/>
        <w:snapToGrid w:val="0"/>
        <w:spacing w:line="288" w:lineRule="auto"/>
        <w:ind w:firstLine="1040"/>
        <w:jc w:val="left"/>
        <w:rPr>
          <w:rFonts w:ascii="仿宋_GB2312" w:eastAsia="仿宋_GB2312"/>
          <w:color w:val="auto"/>
          <w:sz w:val="36"/>
          <w:szCs w:val="36"/>
          <w:highlight w:val="yellow"/>
        </w:rPr>
      </w:pPr>
    </w:p>
    <w:p>
      <w:pPr>
        <w:adjustRightInd w:val="0"/>
        <w:snapToGrid w:val="0"/>
        <w:spacing w:line="288" w:lineRule="auto"/>
        <w:ind w:firstLine="1040"/>
        <w:jc w:val="left"/>
        <w:rPr>
          <w:rFonts w:ascii="仿宋_GB2312" w:eastAsia="仿宋_GB2312"/>
          <w:color w:val="auto"/>
          <w:sz w:val="36"/>
          <w:szCs w:val="36"/>
          <w:highlight w:val="yellow"/>
        </w:rPr>
      </w:pPr>
    </w:p>
    <w:bookmarkEnd w:id="0"/>
    <w:p>
      <w:pPr>
        <w:adjustRightInd w:val="0"/>
        <w:snapToGrid w:val="0"/>
        <w:spacing w:line="288" w:lineRule="auto"/>
        <w:jc w:val="center"/>
        <w:outlineLvl w:val="0"/>
        <w:rPr>
          <w:rFonts w:ascii="楷体_GB2312" w:eastAsia="楷体_GB2312"/>
          <w:color w:val="auto"/>
          <w:sz w:val="36"/>
          <w:szCs w:val="36"/>
          <w:highlight w:val="none"/>
        </w:rPr>
      </w:pPr>
      <w:r>
        <w:rPr>
          <w:rFonts w:hint="eastAsia" w:ascii="楷体_GB2312" w:eastAsia="楷体_GB2312"/>
          <w:color w:val="auto"/>
          <w:sz w:val="36"/>
          <w:szCs w:val="36"/>
          <w:highlight w:val="none"/>
        </w:rPr>
        <w:t>中华人民共和国生态环境部制</w:t>
      </w:r>
    </w:p>
    <w:p>
      <w:pPr>
        <w:adjustRightInd w:val="0"/>
        <w:snapToGrid w:val="0"/>
        <w:spacing w:line="288" w:lineRule="auto"/>
        <w:ind w:firstLine="1040"/>
        <w:rPr>
          <w:rFonts w:ascii="仿宋_GB2312" w:eastAsia="仿宋_GB2312"/>
          <w:color w:val="auto"/>
          <w:sz w:val="36"/>
          <w:szCs w:val="36"/>
          <w:highlight w:val="none"/>
        </w:rPr>
        <w:sectPr>
          <w:footerReference r:id="rId3" w:type="default"/>
          <w:footerReference r:id="rId4" w:type="even"/>
          <w:pgSz w:w="11905" w:h="16838"/>
          <w:pgMar w:top="1417" w:right="1417" w:bottom="1417" w:left="1417" w:header="851" w:footer="1077" w:gutter="0"/>
          <w:pgBorders>
            <w:top w:val="none" w:sz="0" w:space="0"/>
            <w:left w:val="none" w:sz="0" w:space="0"/>
            <w:bottom w:val="none" w:sz="0" w:space="0"/>
            <w:right w:val="none" w:sz="0" w:space="0"/>
          </w:pgBorders>
          <w:pgNumType w:fmt="numberInDash" w:start="3"/>
          <w:cols w:space="0" w:num="1"/>
          <w:docGrid w:linePitch="312" w:charSpace="0"/>
        </w:sectPr>
      </w:pPr>
    </w:p>
    <w:p>
      <w:pPr>
        <w:pStyle w:val="3"/>
        <w:rPr>
          <w:color w:val="auto"/>
          <w:highlight w:val="none"/>
        </w:rPr>
      </w:pPr>
      <w:r>
        <w:rPr>
          <w:rFonts w:hint="eastAsia"/>
          <w:color w:val="auto"/>
          <w:highlight w:val="none"/>
        </w:rPr>
        <w:t>建设项目基本情况</w:t>
      </w:r>
    </w:p>
    <w:tbl>
      <w:tblPr>
        <w:tblStyle w:val="18"/>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23"/>
        <w:gridCol w:w="1501"/>
        <w:gridCol w:w="1215"/>
        <w:gridCol w:w="1549"/>
        <w:gridCol w:w="28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项目名称</w:t>
            </w:r>
          </w:p>
        </w:tc>
        <w:tc>
          <w:tcPr>
            <w:tcW w:w="7147" w:type="dxa"/>
            <w:gridSpan w:val="4"/>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福建省超达锻造有限公司阀门锻件技改项目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项目代码</w:t>
            </w:r>
          </w:p>
        </w:tc>
        <w:tc>
          <w:tcPr>
            <w:tcW w:w="7147" w:type="dxa"/>
            <w:gridSpan w:val="4"/>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lang w:val="en-US" w:eastAsia="zh-CN"/>
              </w:rPr>
            </w:pPr>
            <w:r>
              <w:rPr>
                <w:rFonts w:hint="eastAsia"/>
                <w:color w:val="auto"/>
                <w:lang w:val="en-US" w:eastAsia="zh-CN"/>
              </w:rPr>
              <w:t>2020-350982-33-03-082389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建设单位联系人</w:t>
            </w:r>
          </w:p>
        </w:tc>
        <w:tc>
          <w:tcPr>
            <w:tcW w:w="2716"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lang w:val="en-US" w:eastAsia="zh-CN"/>
              </w:rPr>
              <w:t>蔡利勇</w:t>
            </w:r>
          </w:p>
        </w:tc>
        <w:tc>
          <w:tcPr>
            <w:tcW w:w="1549"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联系方式</w:t>
            </w:r>
          </w:p>
        </w:tc>
        <w:tc>
          <w:tcPr>
            <w:tcW w:w="288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建设地点</w:t>
            </w:r>
          </w:p>
        </w:tc>
        <w:tc>
          <w:tcPr>
            <w:tcW w:w="7147" w:type="dxa"/>
            <w:gridSpan w:val="4"/>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福建省（自治区）宁德市福鼎县（区）太姥山镇乡（街道）</w:t>
            </w:r>
            <w:r>
              <w:rPr>
                <w:rFonts w:hint="eastAsia"/>
                <w:color w:val="auto"/>
                <w:lang w:val="en-US" w:eastAsia="zh-CN"/>
              </w:rPr>
              <w:t>银川路26号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地理坐标</w:t>
            </w:r>
          </w:p>
        </w:tc>
        <w:tc>
          <w:tcPr>
            <w:tcW w:w="7147" w:type="dxa"/>
            <w:gridSpan w:val="4"/>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 120 度 1</w:t>
            </w:r>
            <w:r>
              <w:rPr>
                <w:rFonts w:hint="eastAsia"/>
                <w:color w:val="auto"/>
                <w:lang w:val="en-US" w:eastAsia="zh-CN"/>
              </w:rPr>
              <w:t xml:space="preserve">5 </w:t>
            </w:r>
            <w:r>
              <w:rPr>
                <w:rFonts w:hint="default"/>
                <w:color w:val="auto"/>
              </w:rPr>
              <w:t xml:space="preserve">分 </w:t>
            </w:r>
            <w:r>
              <w:rPr>
                <w:rFonts w:hint="eastAsia"/>
                <w:color w:val="auto"/>
                <w:lang w:val="en-US" w:eastAsia="zh-CN"/>
              </w:rPr>
              <w:t>13.893</w:t>
            </w:r>
            <w:r>
              <w:rPr>
                <w:rFonts w:hint="default"/>
                <w:color w:val="auto"/>
              </w:rPr>
              <w:t xml:space="preserve"> 秒， 27 度 0</w:t>
            </w:r>
            <w:r>
              <w:rPr>
                <w:rFonts w:hint="eastAsia"/>
                <w:color w:val="auto"/>
                <w:lang w:val="en-US" w:eastAsia="zh-CN"/>
              </w:rPr>
              <w:t>3</w:t>
            </w:r>
            <w:r>
              <w:rPr>
                <w:rFonts w:hint="default"/>
                <w:color w:val="auto"/>
              </w:rPr>
              <w:t xml:space="preserve"> 分 </w:t>
            </w:r>
            <w:r>
              <w:rPr>
                <w:rFonts w:hint="eastAsia"/>
                <w:color w:val="auto"/>
                <w:lang w:val="en-US" w:eastAsia="zh-CN"/>
              </w:rPr>
              <w:t>31.748</w:t>
            </w:r>
            <w:r>
              <w:rPr>
                <w:rFonts w:hint="default"/>
                <w:color w:val="auto"/>
              </w:rPr>
              <w:t xml:space="preserve"> 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国民经济</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行业类别</w:t>
            </w:r>
          </w:p>
        </w:tc>
        <w:tc>
          <w:tcPr>
            <w:tcW w:w="2716"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C339</w:t>
            </w:r>
            <w:r>
              <w:rPr>
                <w:rFonts w:hint="eastAsia"/>
                <w:color w:val="auto"/>
                <w:lang w:val="en-US" w:eastAsia="zh-CN"/>
              </w:rPr>
              <w:t>3</w:t>
            </w:r>
            <w:r>
              <w:rPr>
                <w:rFonts w:hint="default"/>
                <w:color w:val="auto"/>
              </w:rPr>
              <w:t xml:space="preserve"> 锻件及粉末冶金制品制造</w:t>
            </w:r>
          </w:p>
        </w:tc>
        <w:tc>
          <w:tcPr>
            <w:tcW w:w="1549"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bookmarkStart w:id="1" w:name="_Hlk49843745"/>
            <w:r>
              <w:rPr>
                <w:rFonts w:hint="default"/>
                <w:color w:val="auto"/>
              </w:rPr>
              <w:t>建设项目</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行业类别</w:t>
            </w:r>
            <w:bookmarkEnd w:id="1"/>
          </w:p>
        </w:tc>
        <w:tc>
          <w:tcPr>
            <w:tcW w:w="288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lang w:val="en-US" w:eastAsia="zh-CN"/>
              </w:rPr>
            </w:pPr>
            <w:r>
              <w:rPr>
                <w:rFonts w:hint="default"/>
                <w:color w:val="auto"/>
              </w:rPr>
              <w:t>68 铸造及其他金属制品制造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19"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建设性质</w:t>
            </w:r>
          </w:p>
        </w:tc>
        <w:tc>
          <w:tcPr>
            <w:tcW w:w="2716"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A3"/>
            </w:r>
            <w:r>
              <w:rPr>
                <w:rFonts w:hint="default"/>
                <w:color w:val="auto"/>
              </w:rPr>
              <w:t>新建（迁建）</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52"/>
            </w:r>
            <w:r>
              <w:rPr>
                <w:rFonts w:hint="default"/>
                <w:color w:val="auto"/>
              </w:rPr>
              <w:t>改建</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52"/>
            </w:r>
            <w:r>
              <w:rPr>
                <w:rFonts w:hint="default"/>
                <w:color w:val="auto"/>
              </w:rPr>
              <w:t>扩建</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A3"/>
            </w:r>
            <w:r>
              <w:rPr>
                <w:rFonts w:hint="default"/>
                <w:color w:val="auto"/>
              </w:rPr>
              <w:t>技术改造</w:t>
            </w:r>
          </w:p>
        </w:tc>
        <w:tc>
          <w:tcPr>
            <w:tcW w:w="1549"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建设项目</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申报情形</w:t>
            </w:r>
          </w:p>
        </w:tc>
        <w:tc>
          <w:tcPr>
            <w:tcW w:w="288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52"/>
            </w:r>
            <w:r>
              <w:rPr>
                <w:rFonts w:hint="default"/>
                <w:color w:val="auto"/>
              </w:rPr>
              <w:t>首次申报项目</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A3"/>
            </w:r>
            <w:r>
              <w:rPr>
                <w:rFonts w:hint="default"/>
                <w:color w:val="auto"/>
              </w:rPr>
              <w:t>不予批准后再次申报项目</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A3"/>
            </w:r>
            <w:r>
              <w:rPr>
                <w:rFonts w:hint="default"/>
                <w:color w:val="auto"/>
              </w:rPr>
              <w:t>超五年重新审核项目</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A3"/>
            </w:r>
            <w:r>
              <w:rPr>
                <w:rFonts w:hint="default"/>
                <w:color w:val="auto"/>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项目审批（核准/</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备案）部门（选填）</w:t>
            </w:r>
          </w:p>
        </w:tc>
        <w:tc>
          <w:tcPr>
            <w:tcW w:w="2716"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福鼎市工业和信息化局</w:t>
            </w:r>
          </w:p>
        </w:tc>
        <w:tc>
          <w:tcPr>
            <w:tcW w:w="1549"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项目审批（核准/备案）文号（选填）</w:t>
            </w:r>
          </w:p>
        </w:tc>
        <w:tc>
          <w:tcPr>
            <w:tcW w:w="288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闽工信备[202</w:t>
            </w:r>
            <w:r>
              <w:rPr>
                <w:rFonts w:hint="eastAsia"/>
                <w:color w:val="auto"/>
                <w:lang w:val="en-US" w:eastAsia="zh-CN"/>
              </w:rPr>
              <w:t>0</w:t>
            </w:r>
            <w:r>
              <w:rPr>
                <w:rFonts w:hint="default"/>
                <w:color w:val="auto"/>
              </w:rPr>
              <w:t>]J03</w:t>
            </w:r>
            <w:r>
              <w:rPr>
                <w:rFonts w:hint="eastAsia"/>
                <w:color w:val="auto"/>
                <w:lang w:val="en-US" w:eastAsia="zh-CN"/>
              </w:rPr>
              <w:t>0115</w:t>
            </w:r>
            <w:r>
              <w:rPr>
                <w:rFonts w:hint="default"/>
                <w:color w:val="auto"/>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总投资（万元）</w:t>
            </w:r>
          </w:p>
        </w:tc>
        <w:tc>
          <w:tcPr>
            <w:tcW w:w="2716"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lang w:val="en-US" w:eastAsia="zh-CN"/>
              </w:rPr>
            </w:pPr>
            <w:r>
              <w:rPr>
                <w:rFonts w:hint="eastAsia"/>
                <w:color w:val="auto"/>
                <w:lang w:val="en-US" w:eastAsia="zh-CN"/>
              </w:rPr>
              <w:t>2600</w:t>
            </w:r>
          </w:p>
        </w:tc>
        <w:tc>
          <w:tcPr>
            <w:tcW w:w="1549"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环保投资（万元）</w:t>
            </w:r>
          </w:p>
        </w:tc>
        <w:tc>
          <w:tcPr>
            <w:tcW w:w="288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lang w:val="en-US"/>
              </w:rPr>
            </w:pPr>
            <w:r>
              <w:rPr>
                <w:rFonts w:hint="eastAsia"/>
                <w:color w:val="auto"/>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环保投资占比（%）</w:t>
            </w:r>
          </w:p>
        </w:tc>
        <w:tc>
          <w:tcPr>
            <w:tcW w:w="2716"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lang w:val="en-US" w:eastAsia="zh-CN"/>
              </w:rPr>
            </w:pPr>
            <w:r>
              <w:rPr>
                <w:rFonts w:hint="eastAsia"/>
                <w:color w:val="auto"/>
                <w:lang w:val="en-US" w:eastAsia="zh-CN"/>
              </w:rPr>
              <w:t>0.4</w:t>
            </w:r>
          </w:p>
        </w:tc>
        <w:tc>
          <w:tcPr>
            <w:tcW w:w="1549"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施工工期</w:t>
            </w:r>
          </w:p>
        </w:tc>
        <w:tc>
          <w:tcPr>
            <w:tcW w:w="288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lang w:val="en-US" w:eastAsia="zh-CN"/>
              </w:rPr>
              <w:t>24</w:t>
            </w:r>
            <w:r>
              <w:rPr>
                <w:rFonts w:hint="default"/>
                <w:color w:val="auto"/>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23"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是否开工建设</w:t>
            </w:r>
          </w:p>
        </w:tc>
        <w:tc>
          <w:tcPr>
            <w:tcW w:w="2716"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52"/>
            </w:r>
            <w:r>
              <w:rPr>
                <w:rFonts w:hint="default"/>
                <w:color w:val="auto"/>
              </w:rPr>
              <w:t>否</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sym w:font="Wingdings 2" w:char="00A3"/>
            </w:r>
            <w:r>
              <w:rPr>
                <w:rFonts w:hint="default"/>
                <w:color w:val="auto"/>
              </w:rPr>
              <w:t>是：</w:t>
            </w:r>
          </w:p>
        </w:tc>
        <w:tc>
          <w:tcPr>
            <w:tcW w:w="1549" w:type="dxa"/>
            <w:tcMar>
              <w:top w:w="16" w:type="dxa"/>
              <w:left w:w="16" w:type="dxa"/>
              <w:right w:w="16" w:type="dxa"/>
            </w:tcMar>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用地（用海）</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面积（m</w:t>
            </w:r>
            <w:r>
              <w:rPr>
                <w:rFonts w:hint="default"/>
                <w:color w:val="auto"/>
                <w:vertAlign w:val="superscript"/>
              </w:rPr>
              <w:t>2</w:t>
            </w:r>
            <w:r>
              <w:rPr>
                <w:rFonts w:hint="default"/>
                <w:color w:val="auto"/>
              </w:rPr>
              <w:t>）</w:t>
            </w:r>
          </w:p>
        </w:tc>
        <w:tc>
          <w:tcPr>
            <w:tcW w:w="288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3" w:type="dxa"/>
            <w:vMerge w:val="restart"/>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default"/>
                <w:color w:val="auto"/>
              </w:rPr>
              <w:t>专项评价设置情况</w:t>
            </w:r>
          </w:p>
        </w:tc>
        <w:tc>
          <w:tcPr>
            <w:tcW w:w="1501"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专项类别</w:t>
            </w:r>
          </w:p>
        </w:tc>
        <w:tc>
          <w:tcPr>
            <w:tcW w:w="121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开展情况</w:t>
            </w:r>
          </w:p>
        </w:tc>
        <w:tc>
          <w:tcPr>
            <w:tcW w:w="4431"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设置说明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3"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501"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大气</w:t>
            </w:r>
          </w:p>
        </w:tc>
        <w:tc>
          <w:tcPr>
            <w:tcW w:w="121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无</w:t>
            </w:r>
          </w:p>
        </w:tc>
        <w:tc>
          <w:tcPr>
            <w:tcW w:w="4431"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本项目排放的废气不涉及有毒有害污染物、二噁英、苯并[a]芘、氰化物、氯气。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3"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501"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地表水</w:t>
            </w:r>
          </w:p>
        </w:tc>
        <w:tc>
          <w:tcPr>
            <w:tcW w:w="121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无</w:t>
            </w:r>
          </w:p>
        </w:tc>
        <w:tc>
          <w:tcPr>
            <w:tcW w:w="4431"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本项目</w:t>
            </w:r>
            <w:r>
              <w:rPr>
                <w:rFonts w:hint="eastAsia"/>
                <w:color w:val="auto"/>
                <w:lang w:val="en-US" w:eastAsia="zh-CN"/>
              </w:rPr>
              <w:t>生产废水循环使用，不外排，生活污水经化粪池处理后排入市政管网，无废水直排</w:t>
            </w:r>
            <w:r>
              <w:rPr>
                <w:rFonts w:hint="eastAsia"/>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3"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501"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环境风险</w:t>
            </w:r>
          </w:p>
        </w:tc>
        <w:tc>
          <w:tcPr>
            <w:tcW w:w="121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color w:val="auto"/>
                <w:lang w:eastAsia="zh-CN"/>
              </w:rPr>
            </w:pPr>
            <w:r>
              <w:rPr>
                <w:rFonts w:hint="eastAsia"/>
                <w:color w:val="auto"/>
                <w:lang w:val="en-US" w:eastAsia="zh-CN"/>
              </w:rPr>
              <w:t>无</w:t>
            </w:r>
          </w:p>
        </w:tc>
        <w:tc>
          <w:tcPr>
            <w:tcW w:w="4431"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本项目风险物质存储</w:t>
            </w:r>
            <w:r>
              <w:rPr>
                <w:rFonts w:hint="eastAsia"/>
                <w:color w:val="auto"/>
                <w:lang w:val="en-US" w:eastAsia="zh-CN"/>
              </w:rPr>
              <w:t>及在线</w:t>
            </w:r>
            <w:r>
              <w:rPr>
                <w:rFonts w:hint="eastAsia"/>
                <w:color w:val="auto"/>
              </w:rPr>
              <w:t>量</w:t>
            </w:r>
            <w:r>
              <w:rPr>
                <w:rFonts w:hint="eastAsia"/>
                <w:color w:val="auto"/>
                <w:lang w:val="en-US" w:eastAsia="zh-CN"/>
              </w:rPr>
              <w:t>未</w:t>
            </w:r>
            <w:r>
              <w:rPr>
                <w:rFonts w:hint="eastAsia"/>
                <w:color w:val="auto"/>
              </w:rPr>
              <w:t>超过其临界量。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3"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501"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生态</w:t>
            </w:r>
          </w:p>
        </w:tc>
        <w:tc>
          <w:tcPr>
            <w:tcW w:w="121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无</w:t>
            </w:r>
          </w:p>
        </w:tc>
        <w:tc>
          <w:tcPr>
            <w:tcW w:w="4431"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本项目用水来自市政自来水管网供水，不属于新增河道取水的项目。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3"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p>
        </w:tc>
        <w:tc>
          <w:tcPr>
            <w:tcW w:w="1501"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海洋</w:t>
            </w:r>
          </w:p>
        </w:tc>
        <w:tc>
          <w:tcPr>
            <w:tcW w:w="121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无</w:t>
            </w:r>
          </w:p>
        </w:tc>
        <w:tc>
          <w:tcPr>
            <w:tcW w:w="4431" w:type="dxa"/>
            <w:gridSpan w:val="2"/>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olor w:val="auto"/>
              </w:rPr>
            </w:pPr>
            <w:r>
              <w:rPr>
                <w:rFonts w:hint="eastAsia"/>
                <w:color w:val="auto"/>
              </w:rPr>
              <w:t>本项目不属于海洋工程建设项目。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2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auto"/>
                <w:kern w:val="0"/>
                <w:sz w:val="24"/>
                <w:szCs w:val="24"/>
                <w:highlight w:val="none"/>
              </w:rPr>
            </w:pPr>
            <w:r>
              <w:rPr>
                <w:rFonts w:hint="default"/>
                <w:color w:val="auto"/>
                <w:sz w:val="24"/>
                <w:szCs w:val="24"/>
                <w:highlight w:val="none"/>
              </w:rPr>
              <w:t>规划情况</w:t>
            </w:r>
          </w:p>
        </w:tc>
        <w:tc>
          <w:tcPr>
            <w:tcW w:w="7147" w:type="dxa"/>
            <w:gridSpan w:val="4"/>
            <w:vAlign w:val="center"/>
          </w:tcPr>
          <w:p>
            <w:pPr>
              <w:pStyle w:val="25"/>
              <w:keepNext w:val="0"/>
              <w:keepLines w:val="0"/>
              <w:suppressLineNumbers w:val="0"/>
              <w:spacing w:before="0" w:beforeAutospacing="0" w:after="0" w:afterAutospacing="0"/>
              <w:ind w:left="0" w:right="0" w:firstLine="0" w:firstLineChars="0"/>
              <w:jc w:val="center"/>
              <w:rPr>
                <w:rFonts w:hint="default"/>
                <w:color w:val="auto"/>
                <w:highlight w:val="none"/>
                <w:lang w:val="en-US" w:eastAsia="zh-CN"/>
              </w:rPr>
            </w:pPr>
            <w:r>
              <w:rPr>
                <w:rFonts w:hint="default" w:ascii="宋体" w:hAnsi="宋体" w:eastAsia="宋体" w:cs="宋体"/>
                <w:color w:val="auto"/>
                <w:sz w:val="24"/>
                <w:szCs w:val="24"/>
              </w:rPr>
              <w:t>规划名称：《福鼎市温州园文渡工业集中区总体规划(调整)》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2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4"/>
                <w:szCs w:val="24"/>
                <w:highlight w:val="none"/>
              </w:rPr>
            </w:pPr>
            <w:r>
              <w:rPr>
                <w:rFonts w:hint="default"/>
                <w:color w:val="auto"/>
                <w:sz w:val="24"/>
                <w:szCs w:val="24"/>
                <w:highlight w:val="none"/>
              </w:rPr>
              <w:t>规划环境影响</w:t>
            </w:r>
          </w:p>
          <w:p>
            <w:pPr>
              <w:keepNext w:val="0"/>
              <w:keepLines w:val="0"/>
              <w:suppressLineNumbers w:val="0"/>
              <w:adjustRightInd w:val="0"/>
              <w:snapToGrid w:val="0"/>
              <w:spacing w:before="0" w:beforeAutospacing="0" w:after="0" w:afterAutospacing="0"/>
              <w:ind w:left="0" w:right="0"/>
              <w:jc w:val="center"/>
              <w:rPr>
                <w:rFonts w:hint="default"/>
                <w:color w:val="auto"/>
                <w:kern w:val="0"/>
                <w:sz w:val="24"/>
                <w:szCs w:val="24"/>
                <w:highlight w:val="none"/>
              </w:rPr>
            </w:pPr>
            <w:r>
              <w:rPr>
                <w:rFonts w:hint="default"/>
                <w:color w:val="auto"/>
                <w:sz w:val="24"/>
                <w:szCs w:val="24"/>
                <w:highlight w:val="none"/>
              </w:rPr>
              <w:t>评价情况</w:t>
            </w:r>
          </w:p>
        </w:tc>
        <w:tc>
          <w:tcPr>
            <w:tcW w:w="7147" w:type="dxa"/>
            <w:gridSpan w:val="4"/>
            <w:vAlign w:val="center"/>
          </w:tcPr>
          <w:p>
            <w:pPr>
              <w:pStyle w:val="25"/>
              <w:keepNext w:val="0"/>
              <w:keepLines w:val="0"/>
              <w:suppressLineNumbers w:val="0"/>
              <w:spacing w:before="0" w:beforeAutospacing="0" w:after="0" w:afterAutospacing="0"/>
              <w:ind w:left="0" w:right="0" w:firstLine="0" w:firstLineChars="0"/>
              <w:rPr>
                <w:rFonts w:hint="default"/>
                <w:color w:val="auto"/>
                <w:highlight w:val="none"/>
              </w:rPr>
            </w:pPr>
            <w:r>
              <w:rPr>
                <w:rFonts w:hint="default"/>
                <w:color w:val="auto"/>
                <w:highlight w:val="none"/>
              </w:rPr>
              <w:t>名称：《福鼎市温州园文渡工业集中区总体规划(调整)环境影响报告书》</w:t>
            </w:r>
          </w:p>
          <w:p>
            <w:pPr>
              <w:pStyle w:val="25"/>
              <w:keepNext w:val="0"/>
              <w:keepLines w:val="0"/>
              <w:suppressLineNumbers w:val="0"/>
              <w:spacing w:before="0" w:beforeAutospacing="0" w:after="0" w:afterAutospacing="0"/>
              <w:ind w:left="0" w:right="0" w:firstLine="0" w:firstLineChars="0"/>
              <w:rPr>
                <w:rFonts w:hint="default"/>
                <w:color w:val="auto"/>
                <w:highlight w:val="none"/>
              </w:rPr>
            </w:pPr>
            <w:r>
              <w:rPr>
                <w:rFonts w:hint="default"/>
                <w:color w:val="auto"/>
                <w:highlight w:val="none"/>
              </w:rPr>
              <w:t>审批机关：</w:t>
            </w:r>
            <w:r>
              <w:rPr>
                <w:rFonts w:hint="eastAsia"/>
                <w:color w:val="auto"/>
                <w:highlight w:val="none"/>
              </w:rPr>
              <w:t>原</w:t>
            </w:r>
            <w:r>
              <w:rPr>
                <w:rFonts w:hint="default"/>
                <w:color w:val="auto"/>
                <w:highlight w:val="none"/>
              </w:rPr>
              <w:t>福鼎市环保局</w:t>
            </w:r>
          </w:p>
          <w:p>
            <w:pPr>
              <w:pStyle w:val="25"/>
              <w:keepNext w:val="0"/>
              <w:keepLines w:val="0"/>
              <w:suppressLineNumbers w:val="0"/>
              <w:spacing w:before="0" w:beforeAutospacing="0" w:after="0" w:afterAutospacing="0"/>
              <w:ind w:left="0" w:right="0" w:firstLine="0" w:firstLineChars="0"/>
              <w:rPr>
                <w:rFonts w:hint="default"/>
                <w:color w:val="auto"/>
                <w:highlight w:val="none"/>
              </w:rPr>
            </w:pPr>
            <w:r>
              <w:rPr>
                <w:rFonts w:hint="default"/>
                <w:color w:val="auto"/>
                <w:highlight w:val="none"/>
              </w:rPr>
              <w:t>审查文件名称及文号：《福鼎市环保局关于福鼎市温州园文渡工业集中区总体规划(调整)环境影响报告书审查意见的函》（鼎环保函[2014]72号）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2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auto"/>
                <w:kern w:val="0"/>
                <w:szCs w:val="21"/>
                <w:highlight w:val="yellow"/>
              </w:rPr>
            </w:pPr>
            <w:r>
              <w:rPr>
                <w:rFonts w:hint="default"/>
                <w:color w:val="auto"/>
                <w:kern w:val="0"/>
                <w:sz w:val="24"/>
                <w:szCs w:val="24"/>
                <w:highlight w:val="none"/>
              </w:rPr>
              <w:t>规划及规划环境影响评价符合性分析</w:t>
            </w:r>
          </w:p>
        </w:tc>
        <w:tc>
          <w:tcPr>
            <w:tcW w:w="7147" w:type="dxa"/>
            <w:gridSpan w:val="4"/>
            <w:vAlign w:val="center"/>
          </w:tcPr>
          <w:p>
            <w:pPr>
              <w:pStyle w:val="4"/>
              <w:keepNext w:val="0"/>
              <w:keepLines w:val="0"/>
              <w:suppressLineNumbers w:val="0"/>
              <w:spacing w:before="0" w:beforeAutospacing="0" w:after="0" w:afterAutospacing="0"/>
              <w:ind w:left="0" w:right="0"/>
              <w:rPr>
                <w:rFonts w:hint="default"/>
                <w:color w:val="auto"/>
                <w:highlight w:val="none"/>
              </w:rPr>
            </w:pPr>
            <w:r>
              <w:rPr>
                <w:rFonts w:hint="default"/>
                <w:color w:val="auto"/>
                <w:highlight w:val="none"/>
              </w:rPr>
              <w:t>福鼎市温州园文渡工业集中区总体规划（调整）</w:t>
            </w:r>
            <w:r>
              <w:rPr>
                <w:rFonts w:hint="eastAsia"/>
                <w:color w:val="auto"/>
                <w:highlight w:val="none"/>
                <w:lang w:val="en-US" w:eastAsia="zh-CN"/>
              </w:rPr>
              <w:t>符合性</w:t>
            </w:r>
            <w:r>
              <w:rPr>
                <w:rFonts w:hint="default"/>
                <w:color w:val="auto"/>
                <w:highlight w:val="none"/>
              </w:rPr>
              <w:t>分析</w:t>
            </w:r>
          </w:p>
          <w:p>
            <w:pPr>
              <w:pStyle w:val="25"/>
              <w:keepNext w:val="0"/>
              <w:keepLines w:val="0"/>
              <w:suppressLineNumbers w:val="0"/>
              <w:spacing w:before="0" w:beforeAutospacing="0" w:after="0" w:afterAutospacing="0"/>
              <w:ind w:left="0" w:right="0" w:firstLine="480"/>
              <w:rPr>
                <w:rFonts w:hint="eastAsia" w:eastAsia="宋体"/>
                <w:color w:val="auto"/>
                <w:highlight w:val="none"/>
                <w:lang w:val="en-US" w:eastAsia="zh-CN"/>
              </w:rPr>
            </w:pPr>
            <w:bookmarkStart w:id="2" w:name="_Ref28380"/>
            <w:r>
              <w:rPr>
                <w:rFonts w:hint="default" w:eastAsia="宋体"/>
                <w:color w:val="auto"/>
                <w:highlight w:val="none"/>
              </w:rPr>
              <w:t>福鼎市温州园文渡工业集中区总体规划（调整）确定的园区规划产业定位为：</w:t>
            </w:r>
            <w:r>
              <w:rPr>
                <w:rFonts w:hint="eastAsia" w:eastAsia="宋体"/>
                <w:color w:val="auto"/>
                <w:highlight w:val="none"/>
                <w:lang w:val="en-US" w:eastAsia="zh-CN"/>
              </w:rPr>
              <w:t>以合成革及合成革上游制造业、化学纤维制造业、非家用纺织制成品制造、黑色金属铸造及钢压延加工、通用设备制造、电子元件制造、金属表面处理和石膏、水泥制品制造等既有产业为基础；项目区以经三路（中央大道）为轴，分为东西两片区，合成革及合成革上游产业主要布置于西片区，在西片区南部建设金属表面处理中心，东片区逐步调整为黑色金属铸造及钢压延加工、通用设备制造、电子元件制造、新型建筑材料制造产业组团。</w:t>
            </w:r>
          </w:p>
          <w:p>
            <w:pPr>
              <w:pStyle w:val="25"/>
              <w:keepNext w:val="0"/>
              <w:keepLines w:val="0"/>
              <w:suppressLineNumbers w:val="0"/>
              <w:spacing w:before="0" w:beforeAutospacing="0" w:after="0" w:afterAutospacing="0"/>
              <w:ind w:left="0" w:right="0" w:firstLine="480"/>
              <w:rPr>
                <w:rFonts w:hint="default" w:eastAsia="宋体"/>
                <w:color w:val="auto"/>
                <w:highlight w:val="none"/>
                <w:lang w:val="en-US" w:eastAsia="zh-CN"/>
              </w:rPr>
            </w:pPr>
            <w:r>
              <w:rPr>
                <w:rFonts w:hint="eastAsia" w:eastAsia="宋体"/>
                <w:color w:val="auto"/>
                <w:highlight w:val="none"/>
                <w:lang w:val="en-US" w:eastAsia="zh-CN"/>
              </w:rPr>
              <w:t>本项目</w:t>
            </w:r>
            <w:r>
              <w:rPr>
                <w:rFonts w:hint="default"/>
                <w:color w:val="auto"/>
                <w:highlight w:val="none"/>
              </w:rPr>
              <w:t>位于福鼎市文渡工业集中区，属于工业用地，</w:t>
            </w:r>
            <w:r>
              <w:rPr>
                <w:rFonts w:hint="eastAsia"/>
                <w:color w:val="auto"/>
                <w:highlight w:val="none"/>
                <w:lang w:val="en-US" w:eastAsia="zh-CN"/>
              </w:rPr>
              <w:t>用地</w:t>
            </w:r>
            <w:r>
              <w:rPr>
                <w:rFonts w:hint="default"/>
                <w:color w:val="auto"/>
                <w:highlight w:val="none"/>
              </w:rPr>
              <w:t>性质与工业区</w:t>
            </w:r>
            <w:r>
              <w:rPr>
                <w:rFonts w:hint="eastAsia"/>
                <w:color w:val="auto"/>
                <w:highlight w:val="none"/>
                <w:lang w:val="en-US" w:eastAsia="zh-CN"/>
              </w:rPr>
              <w:t>土地利用</w:t>
            </w:r>
            <w:r>
              <w:rPr>
                <w:rFonts w:hint="default"/>
                <w:color w:val="auto"/>
                <w:highlight w:val="none"/>
              </w:rPr>
              <w:t>规划相符</w:t>
            </w:r>
            <w:r>
              <w:rPr>
                <w:rFonts w:hint="eastAsia"/>
                <w:color w:val="auto"/>
                <w:highlight w:val="none"/>
                <w:lang w:eastAsia="zh-CN"/>
              </w:rPr>
              <w:t>，</w:t>
            </w:r>
            <w:r>
              <w:rPr>
                <w:rFonts w:hint="eastAsia"/>
                <w:color w:val="auto"/>
                <w:highlight w:val="none"/>
                <w:lang w:val="en-US" w:eastAsia="zh-CN"/>
              </w:rPr>
              <w:t>详见附图3</w:t>
            </w:r>
            <w:r>
              <w:rPr>
                <w:rFonts w:hint="eastAsia"/>
                <w:color w:val="auto"/>
                <w:highlight w:val="none"/>
                <w:lang w:eastAsia="zh-CN"/>
              </w:rPr>
              <w:t>。</w:t>
            </w:r>
            <w:r>
              <w:rPr>
                <w:rFonts w:hint="eastAsia"/>
                <w:color w:val="auto"/>
                <w:highlight w:val="none"/>
                <w:lang w:val="en-US" w:eastAsia="zh-CN"/>
              </w:rPr>
              <w:t>同时，本项目</w:t>
            </w:r>
            <w:r>
              <w:rPr>
                <w:rFonts w:hint="default" w:eastAsia="宋体"/>
                <w:color w:val="auto"/>
                <w:highlight w:val="none"/>
              </w:rPr>
              <w:t>为</w:t>
            </w:r>
            <w:r>
              <w:rPr>
                <w:rFonts w:hint="eastAsia" w:eastAsia="宋体"/>
                <w:color w:val="auto"/>
                <w:highlight w:val="none"/>
                <w:lang w:val="en-US" w:eastAsia="zh-CN"/>
              </w:rPr>
              <w:t>阀门</w:t>
            </w:r>
            <w:r>
              <w:rPr>
                <w:rFonts w:hint="eastAsia"/>
                <w:color w:val="auto"/>
                <w:highlight w:val="none"/>
                <w:lang w:val="en-US" w:eastAsia="zh-CN"/>
              </w:rPr>
              <w:t>锻件</w:t>
            </w:r>
            <w:r>
              <w:rPr>
                <w:rFonts w:hint="eastAsia" w:eastAsia="宋体"/>
                <w:color w:val="auto"/>
                <w:highlight w:val="none"/>
                <w:lang w:val="en-US" w:eastAsia="zh-CN"/>
              </w:rPr>
              <w:t>项目</w:t>
            </w:r>
            <w:r>
              <w:rPr>
                <w:rFonts w:hint="eastAsia" w:eastAsia="宋体"/>
                <w:color w:val="auto"/>
                <w:highlight w:val="none"/>
                <w:lang w:eastAsia="zh-CN"/>
              </w:rPr>
              <w:t>，</w:t>
            </w:r>
            <w:r>
              <w:rPr>
                <w:rFonts w:hint="eastAsia" w:eastAsia="宋体"/>
                <w:color w:val="auto"/>
                <w:highlight w:val="none"/>
                <w:lang w:val="en-US" w:eastAsia="zh-CN"/>
              </w:rPr>
              <w:t>属于黑色金属</w:t>
            </w:r>
            <w:r>
              <w:rPr>
                <w:rFonts w:hint="eastAsia"/>
                <w:color w:val="auto"/>
                <w:highlight w:val="none"/>
                <w:lang w:val="en-US" w:eastAsia="zh-CN"/>
              </w:rPr>
              <w:t>制造</w:t>
            </w:r>
            <w:r>
              <w:rPr>
                <w:rFonts w:hint="eastAsia" w:eastAsia="宋体"/>
                <w:color w:val="auto"/>
                <w:highlight w:val="none"/>
                <w:lang w:val="en-US" w:eastAsia="zh-CN"/>
              </w:rPr>
              <w:t>，</w:t>
            </w:r>
            <w:r>
              <w:rPr>
                <w:rFonts w:hint="default" w:eastAsia="宋体"/>
                <w:color w:val="auto"/>
                <w:highlight w:val="none"/>
              </w:rPr>
              <w:t>符合文渡工业集中区总体规划</w:t>
            </w:r>
            <w:r>
              <w:rPr>
                <w:rFonts w:hint="eastAsia" w:eastAsia="宋体"/>
                <w:color w:val="auto"/>
                <w:highlight w:val="none"/>
                <w:lang w:eastAsia="zh-CN"/>
              </w:rPr>
              <w:t>（</w:t>
            </w:r>
            <w:r>
              <w:rPr>
                <w:rFonts w:hint="eastAsia" w:eastAsia="宋体"/>
                <w:color w:val="auto"/>
                <w:highlight w:val="none"/>
                <w:lang w:val="en-US" w:eastAsia="zh-CN"/>
              </w:rPr>
              <w:t>调整</w:t>
            </w:r>
            <w:r>
              <w:rPr>
                <w:rFonts w:hint="eastAsia" w:eastAsia="宋体"/>
                <w:color w:val="auto"/>
                <w:highlight w:val="none"/>
                <w:lang w:eastAsia="zh-CN"/>
              </w:rPr>
              <w:t>）</w:t>
            </w:r>
            <w:r>
              <w:rPr>
                <w:rFonts w:hint="default" w:eastAsia="宋体"/>
                <w:color w:val="auto"/>
                <w:highlight w:val="none"/>
              </w:rPr>
              <w:t>的产业定位。</w:t>
            </w:r>
            <w:r>
              <w:rPr>
                <w:rFonts w:hint="eastAsia"/>
                <w:color w:val="auto"/>
                <w:highlight w:val="none"/>
              </w:rPr>
              <w:t>因此</w:t>
            </w:r>
            <w:r>
              <w:rPr>
                <w:rFonts w:hint="eastAsia"/>
                <w:color w:val="auto"/>
                <w:highlight w:val="none"/>
                <w:lang w:eastAsia="zh-CN"/>
              </w:rPr>
              <w:t>，</w:t>
            </w:r>
            <w:r>
              <w:rPr>
                <w:rFonts w:hint="eastAsia"/>
                <w:color w:val="auto"/>
                <w:highlight w:val="none"/>
                <w:lang w:val="en-US" w:eastAsia="zh-CN"/>
              </w:rPr>
              <w:t>本项目的建设</w:t>
            </w:r>
            <w:r>
              <w:rPr>
                <w:rFonts w:hint="eastAsia"/>
                <w:color w:val="auto"/>
                <w:highlight w:val="none"/>
              </w:rPr>
              <w:t>符合</w:t>
            </w:r>
            <w:r>
              <w:rPr>
                <w:rFonts w:hint="default" w:eastAsia="宋体"/>
                <w:color w:val="auto"/>
                <w:highlight w:val="none"/>
              </w:rPr>
              <w:t>福鼎市温州园文渡工业集中区总体规划（调整）</w:t>
            </w:r>
            <w:r>
              <w:rPr>
                <w:rFonts w:hint="eastAsia"/>
                <w:color w:val="auto"/>
                <w:highlight w:val="none"/>
                <w:lang w:val="en-US" w:eastAsia="zh-CN"/>
              </w:rPr>
              <w:t>的要求</w:t>
            </w:r>
            <w:r>
              <w:rPr>
                <w:rFonts w:hint="eastAsia" w:eastAsia="宋体"/>
                <w:color w:val="auto"/>
                <w:highlight w:val="none"/>
                <w:lang w:eastAsia="zh-CN"/>
              </w:rPr>
              <w:t>。</w:t>
            </w:r>
          </w:p>
          <w:bookmarkEnd w:id="2"/>
          <w:p>
            <w:pPr>
              <w:pStyle w:val="4"/>
              <w:keepNext w:val="0"/>
              <w:keepLines w:val="0"/>
              <w:suppressLineNumbers w:val="0"/>
              <w:spacing w:before="0" w:beforeAutospacing="0" w:after="0" w:afterAutospacing="0"/>
              <w:ind w:left="0" w:right="0"/>
              <w:rPr>
                <w:rFonts w:hint="default"/>
                <w:color w:val="auto"/>
                <w:highlight w:val="none"/>
              </w:rPr>
            </w:pPr>
            <w:r>
              <w:rPr>
                <w:rFonts w:hint="default"/>
                <w:color w:val="auto"/>
                <w:highlight w:val="none"/>
              </w:rPr>
              <w:t>与规划环境影响评价</w:t>
            </w:r>
            <w:r>
              <w:rPr>
                <w:rFonts w:hint="eastAsia"/>
                <w:color w:val="auto"/>
                <w:highlight w:val="none"/>
                <w:lang w:val="en-US" w:eastAsia="zh-CN"/>
              </w:rPr>
              <w:t>结论</w:t>
            </w:r>
            <w:r>
              <w:rPr>
                <w:rFonts w:hint="default"/>
                <w:color w:val="auto"/>
                <w:highlight w:val="none"/>
              </w:rPr>
              <w:t>及审查意见的符合性分析</w:t>
            </w:r>
          </w:p>
          <w:p>
            <w:pPr>
              <w:pStyle w:val="27"/>
              <w:keepNext w:val="0"/>
              <w:keepLines w:val="0"/>
              <w:suppressLineNumbers w:val="0"/>
              <w:spacing w:before="0" w:beforeAutospacing="0" w:after="0" w:afterAutospacing="0"/>
              <w:ind w:left="0" w:right="0" w:firstLine="480"/>
              <w:rPr>
                <w:rFonts w:hint="eastAsia"/>
                <w:color w:val="auto"/>
                <w:highlight w:val="none"/>
                <w:lang w:val="en-US" w:eastAsia="zh-CN"/>
              </w:rPr>
            </w:pPr>
            <w:r>
              <w:rPr>
                <w:rFonts w:hint="eastAsia"/>
                <w:color w:val="auto"/>
                <w:highlight w:val="none"/>
                <w:lang w:val="en-US" w:eastAsia="zh-CN"/>
              </w:rPr>
              <w:t>根据《</w:t>
            </w:r>
            <w:r>
              <w:rPr>
                <w:rFonts w:hint="default"/>
                <w:color w:val="auto"/>
                <w:highlight w:val="none"/>
              </w:rPr>
              <w:t>福鼎市温州园文渡工业集中区总体规划（调整）</w:t>
            </w:r>
            <w:r>
              <w:rPr>
                <w:rFonts w:hint="eastAsia"/>
                <w:color w:val="auto"/>
                <w:highlight w:val="none"/>
                <w:lang w:val="en-US" w:eastAsia="zh-CN"/>
              </w:rPr>
              <w:t>环境影响报告书（报批本）》及其审查意见，在规划优化调整和实施过程中应做好以下工作：</w:t>
            </w:r>
          </w:p>
          <w:p>
            <w:pPr>
              <w:pStyle w:val="27"/>
              <w:keepNext w:val="0"/>
              <w:keepLines w:val="0"/>
              <w:numPr>
                <w:ilvl w:val="0"/>
                <w:numId w:val="3"/>
              </w:numPr>
              <w:suppressLineNumbers w:val="0"/>
              <w:spacing w:before="0" w:beforeAutospacing="0" w:after="0" w:afterAutospacing="0"/>
              <w:ind w:left="0" w:right="0" w:firstLine="480"/>
              <w:rPr>
                <w:rFonts w:hint="eastAsia"/>
                <w:color w:val="auto"/>
                <w:highlight w:val="none"/>
                <w:lang w:val="en-US" w:eastAsia="zh-CN"/>
              </w:rPr>
            </w:pPr>
            <w:r>
              <w:rPr>
                <w:rFonts w:hint="eastAsia"/>
                <w:color w:val="auto"/>
                <w:highlight w:val="none"/>
                <w:lang w:val="en-US" w:eastAsia="zh-CN"/>
              </w:rPr>
              <w:t>优化产业结构调整。项目区应以既有产业为基础，不在发展高密度人口聚集、高风险物质贮存等工业项目，控制发展合成革产业及合成革上游产业（包括上游树脂、助剂、革基布制造）现有规模不变，限值发展合成革下游企业，适当发展以精密铸造、不锈钢加工为主的通用设备制造业，电子元件制造业和新型建筑材料制造，适度建设金属表面处理，对不符合产业定位的食品予以搬迁。</w:t>
            </w:r>
          </w:p>
          <w:p>
            <w:pPr>
              <w:pStyle w:val="27"/>
              <w:keepNext w:val="0"/>
              <w:keepLines w:val="0"/>
              <w:suppressLineNumbers w:val="0"/>
              <w:bidi w:val="0"/>
              <w:spacing w:before="0" w:beforeAutospacing="0" w:after="0" w:afterAutospacing="0"/>
              <w:ind w:left="0" w:right="0"/>
              <w:rPr>
                <w:rFonts w:hint="eastAsia"/>
                <w:color w:val="auto"/>
                <w:highlight w:val="yellow"/>
                <w:lang w:val="en-US" w:eastAsia="zh-CN"/>
              </w:rPr>
            </w:pPr>
            <w:r>
              <w:rPr>
                <w:rFonts w:hint="eastAsia"/>
                <w:color w:val="auto"/>
                <w:highlight w:val="none"/>
                <w:lang w:val="en-US" w:eastAsia="zh-CN"/>
              </w:rPr>
              <w:t>本项目属于黑色金属制造行业，本次改扩建增加2000吨阀门锻件加工生产能力，符合园区的产业结构。</w:t>
            </w:r>
          </w:p>
          <w:p>
            <w:pPr>
              <w:pStyle w:val="27"/>
              <w:keepNext w:val="0"/>
              <w:keepLines w:val="0"/>
              <w:numPr>
                <w:ilvl w:val="0"/>
                <w:numId w:val="3"/>
              </w:numPr>
              <w:suppressLineNumbers w:val="0"/>
              <w:bidi w:val="0"/>
              <w:spacing w:before="0" w:beforeAutospacing="0" w:after="0" w:afterAutospacing="0"/>
              <w:ind w:left="0" w:leftChars="0" w:right="0" w:firstLine="480" w:firstLineChars="200"/>
              <w:rPr>
                <w:rFonts w:hint="eastAsia"/>
                <w:color w:val="auto"/>
                <w:highlight w:val="none"/>
                <w:lang w:val="en-US" w:eastAsia="zh-CN"/>
              </w:rPr>
            </w:pPr>
            <w:r>
              <w:rPr>
                <w:rFonts w:hint="eastAsia"/>
                <w:color w:val="auto"/>
                <w:highlight w:val="none"/>
                <w:lang w:val="en-US" w:eastAsia="zh-CN"/>
              </w:rPr>
              <w:t>进一步优化空间布局。西片区应主要布设合成革及合成革上游企业，在西片区南部紧邻文渡污水处理厂位置建设金属表面处理中心。东片区应逐步调整为黑色金属铸造及钢压延加工、通用设备制造、电子原件加工、新型建筑材料制造等产业组团。应将原规划在项目东北角的仓储和长途汽车站地块调整至西南角的工业用地。</w:t>
            </w:r>
          </w:p>
          <w:p>
            <w:pPr>
              <w:pStyle w:val="27"/>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本项目属于黑色金属制造行业，位于园区东南侧，不在需要优化空间布局范围内。</w:t>
            </w:r>
          </w:p>
          <w:p>
            <w:pPr>
              <w:pStyle w:val="27"/>
              <w:keepNext w:val="0"/>
              <w:keepLines w:val="0"/>
              <w:numPr>
                <w:ilvl w:val="0"/>
                <w:numId w:val="3"/>
              </w:numPr>
              <w:suppressLineNumbers w:val="0"/>
              <w:bidi w:val="0"/>
              <w:spacing w:before="0" w:beforeAutospacing="0" w:after="0" w:afterAutospacing="0"/>
              <w:ind w:left="0" w:leftChars="0" w:right="0"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highlight w:val="none"/>
                <w:lang w:val="en-US" w:eastAsia="zh-CN"/>
              </w:rPr>
              <w:t>严格入区项目环境准入。严禁违反国家产业政策和不符合工业区主导产业的建设项目入区。</w:t>
            </w:r>
            <w:r>
              <w:rPr>
                <w:rFonts w:hint="default" w:ascii="Times New Roman" w:hAnsi="Times New Roman" w:eastAsia="宋体" w:cs="Times New Roman"/>
                <w:color w:val="auto"/>
                <w:sz w:val="24"/>
                <w:szCs w:val="24"/>
                <w:highlight w:val="none"/>
                <w:lang w:val="en-US" w:eastAsia="zh-CN"/>
              </w:rPr>
              <w:t>区内合成革及合成革上游厂业应控制在现有规模内，不再新增化工、助剂及带有印、漂染工序的革基布制造企业；金属表面处理中心作为福鼎汽摩配产业电镀整治配套项目应适度建设，并禁止上含氰工艺；电子元件制造清洁生产水平应不低于行业清洁生产二级水平。</w:t>
            </w:r>
          </w:p>
          <w:p>
            <w:pPr>
              <w:pStyle w:val="27"/>
              <w:keepNext w:val="0"/>
              <w:keepLines w:val="0"/>
              <w:numPr>
                <w:ilvl w:val="0"/>
                <w:numId w:val="0"/>
              </w:numPr>
              <w:suppressLineNumbers w:val="0"/>
              <w:bidi w:val="0"/>
              <w:spacing w:before="0" w:beforeAutospacing="0" w:after="0" w:afterAutospacing="0"/>
              <w:ind w:left="420" w:leftChars="200" w:right="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本项目不属于项目区需要严格环境准入的项目。</w:t>
            </w:r>
          </w:p>
          <w:p>
            <w:pPr>
              <w:pStyle w:val="27"/>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（4）加快环保基础设施建设。加快文渡污水处理厂及配套管网建设，</w:t>
            </w:r>
            <w:r>
              <w:rPr>
                <w:rFonts w:hint="eastAsia" w:cs="Times New Roman"/>
                <w:color w:val="auto"/>
                <w:sz w:val="24"/>
                <w:szCs w:val="24"/>
                <w:highlight w:val="none"/>
                <w:lang w:val="en-US" w:eastAsia="zh-CN"/>
              </w:rPr>
              <w:t>项目区除金属表面处理中心外的企业污水须自行预处理达入网标准后排入文渡污水厂。金属表面处理中心污水须单独建设电镀污水处理。建议福鼎工业园区管理处应抓紧开展文渡污水处理厂和电镀污水处理厂排污口科学论证工作，并严格按论证结果实施排污口建设。建议对滞洪区内的非法养殖予以清理。电镀污泥、合成革DMF精馏残渣等危险废物应按照规范分类收集贮存，并委托有危险废物处置资质的单位处置。做好项目区一般工业固体废物、生活垃圾的处理和处置。积极推广使用清洁能源和集中供热；禁止新建燃煤锅炉，现有企业燃煤锅炉应按照要求逐步调整为燃LNG锅炉、电锅炉等清洁能源锅炉。</w:t>
            </w:r>
          </w:p>
          <w:p>
            <w:pPr>
              <w:pStyle w:val="27"/>
              <w:keepNext w:val="0"/>
              <w:keepLines w:val="0"/>
              <w:suppressLineNumbers w:val="0"/>
              <w:spacing w:before="0" w:beforeAutospacing="0" w:after="0" w:afterAutospacing="0"/>
              <w:ind w:left="0" w:right="0" w:firstLine="480"/>
              <w:rPr>
                <w:rFonts w:hint="default"/>
                <w:color w:val="auto"/>
                <w:highlight w:val="yellow"/>
              </w:rPr>
            </w:pPr>
            <w:r>
              <w:rPr>
                <w:rFonts w:hint="eastAsia"/>
                <w:color w:val="auto"/>
                <w:highlight w:val="none"/>
              </w:rPr>
              <w:t>本项目属于阀门</w:t>
            </w:r>
            <w:r>
              <w:rPr>
                <w:rFonts w:hint="eastAsia"/>
                <w:color w:val="auto"/>
                <w:highlight w:val="none"/>
                <w:lang w:val="en-US" w:eastAsia="zh-CN"/>
              </w:rPr>
              <w:t>锻件制造</w:t>
            </w:r>
            <w:r>
              <w:rPr>
                <w:rFonts w:hint="eastAsia"/>
                <w:color w:val="auto"/>
                <w:highlight w:val="none"/>
              </w:rPr>
              <w:t>项目，符合园区产业发展定位，符合园区项目环境准入，</w:t>
            </w:r>
            <w:r>
              <w:rPr>
                <w:rFonts w:hint="eastAsia"/>
                <w:color w:val="auto"/>
                <w:highlight w:val="none"/>
                <w:lang w:val="en-US" w:eastAsia="zh-CN"/>
              </w:rPr>
              <w:t>本</w:t>
            </w:r>
            <w:r>
              <w:rPr>
                <w:rFonts w:hint="eastAsia"/>
                <w:color w:val="auto"/>
                <w:highlight w:val="none"/>
              </w:rPr>
              <w:t>项目以用电为主要供热系统，清洁生产符合要求，因此项目的建设符合《</w:t>
            </w:r>
            <w:r>
              <w:rPr>
                <w:rFonts w:hint="default"/>
                <w:color w:val="auto"/>
                <w:highlight w:val="none"/>
              </w:rPr>
              <w:t>福鼎市温州园文渡工业集中区总体规划（调整）</w:t>
            </w:r>
            <w:r>
              <w:rPr>
                <w:rFonts w:hint="eastAsia"/>
                <w:color w:val="auto"/>
                <w:highlight w:val="none"/>
              </w:rPr>
              <w:t>环境影响报告书》（报批本）及审查意见要求。</w:t>
            </w:r>
          </w:p>
          <w:p>
            <w:pPr>
              <w:pStyle w:val="27"/>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本项目与《福鼎市温州园文渡工业集中区总体规划（调整）</w:t>
            </w:r>
            <w:r>
              <w:rPr>
                <w:rFonts w:hint="eastAsia"/>
                <w:color w:val="auto"/>
                <w:highlight w:val="none"/>
                <w:lang w:val="en-US" w:eastAsia="zh-CN"/>
              </w:rPr>
              <w:t>环境影响报告书</w:t>
            </w:r>
            <w:r>
              <w:rPr>
                <w:rFonts w:hint="default"/>
                <w:color w:val="auto"/>
                <w:highlight w:val="none"/>
              </w:rPr>
              <w:t>》及其审查意见符合性分析如下表所示。</w:t>
            </w:r>
          </w:p>
          <w:p>
            <w:pPr>
              <w:pStyle w:val="22"/>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与规划环境影响评价结论及审查意见的符合性分析一览表</w:t>
            </w:r>
          </w:p>
          <w:tbl>
            <w:tblPr>
              <w:tblStyle w:val="18"/>
              <w:tblW w:w="684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72"/>
              <w:gridCol w:w="437"/>
              <w:gridCol w:w="2910"/>
              <w:gridCol w:w="2264"/>
              <w:gridCol w:w="8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372"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文件</w:t>
                  </w:r>
                </w:p>
              </w:tc>
              <w:tc>
                <w:tcPr>
                  <w:tcW w:w="437"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序号</w:t>
                  </w:r>
                </w:p>
              </w:tc>
              <w:tc>
                <w:tcPr>
                  <w:tcW w:w="2910"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相关内容</w:t>
                  </w:r>
                </w:p>
              </w:tc>
              <w:tc>
                <w:tcPr>
                  <w:tcW w:w="2264"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本项目情况</w:t>
                  </w:r>
                </w:p>
              </w:tc>
              <w:tc>
                <w:tcPr>
                  <w:tcW w:w="862"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符合性分析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372" w:type="dxa"/>
                  <w:vMerge w:val="restart"/>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报告书</w:t>
                  </w:r>
                </w:p>
              </w:tc>
              <w:tc>
                <w:tcPr>
                  <w:tcW w:w="437" w:type="dxa"/>
                  <w:tcBorders>
                    <w:tl2br w:val="nil"/>
                    <w:tr2bl w:val="nil"/>
                  </w:tcBorders>
                  <w:vAlign w:val="center"/>
                </w:tcPr>
                <w:p>
                  <w:pPr>
                    <w:pStyle w:val="23"/>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w:t>
                  </w:r>
                </w:p>
              </w:tc>
              <w:tc>
                <w:tcPr>
                  <w:tcW w:w="2910"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控制规模，禁止劳动密集型行业入住</w:t>
                  </w:r>
                </w:p>
              </w:tc>
              <w:tc>
                <w:tcPr>
                  <w:tcW w:w="2264"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改</w:t>
                  </w:r>
                  <w:r>
                    <w:rPr>
                      <w:rFonts w:hint="eastAsia"/>
                      <w:color w:val="auto"/>
                      <w:highlight w:val="none"/>
                      <w:lang w:val="en-US" w:eastAsia="zh-CN"/>
                    </w:rPr>
                    <w:t>扩</w:t>
                  </w:r>
                  <w:r>
                    <w:rPr>
                      <w:rFonts w:hint="default"/>
                      <w:color w:val="auto"/>
                      <w:highlight w:val="none"/>
                    </w:rPr>
                    <w:t>建后全厂职工</w:t>
                  </w:r>
                  <w:r>
                    <w:rPr>
                      <w:rFonts w:hint="eastAsia"/>
                      <w:color w:val="auto"/>
                      <w:highlight w:val="none"/>
                      <w:lang w:val="en-US" w:eastAsia="zh-CN"/>
                    </w:rPr>
                    <w:t>100</w:t>
                  </w:r>
                  <w:r>
                    <w:rPr>
                      <w:rFonts w:hint="default"/>
                      <w:color w:val="auto"/>
                      <w:highlight w:val="none"/>
                    </w:rPr>
                    <w:t>人，不属于劳动密集型产业</w:t>
                  </w:r>
                </w:p>
              </w:tc>
              <w:tc>
                <w:tcPr>
                  <w:tcW w:w="862"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continue"/>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yellow"/>
                    </w:rPr>
                  </w:pPr>
                </w:p>
              </w:tc>
              <w:tc>
                <w:tcPr>
                  <w:tcW w:w="437" w:type="dxa"/>
                  <w:tcBorders>
                    <w:tl2br w:val="nil"/>
                    <w:tr2bl w:val="nil"/>
                  </w:tcBorders>
                  <w:vAlign w:val="center"/>
                </w:tcPr>
                <w:p>
                  <w:pPr>
                    <w:pStyle w:val="23"/>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2</w:t>
                  </w:r>
                </w:p>
              </w:tc>
              <w:tc>
                <w:tcPr>
                  <w:tcW w:w="2910"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工业固体废物利用率&gt;85%</w:t>
                  </w:r>
                </w:p>
              </w:tc>
              <w:tc>
                <w:tcPr>
                  <w:tcW w:w="2264"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本项目工业固体废物利用率&gt;85%</w:t>
                  </w:r>
                </w:p>
              </w:tc>
              <w:tc>
                <w:tcPr>
                  <w:tcW w:w="862"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continue"/>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yellow"/>
                    </w:rPr>
                  </w:pPr>
                </w:p>
              </w:tc>
              <w:tc>
                <w:tcPr>
                  <w:tcW w:w="437" w:type="dxa"/>
                  <w:tcBorders>
                    <w:tl2br w:val="nil"/>
                    <w:tr2bl w:val="nil"/>
                  </w:tcBorders>
                  <w:vAlign w:val="center"/>
                </w:tcPr>
                <w:p>
                  <w:pPr>
                    <w:pStyle w:val="23"/>
                    <w:keepNext w:val="0"/>
                    <w:keepLines w:val="0"/>
                    <w:suppressLineNumbers w:val="0"/>
                    <w:spacing w:before="0" w:beforeAutospacing="0" w:after="0" w:afterAutospacing="0"/>
                    <w:ind w:right="0"/>
                    <w:rPr>
                      <w:rFonts w:hint="eastAsia" w:eastAsia="宋体"/>
                      <w:color w:val="auto"/>
                      <w:highlight w:val="none"/>
                      <w:lang w:val="en-US" w:eastAsia="zh-CN"/>
                    </w:rPr>
                  </w:pPr>
                  <w:r>
                    <w:rPr>
                      <w:rFonts w:hint="eastAsia"/>
                      <w:color w:val="auto"/>
                      <w:highlight w:val="none"/>
                      <w:lang w:val="en-US" w:eastAsia="zh-CN"/>
                    </w:rPr>
                    <w:t>3</w:t>
                  </w:r>
                </w:p>
              </w:tc>
              <w:tc>
                <w:tcPr>
                  <w:tcW w:w="2910"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不再发展高密度人口聚集、高风险物质贮存等工业项目，东部发展钢压延加工产业：以通用设备制造为主，制造阀门、汽车配件，适当发展不锈钢加工</w:t>
                  </w:r>
                </w:p>
              </w:tc>
              <w:tc>
                <w:tcPr>
                  <w:tcW w:w="2264"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本项目属于</w:t>
                  </w:r>
                  <w:r>
                    <w:rPr>
                      <w:rFonts w:hint="eastAsia"/>
                      <w:color w:val="auto"/>
                      <w:highlight w:val="none"/>
                      <w:lang w:val="en-US" w:eastAsia="zh-CN"/>
                    </w:rPr>
                    <w:t>阀门锻件制造</w:t>
                  </w:r>
                  <w:r>
                    <w:rPr>
                      <w:rFonts w:hint="default"/>
                      <w:color w:val="auto"/>
                      <w:highlight w:val="none"/>
                    </w:rPr>
                    <w:t>行业，位于三类工业用地，在厂区现有场地内</w:t>
                  </w:r>
                  <w:r>
                    <w:rPr>
                      <w:rFonts w:hint="eastAsia"/>
                      <w:color w:val="auto"/>
                      <w:highlight w:val="none"/>
                      <w:lang w:val="en-US" w:eastAsia="zh-CN"/>
                    </w:rPr>
                    <w:t>改扩</w:t>
                  </w:r>
                  <w:r>
                    <w:rPr>
                      <w:rFonts w:hint="default"/>
                      <w:color w:val="auto"/>
                      <w:highlight w:val="none"/>
                    </w:rPr>
                    <w:t>建，不新增用地</w:t>
                  </w:r>
                </w:p>
              </w:tc>
              <w:tc>
                <w:tcPr>
                  <w:tcW w:w="862"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restart"/>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yellow"/>
                    </w:rPr>
                  </w:pPr>
                  <w:r>
                    <w:rPr>
                      <w:rFonts w:hint="default"/>
                      <w:color w:val="auto"/>
                      <w:highlight w:val="none"/>
                    </w:rPr>
                    <w:t>审查意见</w:t>
                  </w:r>
                </w:p>
              </w:tc>
              <w:tc>
                <w:tcPr>
                  <w:tcW w:w="437" w:type="dxa"/>
                  <w:tcBorders>
                    <w:tl2br w:val="nil"/>
                    <w:tr2bl w:val="nil"/>
                  </w:tcBorders>
                  <w:vAlign w:val="center"/>
                </w:tcPr>
                <w:p>
                  <w:pPr>
                    <w:pStyle w:val="23"/>
                    <w:keepNext w:val="0"/>
                    <w:keepLines w:val="0"/>
                    <w:suppressLineNumbers w:val="0"/>
                    <w:spacing w:before="0" w:beforeAutospacing="0" w:after="0" w:afterAutospacing="0"/>
                    <w:ind w:right="0"/>
                    <w:rPr>
                      <w:rFonts w:hint="eastAsia" w:eastAsia="宋体"/>
                      <w:color w:val="auto"/>
                      <w:highlight w:val="yellow"/>
                      <w:lang w:eastAsia="zh-CN"/>
                    </w:rPr>
                  </w:pPr>
                  <w:r>
                    <w:rPr>
                      <w:rFonts w:hint="eastAsia"/>
                      <w:color w:val="auto"/>
                      <w:highlight w:val="none"/>
                      <w:lang w:val="en-US" w:eastAsia="zh-CN"/>
                    </w:rPr>
                    <w:t>4</w:t>
                  </w:r>
                </w:p>
              </w:tc>
              <w:tc>
                <w:tcPr>
                  <w:tcW w:w="2910"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优化产业结构：项目区应以既有产业为基础，不再发展高密度人口聚集，高风险物质贮存等工业项目。</w:t>
                  </w:r>
                </w:p>
              </w:tc>
              <w:tc>
                <w:tcPr>
                  <w:tcW w:w="2264"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本项目属于</w:t>
                  </w:r>
                  <w:r>
                    <w:rPr>
                      <w:rFonts w:hint="eastAsia"/>
                      <w:color w:val="auto"/>
                      <w:highlight w:val="none"/>
                      <w:lang w:val="en-US" w:eastAsia="zh-CN"/>
                    </w:rPr>
                    <w:t>阀门锻件制造</w:t>
                  </w:r>
                  <w:r>
                    <w:rPr>
                      <w:rFonts w:hint="default"/>
                      <w:color w:val="auto"/>
                      <w:highlight w:val="none"/>
                    </w:rPr>
                    <w:t>行业，</w:t>
                  </w:r>
                  <w:r>
                    <w:rPr>
                      <w:rFonts w:hint="eastAsia"/>
                      <w:color w:val="auto"/>
                      <w:highlight w:val="none"/>
                    </w:rPr>
                    <w:t>不属于高风险物质贮存工业项目；</w:t>
                  </w:r>
                  <w:r>
                    <w:rPr>
                      <w:rFonts w:hint="eastAsia"/>
                      <w:color w:val="auto"/>
                      <w:highlight w:val="none"/>
                      <w:lang w:val="en-US" w:eastAsia="zh-CN"/>
                    </w:rPr>
                    <w:t>改</w:t>
                  </w:r>
                  <w:r>
                    <w:rPr>
                      <w:rFonts w:hint="eastAsia"/>
                      <w:color w:val="auto"/>
                      <w:highlight w:val="none"/>
                    </w:rPr>
                    <w:t>扩</w:t>
                  </w:r>
                  <w:r>
                    <w:rPr>
                      <w:rFonts w:hint="default"/>
                      <w:color w:val="auto"/>
                      <w:highlight w:val="none"/>
                    </w:rPr>
                    <w:t>建后全厂职工</w:t>
                  </w:r>
                  <w:r>
                    <w:rPr>
                      <w:rFonts w:hint="eastAsia"/>
                      <w:color w:val="auto"/>
                      <w:highlight w:val="none"/>
                      <w:lang w:val="en-US" w:eastAsia="zh-CN"/>
                    </w:rPr>
                    <w:t>100</w:t>
                  </w:r>
                  <w:r>
                    <w:rPr>
                      <w:rFonts w:hint="default"/>
                      <w:color w:val="auto"/>
                      <w:highlight w:val="none"/>
                    </w:rPr>
                    <w:t>人，不属于</w:t>
                  </w:r>
                  <w:r>
                    <w:rPr>
                      <w:rFonts w:hint="eastAsia"/>
                      <w:color w:val="auto"/>
                      <w:highlight w:val="none"/>
                    </w:rPr>
                    <w:t>高密度人口聚集的工业项目</w:t>
                  </w:r>
                </w:p>
              </w:tc>
              <w:tc>
                <w:tcPr>
                  <w:tcW w:w="862"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continue"/>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yellow"/>
                    </w:rPr>
                  </w:pPr>
                </w:p>
              </w:tc>
              <w:tc>
                <w:tcPr>
                  <w:tcW w:w="437" w:type="dxa"/>
                  <w:tcBorders>
                    <w:tl2br w:val="nil"/>
                    <w:tr2bl w:val="nil"/>
                  </w:tcBorders>
                  <w:vAlign w:val="center"/>
                </w:tcPr>
                <w:p>
                  <w:pPr>
                    <w:pStyle w:val="23"/>
                    <w:keepNext w:val="0"/>
                    <w:keepLines w:val="0"/>
                    <w:suppressLineNumbers w:val="0"/>
                    <w:spacing w:before="0" w:beforeAutospacing="0" w:after="0" w:afterAutospacing="0"/>
                    <w:ind w:right="0"/>
                    <w:rPr>
                      <w:rFonts w:hint="eastAsia" w:eastAsia="宋体"/>
                      <w:color w:val="auto"/>
                      <w:highlight w:val="none"/>
                      <w:lang w:eastAsia="zh-CN"/>
                    </w:rPr>
                  </w:pPr>
                  <w:r>
                    <w:rPr>
                      <w:rFonts w:hint="eastAsia"/>
                      <w:color w:val="auto"/>
                      <w:highlight w:val="none"/>
                      <w:lang w:val="en-US" w:eastAsia="zh-CN"/>
                    </w:rPr>
                    <w:t>6</w:t>
                  </w:r>
                </w:p>
              </w:tc>
              <w:tc>
                <w:tcPr>
                  <w:tcW w:w="2910"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进一步优化空间布局：东片区应逐步调整为黑色金属铸造及钢压延加工，通用设备制造等产业组团；西片区主要布设合成革及合成革上游企业</w:t>
                  </w:r>
                  <w:r>
                    <w:rPr>
                      <w:rFonts w:hint="eastAsia"/>
                      <w:color w:val="auto"/>
                      <w:highlight w:val="none"/>
                    </w:rPr>
                    <w:t>；应将原规划在项目东北角的仓储和长途汽车站地块调整至西南角的工业用地。</w:t>
                  </w:r>
                </w:p>
              </w:tc>
              <w:tc>
                <w:tcPr>
                  <w:tcW w:w="2264"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本项目属于</w:t>
                  </w:r>
                  <w:r>
                    <w:rPr>
                      <w:rFonts w:hint="eastAsia"/>
                      <w:color w:val="auto"/>
                      <w:highlight w:val="none"/>
                      <w:lang w:val="en-US" w:eastAsia="zh-CN"/>
                    </w:rPr>
                    <w:t>阀门锻件制造</w:t>
                  </w:r>
                  <w:r>
                    <w:rPr>
                      <w:rFonts w:hint="default"/>
                      <w:color w:val="auto"/>
                      <w:highlight w:val="none"/>
                    </w:rPr>
                    <w:t>行业，主要生产阀门</w:t>
                  </w:r>
                  <w:r>
                    <w:rPr>
                      <w:rFonts w:hint="eastAsia"/>
                      <w:color w:val="auto"/>
                      <w:highlight w:val="none"/>
                      <w:lang w:val="en-US" w:eastAsia="zh-CN"/>
                    </w:rPr>
                    <w:t>锻件</w:t>
                  </w:r>
                  <w:r>
                    <w:rPr>
                      <w:rFonts w:hint="default"/>
                      <w:color w:val="auto"/>
                      <w:highlight w:val="none"/>
                    </w:rPr>
                    <w:t>，</w:t>
                  </w:r>
                  <w:r>
                    <w:rPr>
                      <w:rFonts w:hint="eastAsia"/>
                      <w:color w:val="auto"/>
                      <w:highlight w:val="none"/>
                    </w:rPr>
                    <w:t>位于园区</w:t>
                  </w:r>
                  <w:r>
                    <w:rPr>
                      <w:rFonts w:hint="eastAsia"/>
                      <w:color w:val="auto"/>
                      <w:highlight w:val="none"/>
                      <w:lang w:val="en-US" w:eastAsia="zh-CN"/>
                    </w:rPr>
                    <w:t>东南</w:t>
                  </w:r>
                  <w:r>
                    <w:rPr>
                      <w:rFonts w:hint="eastAsia"/>
                      <w:color w:val="auto"/>
                      <w:highlight w:val="none"/>
                    </w:rPr>
                    <w:t>侧，不属于需优化空间布局范围内</w:t>
                  </w:r>
                </w:p>
              </w:tc>
              <w:tc>
                <w:tcPr>
                  <w:tcW w:w="862"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continue"/>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yellow"/>
                    </w:rPr>
                  </w:pPr>
                </w:p>
              </w:tc>
              <w:tc>
                <w:tcPr>
                  <w:tcW w:w="437" w:type="dxa"/>
                  <w:tcBorders>
                    <w:tl2br w:val="nil"/>
                    <w:tr2bl w:val="nil"/>
                  </w:tcBorders>
                  <w:vAlign w:val="center"/>
                </w:tcPr>
                <w:p>
                  <w:pPr>
                    <w:pStyle w:val="23"/>
                    <w:keepNext w:val="0"/>
                    <w:keepLines w:val="0"/>
                    <w:suppressLineNumbers w:val="0"/>
                    <w:spacing w:before="0" w:beforeAutospacing="0" w:after="0" w:afterAutospacing="0"/>
                    <w:ind w:right="0"/>
                    <w:rPr>
                      <w:rFonts w:hint="eastAsia" w:eastAsia="宋体"/>
                      <w:color w:val="auto"/>
                      <w:highlight w:val="none"/>
                      <w:lang w:eastAsia="zh-CN"/>
                    </w:rPr>
                  </w:pPr>
                  <w:r>
                    <w:rPr>
                      <w:rFonts w:hint="eastAsia"/>
                      <w:color w:val="auto"/>
                      <w:highlight w:val="none"/>
                      <w:lang w:val="en-US" w:eastAsia="zh-CN"/>
                    </w:rPr>
                    <w:t>7</w:t>
                  </w:r>
                </w:p>
              </w:tc>
              <w:tc>
                <w:tcPr>
                  <w:tcW w:w="2910"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按照有关污染物排放总量控制要求，控制项目区企业污染物排放总量</w:t>
                  </w:r>
                </w:p>
              </w:tc>
              <w:tc>
                <w:tcPr>
                  <w:tcW w:w="2264" w:type="dxa"/>
                  <w:tcBorders>
                    <w:tl2br w:val="nil"/>
                    <w:tr2bl w:val="nil"/>
                  </w:tcBorders>
                  <w:vAlign w:val="center"/>
                </w:tcPr>
                <w:p>
                  <w:pPr>
                    <w:pStyle w:val="23"/>
                    <w:keepNext w:val="0"/>
                    <w:keepLines w:val="0"/>
                    <w:suppressLineNumbers w:val="0"/>
                    <w:spacing w:before="0" w:beforeAutospacing="0" w:after="0" w:afterAutospacing="0"/>
                    <w:ind w:right="0"/>
                    <w:rPr>
                      <w:rFonts w:hint="default" w:eastAsia="宋体"/>
                      <w:color w:val="auto"/>
                      <w:highlight w:val="none"/>
                      <w:lang w:val="en-US" w:eastAsia="zh-CN"/>
                    </w:rPr>
                  </w:pPr>
                  <w:r>
                    <w:rPr>
                      <w:rFonts w:hint="eastAsia"/>
                      <w:color w:val="auto"/>
                      <w:highlight w:val="none"/>
                      <w:lang w:val="en-US" w:eastAsia="zh-CN"/>
                    </w:rPr>
                    <w:t>本次改扩</w:t>
                  </w:r>
                  <w:r>
                    <w:rPr>
                      <w:rFonts w:hint="default"/>
                      <w:color w:val="auto"/>
                      <w:highlight w:val="none"/>
                    </w:rPr>
                    <w:t>建项目</w:t>
                  </w:r>
                  <w:r>
                    <w:rPr>
                      <w:rFonts w:hint="eastAsia"/>
                      <w:color w:val="auto"/>
                      <w:highlight w:val="none"/>
                      <w:lang w:val="en-US" w:eastAsia="zh-CN"/>
                    </w:rPr>
                    <w:t>不新增控制污染物排放总量</w:t>
                  </w:r>
                </w:p>
              </w:tc>
              <w:tc>
                <w:tcPr>
                  <w:tcW w:w="862" w:type="dxa"/>
                  <w:tcBorders>
                    <w:tl2br w:val="nil"/>
                    <w:tr2bl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符合</w:t>
                  </w:r>
                </w:p>
              </w:tc>
            </w:tr>
          </w:tbl>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auto"/>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9" w:hRule="atLeast"/>
          <w:jc w:val="center"/>
        </w:trPr>
        <w:tc>
          <w:tcPr>
            <w:tcW w:w="172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auto"/>
                <w:kern w:val="0"/>
                <w:szCs w:val="21"/>
                <w:highlight w:val="yellow"/>
              </w:rPr>
            </w:pPr>
            <w:r>
              <w:rPr>
                <w:rFonts w:hint="default"/>
                <w:color w:val="auto"/>
                <w:kern w:val="0"/>
                <w:szCs w:val="21"/>
                <w:highlight w:val="none"/>
              </w:rPr>
              <w:t>其他符合性分析</w:t>
            </w:r>
          </w:p>
        </w:tc>
        <w:tc>
          <w:tcPr>
            <w:tcW w:w="7147" w:type="dxa"/>
            <w:gridSpan w:val="4"/>
            <w:vAlign w:val="center"/>
          </w:tcPr>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产业政策</w:t>
            </w:r>
            <w:r>
              <w:rPr>
                <w:rFonts w:hint="default"/>
                <w:color w:val="auto"/>
                <w:highlight w:val="none"/>
              </w:rPr>
              <w:t>项目符合性分析</w:t>
            </w:r>
          </w:p>
          <w:p>
            <w:pPr>
              <w:keepNext w:val="0"/>
              <w:keepLines w:val="0"/>
              <w:suppressLineNumbers w:val="0"/>
              <w:spacing w:before="0" w:beforeAutospacing="0" w:after="0" w:afterAutospacing="0" w:line="360" w:lineRule="auto"/>
              <w:ind w:left="0" w:right="0" w:firstLine="480" w:firstLineChars="200"/>
              <w:rPr>
                <w:rFonts w:hint="default"/>
                <w:color w:val="auto"/>
                <w:highlight w:val="none"/>
              </w:rPr>
            </w:pPr>
            <w:r>
              <w:rPr>
                <w:rFonts w:hint="default"/>
                <w:color w:val="auto"/>
                <w:sz w:val="24"/>
                <w:highlight w:val="none"/>
              </w:rPr>
              <w:t>本项目</w:t>
            </w:r>
            <w:r>
              <w:rPr>
                <w:rFonts w:hint="eastAsia"/>
                <w:color w:val="auto"/>
                <w:sz w:val="24"/>
                <w:highlight w:val="none"/>
                <w:lang w:val="en-US" w:eastAsia="zh-CN"/>
              </w:rPr>
              <w:t>属于</w:t>
            </w:r>
            <w:r>
              <w:rPr>
                <w:rFonts w:hint="eastAsia" w:ascii="宋体" w:hAnsi="宋体"/>
                <w:color w:val="auto"/>
                <w:kern w:val="0"/>
                <w:sz w:val="24"/>
                <w:szCs w:val="24"/>
                <w:highlight w:val="none"/>
                <w:lang w:eastAsia="zh-CN"/>
              </w:rPr>
              <w:t>阀门配件锻件</w:t>
            </w:r>
            <w:r>
              <w:rPr>
                <w:rFonts w:hint="eastAsia"/>
                <w:color w:val="auto"/>
                <w:sz w:val="24"/>
                <w:highlight w:val="none"/>
                <w:lang w:val="en-US" w:eastAsia="zh-CN"/>
              </w:rPr>
              <w:t>加工</w:t>
            </w:r>
            <w:r>
              <w:rPr>
                <w:rFonts w:hint="eastAsia"/>
                <w:color w:val="auto"/>
                <w:sz w:val="24"/>
                <w:highlight w:val="none"/>
              </w:rPr>
              <w:t>项目</w:t>
            </w:r>
            <w:r>
              <w:rPr>
                <w:rFonts w:hint="eastAsia"/>
                <w:color w:val="auto"/>
                <w:sz w:val="24"/>
                <w:highlight w:val="none"/>
                <w:lang w:eastAsia="zh-CN"/>
              </w:rPr>
              <w:t>，</w:t>
            </w:r>
            <w:r>
              <w:rPr>
                <w:rFonts w:hint="eastAsia"/>
                <w:color w:val="auto"/>
                <w:sz w:val="24"/>
                <w:highlight w:val="none"/>
              </w:rPr>
              <w:t>采用的生产工艺和设备不属于</w:t>
            </w:r>
            <w:r>
              <w:rPr>
                <w:rFonts w:hint="default"/>
                <w:color w:val="auto"/>
                <w:sz w:val="24"/>
                <w:highlight w:val="none"/>
              </w:rPr>
              <w:t>《产业结构调整指导目录》（2019年本）</w:t>
            </w:r>
            <w:r>
              <w:rPr>
                <w:rFonts w:hint="eastAsia"/>
                <w:color w:val="auto"/>
                <w:sz w:val="24"/>
                <w:highlight w:val="none"/>
              </w:rPr>
              <w:t>中的限制类、淘汰类项目。</w:t>
            </w:r>
            <w:r>
              <w:rPr>
                <w:rFonts w:hint="default"/>
                <w:color w:val="auto"/>
                <w:sz w:val="24"/>
                <w:highlight w:val="none"/>
              </w:rPr>
              <w:t>根据《部分工业行业淘汰落后生产工艺装备和产品指导目录（2010年本）》，本项目也不属于不符合有关法律法规规定，严重浪费资源、污染环境、不具备安全生产条件、需要淘汰的落后生产工艺装备和产品</w:t>
            </w:r>
            <w:r>
              <w:rPr>
                <w:rFonts w:hint="eastAsia"/>
                <w:color w:val="auto"/>
                <w:sz w:val="24"/>
                <w:highlight w:val="none"/>
              </w:rPr>
              <w:t>。</w:t>
            </w:r>
          </w:p>
          <w:p>
            <w:pPr>
              <w:keepNext w:val="0"/>
              <w:keepLines w:val="0"/>
              <w:suppressLineNumbers w:val="0"/>
              <w:spacing w:before="0" w:beforeAutospacing="0" w:after="0" w:afterAutospacing="0" w:line="360" w:lineRule="auto"/>
              <w:ind w:left="0" w:right="0" w:firstLine="480" w:firstLineChars="200"/>
              <w:rPr>
                <w:rFonts w:hint="default"/>
                <w:color w:val="auto"/>
                <w:highlight w:val="none"/>
              </w:rPr>
            </w:pPr>
            <w:r>
              <w:rPr>
                <w:rFonts w:hint="eastAsia"/>
                <w:color w:val="auto"/>
                <w:sz w:val="24"/>
                <w:highlight w:val="none"/>
              </w:rPr>
              <w:t>同时建设单位于202</w:t>
            </w:r>
            <w:r>
              <w:rPr>
                <w:rFonts w:hint="eastAsia"/>
                <w:color w:val="auto"/>
                <w:sz w:val="24"/>
                <w:highlight w:val="none"/>
                <w:lang w:val="en-US" w:eastAsia="zh-CN"/>
              </w:rPr>
              <w:t>2</w:t>
            </w:r>
            <w:r>
              <w:rPr>
                <w:rFonts w:hint="eastAsia"/>
                <w:color w:val="auto"/>
                <w:sz w:val="24"/>
                <w:highlight w:val="none"/>
              </w:rPr>
              <w:t>年</w:t>
            </w:r>
            <w:r>
              <w:rPr>
                <w:rFonts w:hint="eastAsia"/>
                <w:color w:val="auto"/>
                <w:sz w:val="24"/>
                <w:highlight w:val="none"/>
                <w:lang w:val="en-US" w:eastAsia="zh-CN"/>
              </w:rPr>
              <w:t>2</w:t>
            </w:r>
            <w:r>
              <w:rPr>
                <w:rFonts w:hint="eastAsia"/>
                <w:color w:val="auto"/>
                <w:sz w:val="24"/>
                <w:highlight w:val="none"/>
              </w:rPr>
              <w:t>月</w:t>
            </w:r>
            <w:r>
              <w:rPr>
                <w:rFonts w:hint="eastAsia"/>
                <w:color w:val="auto"/>
                <w:sz w:val="24"/>
                <w:highlight w:val="none"/>
                <w:lang w:val="en-US" w:eastAsia="zh-CN"/>
              </w:rPr>
              <w:t>9</w:t>
            </w:r>
            <w:r>
              <w:rPr>
                <w:rFonts w:hint="eastAsia"/>
                <w:color w:val="auto"/>
                <w:sz w:val="24"/>
                <w:highlight w:val="none"/>
              </w:rPr>
              <w:t>日取得了福鼎市工业和信息化局出具的《福建省投资项目备案证明（内资）》（</w:t>
            </w:r>
            <w:r>
              <w:rPr>
                <w:rFonts w:hint="default"/>
                <w:color w:val="auto"/>
                <w:sz w:val="24"/>
                <w:highlight w:val="none"/>
              </w:rPr>
              <w:t>闽工信备[202</w:t>
            </w:r>
            <w:r>
              <w:rPr>
                <w:rFonts w:hint="eastAsia"/>
                <w:color w:val="auto"/>
                <w:sz w:val="24"/>
                <w:highlight w:val="none"/>
                <w:lang w:val="en-US" w:eastAsia="zh-CN"/>
              </w:rPr>
              <w:t>0</w:t>
            </w:r>
            <w:r>
              <w:rPr>
                <w:rFonts w:hint="default"/>
                <w:color w:val="auto"/>
                <w:sz w:val="24"/>
                <w:highlight w:val="none"/>
              </w:rPr>
              <w:t>]J030</w:t>
            </w:r>
            <w:r>
              <w:rPr>
                <w:rFonts w:hint="eastAsia"/>
                <w:color w:val="auto"/>
                <w:sz w:val="24"/>
                <w:highlight w:val="none"/>
                <w:lang w:val="en-US" w:eastAsia="zh-CN"/>
              </w:rPr>
              <w:t>115</w:t>
            </w:r>
            <w:r>
              <w:rPr>
                <w:rFonts w:hint="default"/>
                <w:color w:val="auto"/>
                <w:sz w:val="24"/>
                <w:highlight w:val="none"/>
              </w:rPr>
              <w:t>号</w:t>
            </w:r>
            <w:r>
              <w:rPr>
                <w:rFonts w:hint="eastAsia"/>
                <w:color w:val="auto"/>
                <w:sz w:val="24"/>
                <w:highlight w:val="none"/>
              </w:rPr>
              <w:t>，附件2），因此项目的建设符合国家和地方的产业政策要求。</w:t>
            </w:r>
          </w:p>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选址合理性分析</w:t>
            </w:r>
          </w:p>
          <w:p>
            <w:pPr>
              <w:keepNext w:val="0"/>
              <w:keepLines w:val="0"/>
              <w:suppressLineNumbers w:val="0"/>
              <w:spacing w:before="0" w:beforeAutospacing="0" w:after="0" w:afterAutospacing="0" w:line="360" w:lineRule="auto"/>
              <w:ind w:left="0" w:right="0" w:firstLine="480" w:firstLineChars="200"/>
              <w:rPr>
                <w:rFonts w:hint="eastAsia"/>
                <w:color w:val="auto"/>
                <w:sz w:val="24"/>
                <w:highlight w:val="none"/>
                <w:lang w:val="en-US" w:eastAsia="zh-CN"/>
              </w:rPr>
            </w:pPr>
            <w:r>
              <w:rPr>
                <w:rFonts w:hint="default"/>
                <w:color w:val="auto"/>
                <w:sz w:val="24"/>
                <w:highlight w:val="none"/>
              </w:rPr>
              <w:t>本项目在现有</w:t>
            </w:r>
            <w:r>
              <w:rPr>
                <w:rFonts w:hint="eastAsia"/>
                <w:color w:val="auto"/>
                <w:sz w:val="24"/>
                <w:highlight w:val="none"/>
                <w:lang w:val="en-US" w:eastAsia="zh-CN"/>
              </w:rPr>
              <w:t>厂区</w:t>
            </w:r>
            <w:r>
              <w:rPr>
                <w:rFonts w:hint="default"/>
                <w:color w:val="auto"/>
                <w:sz w:val="24"/>
                <w:highlight w:val="none"/>
              </w:rPr>
              <w:t>内</w:t>
            </w:r>
            <w:r>
              <w:rPr>
                <w:rFonts w:hint="eastAsia"/>
                <w:color w:val="auto"/>
                <w:sz w:val="24"/>
                <w:highlight w:val="none"/>
                <w:lang w:val="en-US" w:eastAsia="zh-CN"/>
              </w:rPr>
              <w:t>改扩</w:t>
            </w:r>
            <w:r>
              <w:rPr>
                <w:rFonts w:hint="default"/>
                <w:color w:val="auto"/>
                <w:sz w:val="24"/>
                <w:highlight w:val="none"/>
              </w:rPr>
              <w:t>建，</w:t>
            </w:r>
            <w:r>
              <w:rPr>
                <w:rFonts w:hint="eastAsia"/>
                <w:color w:val="auto"/>
                <w:sz w:val="24"/>
                <w:highlight w:val="none"/>
                <w:lang w:val="en-US" w:eastAsia="zh-CN"/>
              </w:rPr>
              <w:t>根据土地使用证，厂区坐落在福鼎市文渡工业区银川路26号，用地性质属于工业用地。</w:t>
            </w:r>
          </w:p>
          <w:p>
            <w:pPr>
              <w:keepNext w:val="0"/>
              <w:keepLines w:val="0"/>
              <w:suppressLineNumbers w:val="0"/>
              <w:spacing w:before="0" w:beforeAutospacing="0" w:after="0" w:afterAutospacing="0" w:line="360" w:lineRule="auto"/>
              <w:ind w:left="0" w:right="0" w:firstLine="480" w:firstLineChars="200"/>
              <w:rPr>
                <w:rFonts w:hint="default"/>
                <w:color w:val="auto"/>
                <w:sz w:val="24"/>
                <w:highlight w:val="none"/>
              </w:rPr>
            </w:pPr>
            <w:r>
              <w:rPr>
                <w:rFonts w:hint="default"/>
                <w:color w:val="auto"/>
                <w:sz w:val="24"/>
                <w:highlight w:val="none"/>
              </w:rPr>
              <w:t>福鼎市</w:t>
            </w:r>
            <w:r>
              <w:rPr>
                <w:rFonts w:hint="eastAsia"/>
                <w:color w:val="auto"/>
                <w:sz w:val="24"/>
                <w:highlight w:val="none"/>
              </w:rPr>
              <w:t>文渡工业集中区</w:t>
            </w:r>
            <w:r>
              <w:rPr>
                <w:rFonts w:hint="default"/>
                <w:color w:val="auto"/>
                <w:sz w:val="24"/>
                <w:highlight w:val="none"/>
              </w:rPr>
              <w:t>为福鼎市城市规划中的工业用地，因此本项目选址符合福鼎市总体规划要求</w:t>
            </w:r>
            <w:r>
              <w:rPr>
                <w:rFonts w:hint="eastAsia"/>
                <w:color w:val="auto"/>
                <w:sz w:val="24"/>
                <w:highlight w:val="none"/>
                <w:lang w:eastAsia="zh-CN"/>
              </w:rPr>
              <w:t>，</w:t>
            </w:r>
            <w:r>
              <w:rPr>
                <w:rFonts w:hint="eastAsia"/>
                <w:color w:val="auto"/>
                <w:sz w:val="24"/>
                <w:highlight w:val="none"/>
                <w:lang w:val="en-US" w:eastAsia="zh-CN"/>
              </w:rPr>
              <w:t>项目与</w:t>
            </w:r>
            <w:r>
              <w:rPr>
                <w:rFonts w:hint="eastAsia"/>
                <w:color w:val="auto"/>
                <w:sz w:val="24"/>
                <w:highlight w:val="none"/>
              </w:rPr>
              <w:t>文渡工业集中区</w:t>
            </w:r>
            <w:r>
              <w:rPr>
                <w:rFonts w:hint="eastAsia"/>
                <w:color w:val="auto"/>
                <w:sz w:val="24"/>
                <w:highlight w:val="none"/>
                <w:lang w:val="en-US" w:eastAsia="zh-CN"/>
              </w:rPr>
              <w:t>规划布局关系详见附图3</w:t>
            </w:r>
            <w:r>
              <w:rPr>
                <w:rFonts w:hint="default"/>
                <w:color w:val="auto"/>
                <w:sz w:val="24"/>
                <w:highlight w:val="none"/>
              </w:rPr>
              <w:t>。</w:t>
            </w:r>
            <w:r>
              <w:rPr>
                <w:rFonts w:hint="eastAsia"/>
                <w:color w:val="auto"/>
                <w:sz w:val="24"/>
                <w:highlight w:val="none"/>
              </w:rPr>
              <w:t>项目</w:t>
            </w:r>
            <w:r>
              <w:rPr>
                <w:rFonts w:hint="default"/>
                <w:color w:val="auto"/>
                <w:sz w:val="24"/>
                <w:highlight w:val="none"/>
              </w:rPr>
              <w:t>周边均为工业厂房，项目的建设与周边环境相符，因此认为，项目的选址与该区域土地利用现状相符。</w:t>
            </w:r>
          </w:p>
          <w:p>
            <w:pPr>
              <w:pStyle w:val="25"/>
              <w:keepNext w:val="0"/>
              <w:keepLines w:val="0"/>
              <w:suppressLineNumbers w:val="0"/>
              <w:spacing w:before="0" w:beforeAutospacing="0" w:after="0" w:afterAutospacing="0"/>
              <w:ind w:left="0" w:right="0" w:firstLine="480"/>
              <w:rPr>
                <w:rFonts w:hint="eastAsia"/>
                <w:color w:val="auto"/>
                <w:highlight w:val="none"/>
              </w:rPr>
            </w:pPr>
            <w:r>
              <w:rPr>
                <w:rFonts w:hint="default"/>
                <w:color w:val="auto"/>
                <w:highlight w:val="none"/>
              </w:rPr>
              <w:t>福鼎市文渡工业集中区产业定位是以既有产业为基础</w:t>
            </w:r>
            <w:r>
              <w:rPr>
                <w:rFonts w:hint="eastAsia"/>
                <w:color w:val="auto"/>
                <w:highlight w:val="none"/>
              </w:rPr>
              <w:t>，</w:t>
            </w:r>
            <w:r>
              <w:rPr>
                <w:rFonts w:hint="default"/>
                <w:color w:val="auto"/>
                <w:highlight w:val="none"/>
              </w:rPr>
              <w:t>不再发展高密度人口聚集、高风险物质贮存等工业项目，控制发展合成革产业及合成革上游产业(包括上游树脂、助剂、革基布制造)现有规模不变，限制发展合成革下游企业，适当发展以精密铸造、不锈钢加工为主的黑色金属铸造及钢压延加工业，以泵、阀、机械配件等制造为主的通用设备制造业，电子元件制造业和新型建筑材料制造，适度建设金属表面处理，对不符合产业定位的食品企业予以搬迁。本项目属于</w:t>
            </w:r>
            <w:r>
              <w:rPr>
                <w:rFonts w:hint="eastAsia"/>
                <w:color w:val="auto"/>
                <w:highlight w:val="none"/>
              </w:rPr>
              <w:t>黑色</w:t>
            </w:r>
            <w:r>
              <w:rPr>
                <w:rFonts w:hint="eastAsia"/>
                <w:color w:val="auto"/>
                <w:highlight w:val="none"/>
                <w:lang w:val="en-US" w:eastAsia="zh-CN"/>
              </w:rPr>
              <w:t>阀门锻件制造</w:t>
            </w:r>
            <w:r>
              <w:rPr>
                <w:rFonts w:hint="default"/>
                <w:color w:val="auto"/>
                <w:highlight w:val="none"/>
              </w:rPr>
              <w:t>范畴，符合文渡工业集中区规划。</w:t>
            </w:r>
            <w:r>
              <w:rPr>
                <w:rFonts w:hint="eastAsia"/>
                <w:color w:val="auto"/>
                <w:highlight w:val="none"/>
              </w:rPr>
              <w:t>项目在采取相应环保措施后污染物均可做到达标排放，对周边环境影响较小。因此本项目选址基本合理。</w:t>
            </w:r>
          </w:p>
          <w:p>
            <w:pPr>
              <w:pStyle w:val="25"/>
              <w:keepNext w:val="0"/>
              <w:keepLines w:val="0"/>
              <w:suppressLineNumbers w:val="0"/>
              <w:spacing w:before="0" w:beforeAutospacing="0" w:after="0" w:afterAutospacing="0"/>
              <w:ind w:left="0" w:right="0" w:firstLine="480"/>
              <w:rPr>
                <w:rFonts w:hint="eastAsia"/>
                <w:color w:val="auto"/>
                <w:highlight w:val="yellow"/>
              </w:rPr>
            </w:pPr>
          </w:p>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“三线一单”控制要求符合性分析</w:t>
            </w:r>
          </w:p>
          <w:p>
            <w:pPr>
              <w:pStyle w:val="5"/>
              <w:numPr>
                <w:ilvl w:val="2"/>
                <w:numId w:val="4"/>
              </w:numPr>
              <w:suppressLineNumbers w:val="0"/>
              <w:spacing w:before="0" w:beforeAutospacing="0" w:after="0" w:afterAutospacing="0"/>
              <w:ind w:right="0"/>
              <w:rPr>
                <w:rFonts w:hint="default"/>
                <w:color w:val="auto"/>
                <w:highlight w:val="none"/>
              </w:rPr>
            </w:pPr>
            <w:r>
              <w:rPr>
                <w:rFonts w:hint="default"/>
                <w:color w:val="auto"/>
                <w:highlight w:val="none"/>
              </w:rPr>
              <w:t>生态保护红线</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宁德市生态保护红线主要涵盖自然保护区、森林公园、风景名胜区、地质公园、湿地公园、饮用水水源保护区等禁止开发区域以及国家一级公益林、重要湿地、自然景观与历史文化遗迹生态保护红线区、重要渔业水域生态保护红线区等。宁德市陆域生态保护红线划定面积为3137.17平方千米，占全市陆域国土面积的23.35%；海洋生态保护红线面积2850.33平方千米，占宁德市海域总选划面积的33.85%。</w:t>
            </w:r>
          </w:p>
          <w:p>
            <w:pPr>
              <w:pStyle w:val="25"/>
              <w:keepNext w:val="0"/>
              <w:keepLines w:val="0"/>
              <w:suppressLineNumbers w:val="0"/>
              <w:bidi w:val="0"/>
              <w:spacing w:before="0" w:beforeAutospacing="0" w:after="0" w:afterAutospacing="0"/>
              <w:ind w:left="0" w:right="0"/>
              <w:rPr>
                <w:rFonts w:hint="default"/>
                <w:color w:val="auto"/>
                <w:highlight w:val="none"/>
              </w:rPr>
            </w:pPr>
            <w:r>
              <w:rPr>
                <w:rFonts w:hint="eastAsia"/>
                <w:color w:val="auto"/>
                <w:lang w:val="en-US" w:eastAsia="zh-CN"/>
              </w:rPr>
              <w:t>项目利用现有厂房进行改扩建，不</w:t>
            </w:r>
            <w:r>
              <w:rPr>
                <w:rFonts w:hint="eastAsia"/>
                <w:color w:val="auto"/>
                <w:highlight w:val="none"/>
                <w:lang w:val="en-US" w:eastAsia="zh-CN"/>
              </w:rPr>
              <w:t>涉及新增用地，用地性质为工业用地，</w:t>
            </w:r>
            <w:r>
              <w:rPr>
                <w:rFonts w:hint="default" w:cs="Times New Roman"/>
                <w:color w:val="auto"/>
              </w:rPr>
              <w:t>经对照“宁德市生态保护红线范围图”，</w:t>
            </w:r>
            <w:r>
              <w:rPr>
                <w:rFonts w:hint="eastAsia" w:ascii="Times New Roman" w:hAnsi="Times New Roman" w:eastAsia="宋体" w:cs="Times New Roman"/>
                <w:color w:val="auto"/>
                <w:kern w:val="2"/>
                <w:szCs w:val="24"/>
                <w:highlight w:val="none"/>
                <w:lang w:val="en-US" w:eastAsia="zh-CN" w:bidi="ar"/>
              </w:rPr>
              <w:t>项目不在当地饮用水源保护区、自然保护区、风景名胜区、重要湿地、生态公益林、重要自然与人文景观、文物古迹及其他需要特别保护的区域范围内，</w:t>
            </w:r>
            <w:r>
              <w:rPr>
                <w:rFonts w:hint="default"/>
                <w:color w:val="auto"/>
                <w:highlight w:val="none"/>
              </w:rPr>
              <w:t>因此项目建设</w:t>
            </w:r>
            <w:r>
              <w:rPr>
                <w:rFonts w:hint="eastAsia"/>
                <w:color w:val="auto"/>
                <w:highlight w:val="none"/>
                <w:lang w:val="en-US" w:eastAsia="zh-CN"/>
              </w:rPr>
              <w:t>符合</w:t>
            </w:r>
            <w:r>
              <w:rPr>
                <w:rFonts w:hint="default"/>
                <w:color w:val="auto"/>
                <w:highlight w:val="none"/>
              </w:rPr>
              <w:t>生态保护红线管控要求。</w:t>
            </w:r>
          </w:p>
          <w:p>
            <w:pPr>
              <w:pStyle w:val="5"/>
              <w:numPr>
                <w:ilvl w:val="2"/>
                <w:numId w:val="4"/>
              </w:numPr>
              <w:suppressLineNumbers w:val="0"/>
              <w:spacing w:before="0" w:beforeAutospacing="0" w:after="0" w:afterAutospacing="0" w:line="336" w:lineRule="auto"/>
              <w:ind w:right="0"/>
              <w:rPr>
                <w:rFonts w:hint="default"/>
                <w:color w:val="auto"/>
                <w:highlight w:val="none"/>
              </w:rPr>
            </w:pPr>
            <w:r>
              <w:rPr>
                <w:rFonts w:hint="default"/>
                <w:color w:val="auto"/>
                <w:highlight w:val="none"/>
              </w:rPr>
              <w:t>环境质量底线</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default"/>
                <w:color w:val="auto"/>
              </w:rPr>
              <w:t>根据</w:t>
            </w:r>
            <w:r>
              <w:rPr>
                <w:rFonts w:hint="default"/>
                <w:color w:val="auto"/>
                <w:lang w:eastAsia="zh-CN"/>
              </w:rPr>
              <w:t>《</w:t>
            </w:r>
            <w:r>
              <w:rPr>
                <w:rFonts w:hint="default"/>
                <w:color w:val="auto"/>
                <w:lang w:val="en-US" w:eastAsia="zh-CN"/>
              </w:rPr>
              <w:t>宁德市人民政府关于印发宁德市“三线一单”生态环境分区管控方案的通知</w:t>
            </w:r>
            <w:r>
              <w:rPr>
                <w:rFonts w:hint="default"/>
                <w:color w:val="auto"/>
                <w:lang w:eastAsia="zh-CN"/>
              </w:rPr>
              <w:t>》（</w:t>
            </w:r>
            <w:r>
              <w:rPr>
                <w:rFonts w:hint="default"/>
                <w:color w:val="auto"/>
                <w:lang w:val="en-US" w:eastAsia="zh-CN"/>
              </w:rPr>
              <w:t>宁政[2021]11号）</w:t>
            </w:r>
            <w:r>
              <w:rPr>
                <w:rFonts w:hint="eastAsia"/>
                <w:color w:val="auto"/>
                <w:lang w:val="en-US" w:eastAsia="zh-CN"/>
              </w:rPr>
              <w:t>及</w:t>
            </w:r>
            <w:r>
              <w:rPr>
                <w:rFonts w:hint="default"/>
                <w:color w:val="auto"/>
              </w:rPr>
              <w:t>《宁德市“三线一单”成果报告》</w:t>
            </w:r>
            <w:r>
              <w:rPr>
                <w:rFonts w:hint="eastAsia"/>
                <w:color w:val="auto"/>
                <w:lang w:val="en-US" w:eastAsia="zh-CN"/>
              </w:rPr>
              <w:t>，项目所在区域环境质量底线如下：</w:t>
            </w:r>
          </w:p>
          <w:p>
            <w:pPr>
              <w:pStyle w:val="25"/>
              <w:keepNext w:val="0"/>
              <w:keepLines w:val="0"/>
              <w:suppressLineNumbers w:val="0"/>
              <w:bidi w:val="0"/>
              <w:spacing w:before="0" w:beforeAutospacing="0" w:after="0" w:afterAutospacing="0"/>
              <w:ind w:left="0" w:right="0"/>
              <w:rPr>
                <w:rFonts w:hint="default"/>
                <w:color w:val="auto"/>
                <w:lang w:eastAsia="zh-CN"/>
              </w:rPr>
            </w:pPr>
            <w:r>
              <w:rPr>
                <w:rFonts w:hint="default"/>
                <w:color w:val="auto"/>
                <w:lang w:val="en-US" w:eastAsia="zh-CN"/>
              </w:rPr>
              <w:fldChar w:fldCharType="begin"/>
            </w:r>
            <w:r>
              <w:rPr>
                <w:rFonts w:hint="default"/>
                <w:color w:val="auto"/>
                <w:lang w:val="en-US" w:eastAsia="zh-CN"/>
              </w:rPr>
              <w:instrText xml:space="preserve"> = 1 \* GB3 \* MERGEFORMAT </w:instrText>
            </w:r>
            <w:r>
              <w:rPr>
                <w:rFonts w:hint="default"/>
                <w:color w:val="auto"/>
                <w:lang w:val="en-US" w:eastAsia="zh-CN"/>
              </w:rPr>
              <w:fldChar w:fldCharType="separate"/>
            </w:r>
            <w:r>
              <w:rPr>
                <w:rFonts w:hint="default"/>
                <w:color w:val="auto"/>
              </w:rPr>
              <w:t>①</w:t>
            </w:r>
            <w:r>
              <w:rPr>
                <w:rFonts w:hint="default"/>
                <w:color w:val="auto"/>
                <w:lang w:val="en-US" w:eastAsia="zh-CN"/>
              </w:rPr>
              <w:fldChar w:fldCharType="end"/>
            </w:r>
            <w:r>
              <w:rPr>
                <w:rFonts w:hint="default"/>
                <w:color w:val="auto"/>
                <w:lang w:eastAsia="zh-CN"/>
              </w:rPr>
              <w:t>大气环境质量底线</w:t>
            </w:r>
          </w:p>
          <w:p>
            <w:pPr>
              <w:pStyle w:val="25"/>
              <w:keepNext w:val="0"/>
              <w:keepLines w:val="0"/>
              <w:suppressLineNumbers w:val="0"/>
              <w:bidi w:val="0"/>
              <w:spacing w:before="0" w:beforeAutospacing="0" w:after="0" w:afterAutospacing="0"/>
              <w:ind w:left="0" w:right="0"/>
              <w:rPr>
                <w:rFonts w:hint="default"/>
                <w:color w:val="auto"/>
                <w:lang w:eastAsia="zh-CN"/>
              </w:rPr>
            </w:pPr>
            <w:r>
              <w:rPr>
                <w:rFonts w:hint="default"/>
                <w:color w:val="auto"/>
                <w:lang w:eastAsia="zh-CN"/>
              </w:rPr>
              <w:t>宁德市大气环境质量底线为：到</w:t>
            </w:r>
            <w:r>
              <w:rPr>
                <w:rFonts w:hint="default"/>
                <w:color w:val="auto"/>
                <w:lang w:val="en-US"/>
              </w:rPr>
              <w:t>2025</w:t>
            </w:r>
            <w:r>
              <w:rPr>
                <w:rFonts w:hint="default"/>
                <w:color w:val="auto"/>
                <w:lang w:eastAsia="zh-CN"/>
              </w:rPr>
              <w:t>年，中心城区</w:t>
            </w:r>
            <w:r>
              <w:rPr>
                <w:rFonts w:hint="default"/>
                <w:color w:val="auto"/>
                <w:lang w:val="en-US"/>
              </w:rPr>
              <w:t>PM</w:t>
            </w:r>
            <w:r>
              <w:rPr>
                <w:rFonts w:hint="default"/>
                <w:color w:val="auto"/>
                <w:vertAlign w:val="subscript"/>
                <w:lang w:val="en-US"/>
              </w:rPr>
              <w:t>2.5</w:t>
            </w:r>
            <w:r>
              <w:rPr>
                <w:rFonts w:hint="default"/>
                <w:color w:val="auto"/>
                <w:lang w:eastAsia="zh-CN"/>
              </w:rPr>
              <w:t>年平均浓度不高于</w:t>
            </w:r>
            <w:r>
              <w:rPr>
                <w:rFonts w:hint="default"/>
                <w:color w:val="auto"/>
                <w:lang w:val="en-US"/>
              </w:rPr>
              <w:t>23μg/m</w:t>
            </w:r>
            <w:r>
              <w:rPr>
                <w:rFonts w:hint="default"/>
                <w:color w:val="auto"/>
                <w:vertAlign w:val="superscript"/>
                <w:lang w:val="en-US"/>
              </w:rPr>
              <w:t>3</w:t>
            </w:r>
            <w:r>
              <w:rPr>
                <w:rFonts w:hint="default"/>
                <w:color w:val="auto"/>
                <w:lang w:eastAsia="zh-CN"/>
              </w:rPr>
              <w:t>，到</w:t>
            </w:r>
            <w:r>
              <w:rPr>
                <w:rFonts w:hint="default"/>
                <w:color w:val="auto"/>
                <w:lang w:val="en-US"/>
              </w:rPr>
              <w:t>2025</w:t>
            </w:r>
            <w:r>
              <w:rPr>
                <w:rFonts w:hint="default"/>
                <w:color w:val="auto"/>
                <w:lang w:eastAsia="zh-CN"/>
              </w:rPr>
              <w:t>年县级以上地区空气质量</w:t>
            </w:r>
            <w:r>
              <w:rPr>
                <w:rFonts w:hint="default"/>
                <w:color w:val="auto"/>
                <w:lang w:val="en-US"/>
              </w:rPr>
              <w:t>PM</w:t>
            </w:r>
            <w:r>
              <w:rPr>
                <w:rFonts w:hint="default"/>
                <w:color w:val="auto"/>
                <w:vertAlign w:val="subscript"/>
                <w:lang w:val="en-US"/>
              </w:rPr>
              <w:t>2.5</w:t>
            </w:r>
            <w:r>
              <w:rPr>
                <w:rFonts w:hint="default"/>
                <w:color w:val="auto"/>
                <w:lang w:eastAsia="zh-CN"/>
              </w:rPr>
              <w:t>年平均浓度不高于</w:t>
            </w:r>
            <w:r>
              <w:rPr>
                <w:rFonts w:hint="default"/>
                <w:color w:val="auto"/>
                <w:lang w:val="en-US"/>
              </w:rPr>
              <w:t>18μg/m</w:t>
            </w:r>
            <w:r>
              <w:rPr>
                <w:rFonts w:hint="default"/>
                <w:color w:val="auto"/>
                <w:vertAlign w:val="superscript"/>
                <w:lang w:val="en-US"/>
              </w:rPr>
              <w:t>3</w:t>
            </w:r>
            <w:r>
              <w:rPr>
                <w:rFonts w:hint="default"/>
                <w:color w:val="auto"/>
                <w:lang w:eastAsia="zh-CN"/>
              </w:rPr>
              <w:t>。</w:t>
            </w:r>
          </w:p>
          <w:p>
            <w:pPr>
              <w:pStyle w:val="25"/>
              <w:keepNext w:val="0"/>
              <w:keepLines w:val="0"/>
              <w:suppressLineNumbers w:val="0"/>
              <w:bidi w:val="0"/>
              <w:spacing w:before="0" w:beforeAutospacing="0" w:after="0" w:afterAutospacing="0"/>
              <w:ind w:left="0" w:right="0"/>
              <w:rPr>
                <w:rFonts w:hint="default"/>
                <w:color w:val="auto"/>
                <w:lang w:eastAsia="zh-CN"/>
              </w:rPr>
            </w:pPr>
            <w:r>
              <w:rPr>
                <w:rFonts w:hint="default"/>
                <w:color w:val="auto"/>
                <w:lang w:eastAsia="zh-CN"/>
              </w:rPr>
              <w:t>根据《宁德市“三线一单”成果报告》，项目位于福鼎</w:t>
            </w:r>
            <w:r>
              <w:rPr>
                <w:rFonts w:hint="eastAsia"/>
                <w:color w:val="auto"/>
                <w:lang w:eastAsia="zh-CN"/>
              </w:rPr>
              <w:t>文渡工业集中区</w:t>
            </w:r>
            <w:r>
              <w:rPr>
                <w:rFonts w:hint="default"/>
                <w:color w:val="auto"/>
                <w:lang w:eastAsia="zh-CN"/>
              </w:rPr>
              <w:t>，属于宁德市大气环境高排放重点管控单元。</w:t>
            </w:r>
          </w:p>
          <w:p>
            <w:pPr>
              <w:pStyle w:val="25"/>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eastAsia="zh-CN"/>
              </w:rPr>
            </w:pPr>
            <w:r>
              <w:rPr>
                <w:rFonts w:hint="default"/>
                <w:color w:val="auto"/>
                <w:lang w:eastAsia="zh-CN"/>
              </w:rPr>
              <w:t>重点解决问题：需重点控制氮氧化物、VOCs的排放量，实现氮氧化物、VOCs排放量的削减。根据宁德市污染源清单NOx排放量较大的行业为电力、热力生产和供应业、黑色金属冶</w:t>
            </w:r>
            <w:r>
              <w:rPr>
                <w:rFonts w:hint="default" w:ascii="Times New Roman" w:hAnsi="Times New Roman" w:eastAsia="宋体" w:cs="Times New Roman"/>
                <w:color w:val="auto"/>
                <w:highlight w:val="none"/>
                <w:lang w:eastAsia="zh-CN"/>
              </w:rPr>
              <w:t>炼和压延加工业和食品加工行业，三大行业排放量占工业源排放总量的比例为79.5%；VOCs排放量较大的行业包括电气机械和器材制造业、橡胶和塑料制品业、黑色金属冶炼和压延加工业等，共占工业源强排放总量的77.8%，需从产业准入和污染控制等方面落实上述重点排放行业氮氧化物、VOCs的减排。</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根据大气环境质量现状可知，本项目区域大气环境达到《环境空气质量标准》（GB3095-2012）中二级标准，区域大气环境具有一定容量。</w:t>
            </w:r>
          </w:p>
          <w:p>
            <w:pPr>
              <w:pStyle w:val="25"/>
              <w:keepNext w:val="0"/>
              <w:keepLines w:val="0"/>
              <w:suppressLineNumbers w:val="0"/>
              <w:bidi w:val="0"/>
              <w:spacing w:before="0" w:beforeAutospacing="0" w:after="0" w:afterAutospacing="0"/>
              <w:ind w:left="0" w:right="0"/>
              <w:rPr>
                <w:rFonts w:hint="default" w:ascii="Times New Roman" w:hAnsi="Times New Roman" w:cs="宋体"/>
                <w:color w:val="auto"/>
                <w:kern w:val="2"/>
                <w:szCs w:val="24"/>
                <w:highlight w:val="yellow"/>
                <w:lang w:val="en-US" w:bidi="ar"/>
              </w:rPr>
            </w:pPr>
            <w:r>
              <w:rPr>
                <w:rFonts w:hint="default"/>
                <w:color w:val="auto"/>
                <w:lang w:eastAsia="zh-CN"/>
              </w:rPr>
              <w:t>本项目</w:t>
            </w:r>
            <w:r>
              <w:rPr>
                <w:rFonts w:hint="default"/>
                <w:color w:val="auto"/>
              </w:rPr>
              <w:t>属于</w:t>
            </w:r>
            <w:r>
              <w:rPr>
                <w:rFonts w:hint="eastAsia"/>
                <w:color w:val="auto"/>
                <w:highlight w:val="none"/>
                <w:lang w:val="en-US" w:eastAsia="zh-CN"/>
              </w:rPr>
              <w:t>阀门锻件制造</w:t>
            </w:r>
            <w:r>
              <w:rPr>
                <w:rFonts w:hint="default"/>
                <w:color w:val="auto"/>
                <w:highlight w:val="none"/>
              </w:rPr>
              <w:t>行业</w:t>
            </w:r>
            <w:r>
              <w:rPr>
                <w:rFonts w:hint="default"/>
                <w:color w:val="auto"/>
              </w:rPr>
              <w:t>范畴，不属于NOx、VOCs排放量较大的重点行业；</w:t>
            </w:r>
            <w:r>
              <w:rPr>
                <w:rFonts w:hint="default"/>
                <w:color w:val="auto"/>
                <w:lang w:eastAsia="zh-CN"/>
              </w:rPr>
              <w:t>运营期</w:t>
            </w:r>
            <w:r>
              <w:rPr>
                <w:rFonts w:hint="eastAsia"/>
                <w:color w:val="auto"/>
                <w:lang w:val="en-US" w:eastAsia="zh-CN"/>
              </w:rPr>
              <w:t>产生的废气经处理</w:t>
            </w:r>
            <w:r>
              <w:rPr>
                <w:rFonts w:hint="default"/>
                <w:color w:val="auto"/>
                <w:lang w:eastAsia="zh-CN"/>
              </w:rPr>
              <w:t>后能够达标排放，对区域大气环境影响较小，因此符合大气环境质量底线的管控要求。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Times New Roman" w:hAnsi="Times New Roman" w:eastAsia="宋体" w:cs="宋体"/>
                <w:color w:val="auto"/>
                <w:kern w:val="2"/>
                <w:sz w:val="24"/>
                <w:szCs w:val="24"/>
                <w:highlight w:val="none"/>
                <w:lang w:val="en-US" w:eastAsia="zh-CN" w:bidi="ar"/>
              </w:rPr>
            </w:pPr>
            <w:r>
              <w:rPr>
                <w:rFonts w:hint="default" w:ascii="Times New Roman" w:hAnsi="Times New Roman" w:cs="Times New Roman"/>
                <w:color w:val="auto"/>
                <w:kern w:val="0"/>
                <w:szCs w:val="21"/>
                <w:highlight w:val="none"/>
                <w:lang w:val="en-US" w:eastAsia="zh-CN"/>
              </w:rPr>
              <w:fldChar w:fldCharType="begin"/>
            </w:r>
            <w:r>
              <w:rPr>
                <w:rFonts w:hint="default" w:ascii="Times New Roman" w:hAnsi="Times New Roman" w:cs="Times New Roman"/>
                <w:color w:val="auto"/>
                <w:kern w:val="0"/>
                <w:szCs w:val="21"/>
                <w:highlight w:val="none"/>
                <w:lang w:val="en-US" w:eastAsia="zh-CN"/>
              </w:rPr>
              <w:instrText xml:space="preserve"> = 2 \* GB3 \* MERGEFORMAT </w:instrText>
            </w:r>
            <w:r>
              <w:rPr>
                <w:rFonts w:hint="default" w:ascii="Times New Roman" w:hAnsi="Times New Roman" w:cs="Times New Roman"/>
                <w:color w:val="auto"/>
                <w:kern w:val="0"/>
                <w:szCs w:val="21"/>
                <w:highlight w:val="none"/>
                <w:lang w:val="en-US" w:eastAsia="zh-CN"/>
              </w:rPr>
              <w:fldChar w:fldCharType="separate"/>
            </w:r>
            <w:r>
              <w:rPr>
                <w:rFonts w:hint="default"/>
                <w:color w:val="auto"/>
                <w:highlight w:val="none"/>
              </w:rPr>
              <w:t>②</w:t>
            </w:r>
            <w:r>
              <w:rPr>
                <w:rFonts w:hint="default" w:ascii="Times New Roman" w:hAnsi="Times New Roman" w:cs="Times New Roman"/>
                <w:color w:val="auto"/>
                <w:kern w:val="0"/>
                <w:szCs w:val="21"/>
                <w:highlight w:val="none"/>
                <w:lang w:val="en-US" w:eastAsia="zh-CN"/>
              </w:rPr>
              <w:fldChar w:fldCharType="end"/>
            </w:r>
            <w:r>
              <w:rPr>
                <w:rFonts w:hint="eastAsia" w:ascii="Times New Roman" w:hAnsi="Times New Roman" w:eastAsia="宋体" w:cs="宋体"/>
                <w:color w:val="auto"/>
                <w:kern w:val="2"/>
                <w:sz w:val="24"/>
                <w:szCs w:val="24"/>
                <w:highlight w:val="none"/>
                <w:lang w:val="en-US" w:eastAsia="zh-CN" w:bidi="ar"/>
              </w:rPr>
              <w:t>地表水环境质量底线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宋体"/>
                <w:color w:val="auto"/>
                <w:kern w:val="2"/>
                <w:sz w:val="24"/>
                <w:szCs w:val="24"/>
                <w:highlight w:val="none"/>
                <w:lang w:val="en-US" w:eastAsia="zh-CN" w:bidi="ar"/>
              </w:rPr>
            </w:pPr>
            <w:r>
              <w:rPr>
                <w:rFonts w:hint="eastAsia" w:ascii="Times New Roman" w:hAnsi="Times New Roman" w:eastAsia="宋体" w:cs="Times New Roman"/>
                <w:color w:val="auto"/>
                <w:kern w:val="2"/>
                <w:sz w:val="24"/>
                <w:szCs w:val="24"/>
                <w:highlight w:val="none"/>
                <w:lang w:val="en-US" w:eastAsia="zh-CN" w:bidi="ar"/>
              </w:rPr>
              <w:t>宁德市地表水环境质量底线为：到</w:t>
            </w:r>
            <w:r>
              <w:rPr>
                <w:rFonts w:hint="default" w:ascii="Times New Roman" w:hAnsi="Times New Roman" w:eastAsia="宋体" w:cs="Times New Roman"/>
                <w:color w:val="auto"/>
                <w:kern w:val="2"/>
                <w:sz w:val="24"/>
                <w:szCs w:val="24"/>
                <w:highlight w:val="none"/>
                <w:lang w:val="en-US" w:eastAsia="zh-CN" w:bidi="ar"/>
              </w:rPr>
              <w:t>2025</w:t>
            </w:r>
            <w:r>
              <w:rPr>
                <w:rFonts w:hint="eastAsia" w:ascii="Times New Roman" w:hAnsi="Times New Roman" w:eastAsia="宋体" w:cs="Times New Roman"/>
                <w:color w:val="auto"/>
                <w:kern w:val="2"/>
                <w:sz w:val="24"/>
                <w:szCs w:val="24"/>
                <w:highlight w:val="none"/>
                <w:lang w:val="en-US" w:eastAsia="zh-CN" w:bidi="ar"/>
              </w:rPr>
              <w:t>年，全市主要流域国、省控断面水质优良（达到或优于</w:t>
            </w:r>
            <w:r>
              <w:rPr>
                <w:rFonts w:hint="default" w:ascii="Times New Roman" w:hAnsi="Times New Roman" w:eastAsia="宋体" w:cs="Times New Roman"/>
                <w:color w:val="auto"/>
                <w:kern w:val="2"/>
                <w:sz w:val="24"/>
                <w:szCs w:val="24"/>
                <w:highlight w:val="none"/>
                <w:lang w:val="en-US" w:eastAsia="zh-CN" w:bidi="ar"/>
              </w:rPr>
              <w:t>Ⅲ</w:t>
            </w:r>
            <w:r>
              <w:rPr>
                <w:rFonts w:hint="eastAsia" w:ascii="Times New Roman" w:hAnsi="Times New Roman" w:eastAsia="宋体" w:cs="Times New Roman"/>
                <w:color w:val="auto"/>
                <w:kern w:val="2"/>
                <w:sz w:val="24"/>
                <w:szCs w:val="24"/>
                <w:highlight w:val="none"/>
                <w:lang w:val="en-US" w:eastAsia="zh-CN" w:bidi="ar"/>
              </w:rPr>
              <w:t>类）比例总体达</w:t>
            </w:r>
            <w:r>
              <w:rPr>
                <w:rFonts w:hint="default" w:ascii="Times New Roman" w:hAnsi="Times New Roman" w:eastAsia="宋体" w:cs="Times New Roman"/>
                <w:color w:val="auto"/>
                <w:kern w:val="2"/>
                <w:sz w:val="24"/>
                <w:szCs w:val="24"/>
                <w:highlight w:val="none"/>
                <w:lang w:val="en-US" w:eastAsia="zh-CN" w:bidi="ar"/>
              </w:rPr>
              <w:t>100%</w:t>
            </w:r>
            <w:r>
              <w:rPr>
                <w:rFonts w:hint="eastAsia" w:ascii="Times New Roman" w:hAnsi="Times New Roman" w:eastAsia="宋体" w:cs="Times New Roman"/>
                <w:color w:val="auto"/>
                <w:kern w:val="2"/>
                <w:sz w:val="24"/>
                <w:szCs w:val="24"/>
                <w:highlight w:val="none"/>
                <w:lang w:val="en-US" w:eastAsia="zh-CN" w:bidi="ar"/>
              </w:rPr>
              <w:t>，县级以上集中式饮用水水源水质达标率达</w:t>
            </w:r>
            <w:r>
              <w:rPr>
                <w:rFonts w:hint="default" w:ascii="Times New Roman" w:hAnsi="Times New Roman" w:eastAsia="宋体" w:cs="Times New Roman"/>
                <w:color w:val="auto"/>
                <w:kern w:val="2"/>
                <w:sz w:val="24"/>
                <w:szCs w:val="24"/>
                <w:highlight w:val="none"/>
                <w:lang w:val="en-US" w:eastAsia="zh-CN" w:bidi="ar"/>
              </w:rPr>
              <w:t>100%</w:t>
            </w:r>
            <w:r>
              <w:rPr>
                <w:rFonts w:hint="eastAsia" w:ascii="Times New Roman" w:hAnsi="Times New Roman" w:eastAsia="宋体" w:cs="Times New Roman"/>
                <w:color w:val="auto"/>
                <w:kern w:val="2"/>
                <w:sz w:val="24"/>
                <w:szCs w:val="24"/>
                <w:highlight w:val="none"/>
                <w:lang w:val="en-US" w:eastAsia="zh-CN" w:bidi="ar"/>
              </w:rPr>
              <w:t>。到</w:t>
            </w:r>
            <w:r>
              <w:rPr>
                <w:rFonts w:hint="default" w:ascii="Times New Roman" w:hAnsi="Times New Roman" w:eastAsia="宋体" w:cs="Times New Roman"/>
                <w:color w:val="auto"/>
                <w:kern w:val="2"/>
                <w:sz w:val="24"/>
                <w:szCs w:val="24"/>
                <w:highlight w:val="none"/>
                <w:lang w:val="en-US" w:eastAsia="zh-CN" w:bidi="ar"/>
              </w:rPr>
              <w:t>2030</w:t>
            </w:r>
            <w:r>
              <w:rPr>
                <w:rFonts w:hint="eastAsia" w:ascii="Times New Roman" w:hAnsi="Times New Roman" w:eastAsia="宋体" w:cs="Times New Roman"/>
                <w:color w:val="auto"/>
                <w:kern w:val="2"/>
                <w:sz w:val="24"/>
                <w:szCs w:val="24"/>
                <w:highlight w:val="none"/>
                <w:lang w:val="en-US" w:eastAsia="zh-CN" w:bidi="ar"/>
              </w:rPr>
              <w:t>年，全市主要流域国、省控断面水质优良（达到或优于</w:t>
            </w:r>
            <w:r>
              <w:rPr>
                <w:rFonts w:hint="default" w:ascii="Times New Roman" w:hAnsi="Times New Roman" w:eastAsia="宋体" w:cs="Times New Roman"/>
                <w:color w:val="auto"/>
                <w:kern w:val="2"/>
                <w:sz w:val="24"/>
                <w:szCs w:val="24"/>
                <w:highlight w:val="none"/>
                <w:lang w:val="en-US" w:eastAsia="zh-CN" w:bidi="ar"/>
              </w:rPr>
              <w:t>Ⅲ</w:t>
            </w:r>
            <w:r>
              <w:rPr>
                <w:rFonts w:hint="eastAsia" w:ascii="Times New Roman" w:hAnsi="Times New Roman" w:eastAsia="宋体" w:cs="Times New Roman"/>
                <w:color w:val="auto"/>
                <w:kern w:val="2"/>
                <w:sz w:val="24"/>
                <w:szCs w:val="24"/>
                <w:highlight w:val="none"/>
                <w:lang w:val="en-US" w:eastAsia="zh-CN" w:bidi="ar"/>
              </w:rPr>
              <w:t>类）比例总体达</w:t>
            </w:r>
            <w:r>
              <w:rPr>
                <w:rFonts w:hint="default" w:ascii="Times New Roman" w:hAnsi="Times New Roman" w:eastAsia="宋体" w:cs="Times New Roman"/>
                <w:color w:val="auto"/>
                <w:kern w:val="2"/>
                <w:sz w:val="24"/>
                <w:szCs w:val="24"/>
                <w:highlight w:val="none"/>
                <w:lang w:val="en-US" w:eastAsia="zh-CN" w:bidi="ar"/>
              </w:rPr>
              <w:t>100%</w:t>
            </w:r>
            <w:r>
              <w:rPr>
                <w:rFonts w:hint="eastAsia" w:ascii="Times New Roman" w:hAnsi="Times New Roman" w:eastAsia="宋体" w:cs="Times New Roman"/>
                <w:color w:val="auto"/>
                <w:kern w:val="2"/>
                <w:sz w:val="24"/>
                <w:szCs w:val="24"/>
                <w:highlight w:val="none"/>
                <w:lang w:val="en-US" w:eastAsia="zh-CN" w:bidi="ar"/>
              </w:rPr>
              <w:t>，县级以上城市建成区黑臭水体总体得到消除，县级以上集中式饮用水水源水质稳定达标。到</w:t>
            </w:r>
            <w:r>
              <w:rPr>
                <w:rFonts w:hint="default" w:ascii="Times New Roman" w:hAnsi="Times New Roman" w:eastAsia="宋体" w:cs="Times New Roman"/>
                <w:color w:val="auto"/>
                <w:kern w:val="2"/>
                <w:sz w:val="24"/>
                <w:szCs w:val="24"/>
                <w:highlight w:val="none"/>
                <w:lang w:val="en-US" w:eastAsia="zh-CN" w:bidi="ar"/>
              </w:rPr>
              <w:t>2035</w:t>
            </w:r>
            <w:r>
              <w:rPr>
                <w:rFonts w:hint="eastAsia" w:ascii="Times New Roman" w:hAnsi="Times New Roman" w:eastAsia="宋体" w:cs="Times New Roman"/>
                <w:color w:val="auto"/>
                <w:kern w:val="2"/>
                <w:sz w:val="24"/>
                <w:szCs w:val="24"/>
                <w:highlight w:val="none"/>
                <w:lang w:val="en-US" w:eastAsia="zh-CN" w:bidi="ar"/>
              </w:rPr>
              <w:t>年，全市主要流域国、省控断面水质优良（达到或优于</w:t>
            </w:r>
            <w:r>
              <w:rPr>
                <w:rFonts w:hint="default" w:ascii="Times New Roman" w:hAnsi="Times New Roman" w:eastAsia="宋体" w:cs="Times New Roman"/>
                <w:color w:val="auto"/>
                <w:kern w:val="2"/>
                <w:sz w:val="24"/>
                <w:szCs w:val="24"/>
                <w:highlight w:val="none"/>
                <w:lang w:val="en-US" w:eastAsia="zh-CN" w:bidi="ar"/>
              </w:rPr>
              <w:t>Ⅲ</w:t>
            </w:r>
            <w:r>
              <w:rPr>
                <w:rFonts w:hint="eastAsia" w:ascii="Times New Roman" w:hAnsi="Times New Roman" w:eastAsia="宋体" w:cs="Times New Roman"/>
                <w:color w:val="auto"/>
                <w:kern w:val="2"/>
                <w:sz w:val="24"/>
                <w:szCs w:val="24"/>
                <w:highlight w:val="none"/>
                <w:lang w:val="en-US" w:eastAsia="zh-CN" w:bidi="ar"/>
              </w:rPr>
              <w:t>类）比例总体达</w:t>
            </w:r>
            <w:r>
              <w:rPr>
                <w:rFonts w:hint="default" w:ascii="Times New Roman" w:hAnsi="Times New Roman" w:eastAsia="宋体" w:cs="Times New Roman"/>
                <w:color w:val="auto"/>
                <w:kern w:val="2"/>
                <w:sz w:val="24"/>
                <w:szCs w:val="24"/>
                <w:highlight w:val="none"/>
                <w:lang w:val="en-US" w:eastAsia="zh-CN" w:bidi="ar"/>
              </w:rPr>
              <w:t>100%</w:t>
            </w:r>
            <w:r>
              <w:rPr>
                <w:rFonts w:hint="eastAsia" w:ascii="Times New Roman" w:hAnsi="Times New Roman" w:eastAsia="宋体" w:cs="Times New Roman"/>
                <w:color w:val="auto"/>
                <w:kern w:val="2"/>
                <w:sz w:val="24"/>
                <w:szCs w:val="24"/>
                <w:highlight w:val="none"/>
                <w:lang w:val="en-US" w:eastAsia="zh-CN" w:bidi="ar"/>
              </w:rPr>
              <w:t>，水生态系统实现良性循环。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kern w:val="2"/>
                <w:sz w:val="24"/>
                <w:szCs w:val="24"/>
                <w:highlight w:val="none"/>
                <w:lang w:val="en-US" w:eastAsia="zh-CN" w:bidi="ar"/>
              </w:rPr>
            </w:pPr>
            <w:r>
              <w:rPr>
                <w:rFonts w:hint="eastAsia" w:ascii="Times New Roman" w:hAnsi="Times New Roman" w:eastAsia="宋体" w:cs="Times New Roman"/>
                <w:color w:val="auto"/>
                <w:kern w:val="2"/>
                <w:sz w:val="24"/>
                <w:szCs w:val="24"/>
                <w:highlight w:val="none"/>
                <w:lang w:val="en-US" w:eastAsia="zh-CN" w:bidi="ar"/>
              </w:rPr>
              <w:t>项目所在区域属于《宁德市“三线一单”成果报告》中划定的水环境工业污染重点管控区。①管控目标：解决工业企业分散，工业园区污水收集系统不完善，工业污水不稳定达标等问题。②管控要求：空间布局约束：推进涉水企业入园，限制在工业集聚区外新建、改建和扩建工业企业。对严重污染水环境的落后工艺和设备实行淘汰制度。污染物排放管控：强化工业企业的清洁生产审核，推进全市园区实行循环化改造。加强工业污染源监督性监测，定期抽查排放情况，每季度向社会公布。环境风险管控：强化环境风险企业制定应急方案，做好风险防范，并定期开展演练。定期评估沿江河湖库工业企业、工业集聚区环境和健康风险，加强监控与预警。</w:t>
            </w:r>
          </w:p>
          <w:p>
            <w:pPr>
              <w:pStyle w:val="25"/>
              <w:keepNext w:val="0"/>
              <w:keepLines w:val="0"/>
              <w:suppressLineNumbers w:val="0"/>
              <w:bidi w:val="0"/>
              <w:spacing w:before="0" w:beforeAutospacing="0" w:after="0" w:afterAutospacing="0"/>
              <w:ind w:left="0" w:right="0"/>
              <w:rPr>
                <w:rFonts w:hint="default"/>
                <w:color w:val="auto"/>
              </w:rPr>
            </w:pPr>
            <w:r>
              <w:rPr>
                <w:rFonts w:hint="default" w:ascii="Times New Roman" w:hAnsi="Times New Roman" w:eastAsia="宋体" w:cs="Times New Roman"/>
                <w:color w:val="auto"/>
                <w:kern w:val="0"/>
                <w:szCs w:val="20"/>
              </w:rPr>
              <w:t>根据水环境质量现状可知，项目</w:t>
            </w:r>
            <w:r>
              <w:rPr>
                <w:rFonts w:hint="default" w:ascii="Times New Roman" w:hAnsi="Times New Roman" w:eastAsia="宋体" w:cs="Times New Roman"/>
                <w:color w:val="auto"/>
                <w:kern w:val="0"/>
                <w:szCs w:val="20"/>
                <w:lang w:val="en-US" w:eastAsia="zh-CN"/>
              </w:rPr>
              <w:t>东南侧的滞洪区的水质</w:t>
            </w:r>
            <w:r>
              <w:rPr>
                <w:rFonts w:hint="default" w:ascii="Times New Roman" w:hAnsi="Times New Roman" w:eastAsia="宋体" w:cs="Times New Roman"/>
                <w:color w:val="auto"/>
                <w:kern w:val="0"/>
                <w:szCs w:val="20"/>
              </w:rPr>
              <w:t>符合《地表</w:t>
            </w:r>
            <w:r>
              <w:rPr>
                <w:rFonts w:hint="default"/>
                <w:color w:val="auto"/>
              </w:rPr>
              <w:t>水环境质量标准》（GB3838-2002）Ⅲ类标准，水质现状良好。</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default"/>
                <w:color w:val="auto"/>
              </w:rPr>
              <w:t>项目</w:t>
            </w:r>
            <w:r>
              <w:rPr>
                <w:rFonts w:hint="eastAsia"/>
                <w:color w:val="auto"/>
                <w:lang w:val="en-US" w:eastAsia="zh-CN"/>
              </w:rPr>
              <w:t>生产废水循环使用，不外排</w:t>
            </w:r>
            <w:r>
              <w:rPr>
                <w:rFonts w:hint="default"/>
                <w:color w:val="auto"/>
              </w:rPr>
              <w:t>，</w:t>
            </w:r>
            <w:r>
              <w:rPr>
                <w:rFonts w:hint="eastAsia"/>
                <w:color w:val="auto"/>
                <w:lang w:val="en-US" w:eastAsia="zh-CN"/>
              </w:rPr>
              <w:t>生活污水经化粪池处理后进入文渡污水处理厂，最终排入滞洪区，因此符合地表水环境质量底线的管控要求。</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fldChar w:fldCharType="begin"/>
            </w:r>
            <w:r>
              <w:rPr>
                <w:rFonts w:hint="eastAsia"/>
                <w:color w:val="auto"/>
                <w:lang w:val="en-US" w:eastAsia="zh-CN"/>
              </w:rPr>
              <w:instrText xml:space="preserve"> = 3 \* GB3 \* MERGEFORMAT </w:instrText>
            </w:r>
            <w:r>
              <w:rPr>
                <w:rFonts w:hint="eastAsia"/>
                <w:color w:val="auto"/>
                <w:lang w:val="en-US" w:eastAsia="zh-CN"/>
              </w:rPr>
              <w:fldChar w:fldCharType="separate"/>
            </w:r>
            <w:r>
              <w:rPr>
                <w:rFonts w:hint="default"/>
                <w:color w:val="auto"/>
              </w:rPr>
              <w:t>③</w:t>
            </w:r>
            <w:r>
              <w:rPr>
                <w:rFonts w:hint="eastAsia"/>
                <w:color w:val="auto"/>
                <w:lang w:val="en-US" w:eastAsia="zh-CN"/>
              </w:rPr>
              <w:fldChar w:fldCharType="end"/>
            </w:r>
            <w:r>
              <w:rPr>
                <w:rFonts w:hint="eastAsia"/>
                <w:color w:val="auto"/>
                <w:lang w:val="en-US" w:eastAsia="zh-CN"/>
              </w:rPr>
              <w:t>土壤环境风险防控底线</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宁德市土壤环境风险防控底线为：到2025年，全市土壤环境质量保持稳定，土壤环境风险得到管控，受污染耕地和污染地块安全利用率达93%以上。到2035年，全市土壤环境质量稳中向好，土壤环境风险得到全面管控，受污染耕地和污染地块安全利用率达95％以上资源利用上线。</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highlight w:val="none"/>
              </w:rPr>
              <w:t>项目用地土壤环境质量目标为《土壤环境质量 建设用地土壤污染风险管控标准(试行)》(GB36600-2018)中第二类用地筛选值标准，</w:t>
            </w:r>
            <w:r>
              <w:rPr>
                <w:rFonts w:hint="default"/>
                <w:color w:val="auto"/>
              </w:rPr>
              <w:t>所在区域属于《宁德市“三线一单”成果报告》中划定的土壤环境一般管控区。重点解决问题：严格空间布局约束，加强土壤污染风险管控。</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项目</w:t>
            </w:r>
            <w:r>
              <w:rPr>
                <w:rFonts w:hint="eastAsia"/>
                <w:color w:val="auto"/>
                <w:lang w:val="en-US" w:eastAsia="zh-CN"/>
              </w:rPr>
              <w:t>生产废水循环使用，不外排</w:t>
            </w:r>
            <w:r>
              <w:rPr>
                <w:rFonts w:hint="default"/>
                <w:color w:val="auto"/>
              </w:rPr>
              <w:t>，危险废物和一般固废分类收集、贮存和处置，用地按规范要求分区防渗，减轻对各环境要素的影响，不会改变环境区划功能，符合土壤环境一般管控区环境风险管控底线要求。</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综上，项目所在区域的水环境质量、环境空气质量、声环境质量等均能满足相应的标准要求，项目所在区域环境质量现状较好。而且，本项目采取环评提出的各项污染防治措施后，均可达标排放。项目排放的污染物不会对区域环境质量底线造成冲击。</w:t>
            </w:r>
          </w:p>
          <w:p>
            <w:pPr>
              <w:pStyle w:val="5"/>
              <w:numPr>
                <w:ilvl w:val="2"/>
                <w:numId w:val="4"/>
              </w:numPr>
              <w:suppressLineNumbers w:val="0"/>
              <w:spacing w:before="0" w:beforeAutospacing="0" w:after="0" w:afterAutospacing="0" w:line="336" w:lineRule="auto"/>
              <w:ind w:right="0"/>
              <w:rPr>
                <w:rFonts w:hint="default"/>
                <w:color w:val="auto"/>
                <w:highlight w:val="none"/>
              </w:rPr>
            </w:pPr>
            <w:r>
              <w:rPr>
                <w:rFonts w:hint="default"/>
                <w:color w:val="auto"/>
                <w:highlight w:val="none"/>
              </w:rPr>
              <w:t>资源利用上线</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①水资源利用上线</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根据《宁德市“三线一单”成果报告》，项目区水资源较丰富，不是生态用水补给区，不属于水资源重点管控区。管控要求：①总量强度双控：严格落实“节水优先，空间均衡，系统治理，两手发力”的治水方针，把水资源作为最大的刚性约束指标，严格实行区域流域用水总量和强度控制。②落实河湖生态流量管控措施：强化流域水资源统一调度管理，应把保障生态流量目标作为刚性约束，合理配置水资源，科学制定江河流域水量调度方案和调度计划。</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项目用水来自福鼎</w:t>
            </w:r>
            <w:r>
              <w:rPr>
                <w:rFonts w:hint="eastAsia"/>
                <w:color w:val="auto"/>
              </w:rPr>
              <w:t>文渡工业集中区</w:t>
            </w:r>
            <w:r>
              <w:rPr>
                <w:rFonts w:hint="default"/>
                <w:color w:val="auto"/>
              </w:rPr>
              <w:t>，</w:t>
            </w:r>
            <w:r>
              <w:rPr>
                <w:rFonts w:hint="eastAsia"/>
                <w:color w:val="auto"/>
                <w:lang w:val="en-US" w:eastAsia="zh-CN"/>
              </w:rPr>
              <w:t>生产废水循环使用，不外排，生活污水经化粪池处理后进入文渡污水处理厂，</w:t>
            </w:r>
            <w:r>
              <w:rPr>
                <w:rFonts w:hint="default"/>
                <w:color w:val="auto"/>
              </w:rPr>
              <w:t>与宁德市水资源利用上线管控要求相符。</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②土地资源利用上线</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根据《宁德市“三线一单”成果报告》，将生态保护红线集中</w:t>
            </w:r>
            <w:r>
              <w:rPr>
                <w:rFonts w:hint="eastAsia"/>
                <w:color w:val="auto"/>
                <w:lang w:val="en-US" w:eastAsia="zh-CN"/>
              </w:rPr>
              <w:t>地</w:t>
            </w:r>
            <w:r>
              <w:rPr>
                <w:rFonts w:hint="default"/>
                <w:color w:val="auto"/>
              </w:rPr>
              <w:t>、重度污染农用地或污染地块确定为土地资源重点管控区，其他区域划分为一般管控区，项目所在地为一般管控区。本项目建设不新增用地，</w:t>
            </w:r>
            <w:r>
              <w:rPr>
                <w:rFonts w:hint="eastAsia"/>
                <w:color w:val="auto"/>
                <w:lang w:val="en-US" w:eastAsia="zh-CN"/>
              </w:rPr>
              <w:t>利用现有生产车间</w:t>
            </w:r>
            <w:r>
              <w:rPr>
                <w:rFonts w:hint="default"/>
                <w:color w:val="auto"/>
              </w:rPr>
              <w:t>进行</w:t>
            </w:r>
            <w:r>
              <w:rPr>
                <w:rFonts w:hint="eastAsia"/>
                <w:color w:val="auto"/>
                <w:lang w:val="en-US" w:eastAsia="zh-CN"/>
              </w:rPr>
              <w:t>改扩建</w:t>
            </w:r>
            <w:r>
              <w:rPr>
                <w:rFonts w:hint="default"/>
                <w:color w:val="auto"/>
              </w:rPr>
              <w:t>生产，占地类型为工业用地，符合一般管控区要求，不会突破土地资源利用上线。</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③能源资源利用上线</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根据《宁德市“三线一单”成果报告》，项目所在地不属于成果报告中划定的高污染燃料禁燃区，且项目使用电作能源，未涉及高污染燃料，项目与宁德市能源资源利用上线要求相符。</w:t>
            </w:r>
          </w:p>
          <w:p>
            <w:pPr>
              <w:pStyle w:val="5"/>
              <w:numPr>
                <w:ilvl w:val="2"/>
                <w:numId w:val="4"/>
              </w:numPr>
              <w:suppressLineNumbers w:val="0"/>
              <w:spacing w:before="0" w:beforeAutospacing="0" w:after="0" w:afterAutospacing="0" w:line="336" w:lineRule="auto"/>
              <w:ind w:right="0"/>
              <w:rPr>
                <w:rFonts w:hint="default"/>
                <w:color w:val="auto"/>
                <w:highlight w:val="none"/>
              </w:rPr>
            </w:pPr>
            <w:r>
              <w:rPr>
                <w:rFonts w:hint="default"/>
                <w:color w:val="auto"/>
                <w:highlight w:val="none"/>
              </w:rPr>
              <w:t>与</w:t>
            </w:r>
            <w:r>
              <w:rPr>
                <w:rFonts w:hint="eastAsia"/>
                <w:color w:val="auto"/>
                <w:highlight w:val="none"/>
                <w:lang w:val="en-US" w:eastAsia="zh-CN"/>
              </w:rPr>
              <w:t>生态</w:t>
            </w:r>
            <w:r>
              <w:rPr>
                <w:rFonts w:hint="default"/>
                <w:color w:val="auto"/>
                <w:highlight w:val="none"/>
              </w:rPr>
              <w:t>环境准入清单的符合性分析</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rPr>
              <w:t>根据</w:t>
            </w:r>
            <w:r>
              <w:rPr>
                <w:rFonts w:hint="eastAsia"/>
                <w:color w:val="auto"/>
                <w:lang w:eastAsia="zh-CN"/>
              </w:rPr>
              <w:t>《</w:t>
            </w:r>
            <w:r>
              <w:rPr>
                <w:rFonts w:hint="eastAsia"/>
                <w:color w:val="auto"/>
                <w:lang w:val="en-US" w:eastAsia="zh-CN"/>
              </w:rPr>
              <w:t>宁德市人民政府关于印发宁德市“三线一单”生态环境分区管控方案的通知</w:t>
            </w:r>
            <w:r>
              <w:rPr>
                <w:rFonts w:hint="eastAsia"/>
                <w:color w:val="auto"/>
                <w:lang w:eastAsia="zh-CN"/>
              </w:rPr>
              <w:t>》（</w:t>
            </w:r>
            <w:r>
              <w:rPr>
                <w:rFonts w:hint="eastAsia"/>
                <w:color w:val="auto"/>
                <w:lang w:val="en-US" w:eastAsia="zh-CN"/>
              </w:rPr>
              <w:t>宁政[2021]11号）及</w:t>
            </w:r>
            <w:r>
              <w:rPr>
                <w:rFonts w:hint="default"/>
                <w:color w:val="auto"/>
              </w:rPr>
              <w:t>《宁德市“三线一单”成果报告》</w:t>
            </w:r>
            <w:r>
              <w:rPr>
                <w:rFonts w:hint="eastAsia"/>
                <w:color w:val="auto"/>
                <w:lang w:val="en-US" w:eastAsia="zh-CN"/>
              </w:rPr>
              <w:t>，</w:t>
            </w:r>
            <w:r>
              <w:rPr>
                <w:rFonts w:hint="eastAsia"/>
                <w:color w:val="auto"/>
              </w:rPr>
              <w:t>福鼎文渡工业集中区属于重点环境管控单元(环境管控单元编码：ZH35098220003)</w:t>
            </w:r>
            <w:r>
              <w:rPr>
                <w:rFonts w:hint="eastAsia"/>
                <w:color w:val="auto"/>
                <w:lang w:eastAsia="zh-CN"/>
              </w:rPr>
              <w:t>。</w:t>
            </w:r>
            <w:r>
              <w:rPr>
                <w:rFonts w:hint="eastAsia"/>
                <w:color w:val="auto"/>
                <w:lang w:val="en-US" w:eastAsia="zh-CN"/>
              </w:rPr>
              <w:t>福鼎工业园区文渡片区不再新增规划居住区等环境敏感目标，不再发展劳动密集型产业，现有相关产业逐步搬迁。</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本项目位于文渡工业园区，不属于劳动密集型产业。项目的建设符合国家及地方产业政策，属于</w:t>
            </w:r>
            <w:r>
              <w:rPr>
                <w:rFonts w:hint="default"/>
                <w:color w:val="auto"/>
              </w:rPr>
              <w:t>福鼎市文渡工业集中区的</w:t>
            </w:r>
            <w:r>
              <w:rPr>
                <w:rFonts w:hint="eastAsia"/>
                <w:color w:val="auto"/>
                <w:lang w:val="en-US" w:eastAsia="zh-CN"/>
              </w:rPr>
              <w:t>准入行业</w:t>
            </w:r>
            <w:r>
              <w:rPr>
                <w:rFonts w:hint="eastAsia"/>
                <w:color w:val="auto"/>
                <w:lang w:eastAsia="zh-CN"/>
              </w:rPr>
              <w:t>，</w:t>
            </w:r>
            <w:r>
              <w:rPr>
                <w:rFonts w:hint="eastAsia"/>
                <w:color w:val="auto"/>
              </w:rPr>
              <w:t>不属于以上约束管控的禁止项目</w:t>
            </w:r>
            <w:r>
              <w:rPr>
                <w:rFonts w:hint="eastAsia"/>
                <w:color w:val="auto"/>
                <w:lang w:eastAsia="zh-CN"/>
              </w:rPr>
              <w:t>。</w:t>
            </w:r>
            <w:r>
              <w:rPr>
                <w:rFonts w:hint="eastAsia"/>
                <w:color w:val="auto"/>
                <w:lang w:val="en-US" w:eastAsia="zh-CN"/>
              </w:rPr>
              <w:t>因此，本项目符合</w:t>
            </w:r>
            <w:r>
              <w:rPr>
                <w:rFonts w:hint="eastAsia"/>
                <w:color w:val="auto"/>
              </w:rPr>
              <w:t>生态环境准入</w:t>
            </w:r>
            <w:r>
              <w:rPr>
                <w:rFonts w:hint="eastAsia"/>
                <w:color w:val="auto"/>
                <w:lang w:val="en-US" w:eastAsia="zh-CN"/>
              </w:rPr>
              <w:t>要求，具体见下表。</w:t>
            </w:r>
          </w:p>
          <w:p>
            <w:pPr>
              <w:pStyle w:val="25"/>
              <w:keepNext w:val="0"/>
              <w:keepLines w:val="0"/>
              <w:suppressLineNumbers w:val="0"/>
              <w:bidi w:val="0"/>
              <w:spacing w:before="0" w:beforeAutospacing="0" w:after="0" w:afterAutospacing="0"/>
              <w:ind w:left="0" w:right="0"/>
              <w:rPr>
                <w:rFonts w:hint="eastAsia"/>
                <w:color w:val="auto"/>
                <w:lang w:val="en-US" w:eastAsia="zh-CN"/>
              </w:rPr>
            </w:pPr>
          </w:p>
          <w:p>
            <w:pPr>
              <w:pStyle w:val="25"/>
              <w:keepNext w:val="0"/>
              <w:keepLines w:val="0"/>
              <w:suppressLineNumbers w:val="0"/>
              <w:bidi w:val="0"/>
              <w:spacing w:before="0" w:beforeAutospacing="0" w:after="0" w:afterAutospacing="0"/>
              <w:ind w:left="0" w:right="0"/>
              <w:rPr>
                <w:rFonts w:hint="eastAsia"/>
                <w:color w:val="auto"/>
                <w:lang w:val="en-US" w:eastAsia="zh-CN"/>
              </w:rPr>
            </w:pPr>
          </w:p>
          <w:p>
            <w:pPr>
              <w:pStyle w:val="25"/>
              <w:keepNext w:val="0"/>
              <w:keepLines w:val="0"/>
              <w:suppressLineNumbers w:val="0"/>
              <w:bidi w:val="0"/>
              <w:spacing w:before="0" w:beforeAutospacing="0" w:after="0" w:afterAutospacing="0"/>
              <w:ind w:left="0" w:right="0"/>
              <w:rPr>
                <w:rFonts w:hint="eastAsia"/>
                <w:color w:val="auto"/>
                <w:lang w:val="en-US" w:eastAsia="zh-CN"/>
              </w:rPr>
            </w:pPr>
          </w:p>
          <w:p>
            <w:pPr>
              <w:pStyle w:val="22"/>
              <w:keepNext w:val="0"/>
              <w:keepLines w:val="0"/>
              <w:suppressLineNumbers w:val="0"/>
              <w:bidi w:val="0"/>
              <w:spacing w:before="0" w:beforeAutospacing="0" w:after="0" w:afterAutospacing="0"/>
              <w:ind w:right="0"/>
              <w:rPr>
                <w:rFonts w:hint="default"/>
                <w:color w:val="auto"/>
                <w:highlight w:val="none"/>
                <w:lang w:val="en-US"/>
              </w:rPr>
            </w:pPr>
            <w:r>
              <w:rPr>
                <w:rFonts w:hint="eastAsia"/>
                <w:color w:val="auto"/>
                <w:highlight w:val="none"/>
                <w:lang w:eastAsia="zh-CN"/>
              </w:rPr>
              <w:t>项目与《</w:t>
            </w:r>
            <w:r>
              <w:rPr>
                <w:rFonts w:hint="eastAsia"/>
                <w:color w:val="auto"/>
                <w:highlight w:val="none"/>
                <w:lang w:val="en-US" w:eastAsia="zh-CN"/>
              </w:rPr>
              <w:t>宁德</w:t>
            </w:r>
            <w:r>
              <w:rPr>
                <w:rFonts w:hint="eastAsia"/>
                <w:color w:val="auto"/>
                <w:highlight w:val="none"/>
                <w:lang w:eastAsia="zh-CN"/>
              </w:rPr>
              <w:t>市生态环境总体准入要求》符合性分析</w:t>
            </w:r>
          </w:p>
          <w:p>
            <w:pPr>
              <w:pStyle w:val="22"/>
              <w:keepNext w:val="0"/>
              <w:keepLines w:val="0"/>
              <w:numPr>
                <w:ilvl w:val="7"/>
                <w:numId w:val="0"/>
              </w:numPr>
              <w:suppressLineNumbers w:val="0"/>
              <w:bidi w:val="0"/>
              <w:spacing w:before="0" w:beforeAutospacing="0" w:after="0" w:afterAutospacing="0"/>
              <w:ind w:leftChars="0" w:right="0" w:rightChars="0"/>
              <w:jc w:val="both"/>
              <w:rPr>
                <w:rFonts w:hint="default"/>
                <w:color w:val="auto"/>
                <w:highlight w:val="none"/>
                <w:lang w:val="en-US"/>
              </w:rPr>
            </w:pPr>
          </w:p>
          <w:p>
            <w:pPr>
              <w:pStyle w:val="22"/>
              <w:keepNext w:val="0"/>
              <w:keepLines w:val="0"/>
              <w:suppressLineNumbers w:val="0"/>
              <w:bidi w:val="0"/>
              <w:spacing w:before="0" w:beforeAutospacing="0" w:after="0" w:afterAutospacing="0"/>
              <w:ind w:right="0"/>
              <w:rPr>
                <w:rFonts w:hint="default"/>
                <w:color w:val="auto"/>
                <w:highlight w:val="none"/>
                <w:lang w:val="en-US"/>
              </w:rPr>
            </w:pPr>
            <w:r>
              <w:rPr>
                <w:rFonts w:hint="eastAsia"/>
                <w:color w:val="auto"/>
                <w:highlight w:val="none"/>
                <w:lang w:eastAsia="zh-CN"/>
              </w:rPr>
              <w:t>项目与《</w:t>
            </w:r>
            <w:r>
              <w:rPr>
                <w:rFonts w:hint="eastAsia"/>
                <w:color w:val="auto"/>
                <w:highlight w:val="none"/>
                <w:lang w:val="en-US" w:eastAsia="zh-CN"/>
              </w:rPr>
              <w:t>宁德</w:t>
            </w:r>
            <w:r>
              <w:rPr>
                <w:rFonts w:hint="eastAsia"/>
                <w:color w:val="auto"/>
                <w:highlight w:val="none"/>
                <w:lang w:eastAsia="zh-CN"/>
              </w:rPr>
              <w:t>市</w:t>
            </w:r>
            <w:r>
              <w:rPr>
                <w:rFonts w:hint="eastAsia"/>
                <w:color w:val="auto"/>
                <w:highlight w:val="none"/>
                <w:lang w:val="en-US" w:eastAsia="zh-CN"/>
              </w:rPr>
              <w:t>主要工业园区环境管控单元</w:t>
            </w:r>
            <w:r>
              <w:rPr>
                <w:rFonts w:hint="eastAsia"/>
                <w:color w:val="auto"/>
                <w:highlight w:val="none"/>
                <w:lang w:eastAsia="zh-CN"/>
              </w:rPr>
              <w:t>准入要求》符合性分析</w:t>
            </w:r>
          </w:p>
          <w:p>
            <w:pPr>
              <w:rPr>
                <w:rFonts w:hint="default"/>
                <w:lang w:val="en-US"/>
              </w:rPr>
            </w:pPr>
          </w:p>
          <w:p>
            <w:pPr>
              <w:keepNext w:val="0"/>
              <w:keepLines w:val="0"/>
              <w:widowControl w:val="0"/>
              <w:suppressLineNumbers w:val="0"/>
              <w:spacing w:before="0" w:beforeAutospacing="0" w:after="0" w:afterAutospacing="0" w:line="360" w:lineRule="auto"/>
              <w:ind w:left="0" w:right="0" w:firstLine="480" w:firstLineChars="200"/>
              <w:jc w:val="both"/>
              <w:rPr>
                <w:rFonts w:hint="default"/>
                <w:color w:val="auto"/>
                <w:kern w:val="0"/>
                <w:szCs w:val="21"/>
                <w:highlight w:val="yellow"/>
              </w:rPr>
            </w:pPr>
            <w:r>
              <w:rPr>
                <w:rFonts w:hint="eastAsia" w:ascii="Times New Roman" w:hAnsi="Times New Roman" w:eastAsia="宋体" w:cs="宋体"/>
                <w:color w:val="auto"/>
                <w:kern w:val="2"/>
                <w:sz w:val="24"/>
                <w:szCs w:val="24"/>
                <w:highlight w:val="none"/>
                <w:lang w:val="en-US" w:eastAsia="zh-CN" w:bidi="ar"/>
              </w:rPr>
              <w:t>综上所述，本项目的建设符合“三线一单”的管</w:t>
            </w:r>
            <w:r>
              <w:rPr>
                <w:rFonts w:hint="eastAsia" w:cs="宋体"/>
                <w:color w:val="auto"/>
                <w:kern w:val="2"/>
                <w:sz w:val="24"/>
                <w:szCs w:val="24"/>
                <w:highlight w:val="none"/>
                <w:lang w:val="en-US" w:eastAsia="zh-CN" w:bidi="ar"/>
              </w:rPr>
              <w:t>控</w:t>
            </w:r>
            <w:r>
              <w:rPr>
                <w:rFonts w:hint="eastAsia" w:ascii="Times New Roman" w:hAnsi="Times New Roman" w:eastAsia="宋体" w:cs="宋体"/>
                <w:color w:val="auto"/>
                <w:kern w:val="2"/>
                <w:sz w:val="24"/>
                <w:szCs w:val="24"/>
                <w:highlight w:val="none"/>
                <w:lang w:val="en-US" w:eastAsia="zh-CN" w:bidi="ar"/>
              </w:rPr>
              <w:t>要求。</w:t>
            </w:r>
          </w:p>
        </w:tc>
      </w:tr>
    </w:tbl>
    <w:p>
      <w:pPr>
        <w:spacing w:line="360" w:lineRule="auto"/>
        <w:outlineLvl w:val="9"/>
        <w:rPr>
          <w:rFonts w:eastAsia="黑体"/>
          <w:color w:val="auto"/>
          <w:sz w:val="30"/>
          <w:highlight w:val="yellow"/>
        </w:rPr>
        <w:sectPr>
          <w:footerReference r:id="rId5" w:type="default"/>
          <w:pgSz w:w="11905" w:h="16838"/>
          <w:pgMar w:top="1417" w:right="1417" w:bottom="1417" w:left="1417" w:header="851" w:footer="1077" w:gutter="0"/>
          <w:pgBorders>
            <w:top w:val="none" w:sz="0" w:space="0"/>
            <w:left w:val="none" w:sz="0" w:space="0"/>
            <w:bottom w:val="none" w:sz="0" w:space="0"/>
            <w:right w:val="none" w:sz="0" w:space="0"/>
          </w:pgBorders>
          <w:pgNumType w:fmt="numberInDash" w:start="1"/>
          <w:cols w:space="0" w:num="1"/>
          <w:docGrid w:linePitch="312" w:charSpace="0"/>
        </w:sectPr>
      </w:pPr>
    </w:p>
    <w:p>
      <w:pPr>
        <w:pStyle w:val="3"/>
        <w:numPr>
          <w:ilvl w:val="0"/>
          <w:numId w:val="4"/>
        </w:numPr>
        <w:rPr>
          <w:color w:val="auto"/>
          <w:highlight w:val="none"/>
        </w:rPr>
      </w:pPr>
      <w:r>
        <w:rPr>
          <w:rFonts w:hint="eastAsia"/>
          <w:color w:val="auto"/>
          <w:highlight w:val="none"/>
        </w:rPr>
        <w:t>建设项目工程分析</w:t>
      </w:r>
    </w:p>
    <w:tbl>
      <w:tblPr>
        <w:tblStyle w:val="18"/>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8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410" w:type="dxa"/>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1"/>
                <w:szCs w:val="21"/>
                <w:highlight w:val="none"/>
              </w:rPr>
            </w:pPr>
            <w:bookmarkStart w:id="3" w:name="_Hlk86096164"/>
            <w:r>
              <w:rPr>
                <w:rFonts w:hint="eastAsia" w:cs="宋体"/>
                <w:color w:val="auto"/>
                <w:sz w:val="21"/>
                <w:szCs w:val="21"/>
                <w:highlight w:val="none"/>
              </w:rPr>
              <w:t>建设内容</w:t>
            </w:r>
          </w:p>
        </w:tc>
        <w:tc>
          <w:tcPr>
            <w:tcW w:w="8877" w:type="dxa"/>
          </w:tcPr>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项目由来</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福建省超达锻造有限公司原为福鼎市利王机械制造有限公司。福鼎市利王机械制造有限公司于2016年8月11日成立，</w:t>
            </w:r>
            <w:r>
              <w:rPr>
                <w:rFonts w:hint="default"/>
                <w:color w:val="auto"/>
              </w:rPr>
              <w:t>于</w:t>
            </w:r>
            <w:r>
              <w:rPr>
                <w:rFonts w:hint="eastAsia"/>
                <w:color w:val="auto"/>
                <w:lang w:val="en-US" w:eastAsia="zh-CN"/>
              </w:rPr>
              <w:t>2016年进首次建设</w:t>
            </w:r>
            <w:r>
              <w:rPr>
                <w:rFonts w:hint="eastAsia" w:ascii="Times New Roman" w:hAnsi="Times New Roman" w:cs="Times New Roman"/>
                <w:color w:val="auto"/>
                <w:highlight w:val="none"/>
                <w:lang w:val="en-US" w:eastAsia="zh-CN"/>
              </w:rPr>
              <w:t>金属制品制造项目</w:t>
            </w:r>
            <w:r>
              <w:rPr>
                <w:rFonts w:hint="eastAsia" w:cs="Times New Roman"/>
                <w:color w:val="auto"/>
                <w:highlight w:val="none"/>
                <w:lang w:val="en-US" w:eastAsia="zh-CN"/>
              </w:rPr>
              <w:t>，建设规模：年产2000吨产能，委托环评单位评价</w:t>
            </w:r>
            <w:r>
              <w:rPr>
                <w:rFonts w:hint="eastAsia"/>
                <w:color w:val="auto"/>
                <w:lang w:val="en-US" w:eastAsia="zh-CN"/>
              </w:rPr>
              <w:t>并于2017年1月9日取得原福鼎环境保护局的审批；于2017年12月进行验收，验收规模：年产2000吨产能；由于市场较好，为适应市场，需扩建产能，于2019年9月进行扩建环评，扩建规模：年产2000吨产能，2019年12月18日该项目通过宁德市福鼎生态环境局的环保批复；于2020年3月进行阶段自主验收，验收规模：年产1000吨阀门配件锻件。现有工程已批4000吨产能，已验收3000吨产能，还有1000吨产能未建设验收。</w:t>
            </w:r>
          </w:p>
          <w:p>
            <w:pPr>
              <w:pStyle w:val="25"/>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lang w:val="en-US" w:eastAsia="zh-CN"/>
              </w:rPr>
              <w:t>由于企业发展需要，扩展经营范围，福鼎市利王机械制造有限公司变更为福建省超达锻造有限公司。为适应市场变化及产品订单需求，福建省超达锻造有限公司拟调整现有厂房布局，新增2条生产线，新增2000吨阀门锻件，</w:t>
            </w:r>
            <w:r>
              <w:rPr>
                <w:rFonts w:hint="eastAsia"/>
                <w:color w:val="auto"/>
                <w:highlight w:val="none"/>
                <w:lang w:val="en-US" w:eastAsia="zh-CN"/>
              </w:rPr>
              <w:t>改扩建后形成全厂年产6000吨阀门锻件加工生产能力。</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根据《中华人民共和国环境影响评价法》(2018年12月29日修订)、《建设项目环境影响评价分类管理名录》(2021)，该建设项目属于“三十、</w:t>
            </w:r>
            <w:r>
              <w:rPr>
                <w:rFonts w:hint="eastAsia"/>
                <w:color w:val="auto"/>
              </w:rPr>
              <w:t>金属制品业</w:t>
            </w:r>
            <w:r>
              <w:rPr>
                <w:rFonts w:hint="default"/>
                <w:color w:val="auto"/>
              </w:rPr>
              <w:t>”中“6</w:t>
            </w:r>
            <w:r>
              <w:rPr>
                <w:rFonts w:hint="eastAsia"/>
                <w:color w:val="auto"/>
              </w:rPr>
              <w:t>8</w:t>
            </w:r>
            <w:r>
              <w:rPr>
                <w:rFonts w:hint="default"/>
                <w:color w:val="auto"/>
              </w:rPr>
              <w:t>—</w:t>
            </w:r>
            <w:r>
              <w:rPr>
                <w:rFonts w:hint="eastAsia"/>
                <w:color w:val="auto"/>
              </w:rPr>
              <w:t>铸造及其他金属制品制造</w:t>
            </w:r>
            <w:r>
              <w:rPr>
                <w:rFonts w:hint="default"/>
                <w:color w:val="auto"/>
              </w:rPr>
              <w:t>”中“</w:t>
            </w:r>
            <w:r>
              <w:rPr>
                <w:rFonts w:hint="eastAsia"/>
                <w:color w:val="auto"/>
              </w:rPr>
              <w:t>其他（仅分割、焊接、组装的除外）</w:t>
            </w:r>
            <w:r>
              <w:rPr>
                <w:rFonts w:hint="default"/>
                <w:color w:val="auto"/>
              </w:rPr>
              <w:t>”项目，应编制环境影响报告表。</w:t>
            </w:r>
            <w:r>
              <w:rPr>
                <w:rFonts w:hint="eastAsia"/>
                <w:color w:val="auto"/>
                <w:lang w:val="en-US" w:eastAsia="zh-CN"/>
              </w:rPr>
              <w:t>因此，建设单位</w:t>
            </w:r>
            <w:r>
              <w:rPr>
                <w:rFonts w:hint="default"/>
                <w:color w:val="auto"/>
              </w:rPr>
              <w:t>委托</w:t>
            </w:r>
            <w:r>
              <w:rPr>
                <w:rFonts w:hint="eastAsia"/>
                <w:color w:val="auto"/>
                <w:lang w:val="en-US" w:eastAsia="zh-CN"/>
              </w:rPr>
              <w:t>福建省闽创环保科技有限公司</w:t>
            </w:r>
            <w:r>
              <w:rPr>
                <w:rFonts w:hint="default"/>
                <w:color w:val="auto"/>
              </w:rPr>
              <w:t>编制《</w:t>
            </w:r>
            <w:r>
              <w:rPr>
                <w:rFonts w:hint="eastAsia"/>
                <w:color w:val="auto"/>
                <w:lang w:val="en-US" w:eastAsia="zh-CN"/>
              </w:rPr>
              <w:t>福建超达锻造有限公司阀门锻件技改</w:t>
            </w:r>
            <w:r>
              <w:rPr>
                <w:rFonts w:hint="eastAsia"/>
                <w:color w:val="auto"/>
              </w:rPr>
              <w:t>项目</w:t>
            </w:r>
            <w:r>
              <w:rPr>
                <w:rFonts w:hint="default"/>
                <w:color w:val="auto"/>
              </w:rPr>
              <w:t>环境影响报告表》，供建设单位报宁德市福鼎生态环境局审批。</w:t>
            </w:r>
          </w:p>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项目概况</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项目名称：</w:t>
            </w:r>
            <w:r>
              <w:rPr>
                <w:rFonts w:hint="eastAsia"/>
                <w:color w:val="auto"/>
                <w:highlight w:val="none"/>
                <w:lang w:val="en-US" w:eastAsia="zh-CN"/>
              </w:rPr>
              <w:t>福建超达锻造有限公司阀门锻件技改</w:t>
            </w:r>
            <w:r>
              <w:rPr>
                <w:rFonts w:hint="eastAsia"/>
                <w:color w:val="auto"/>
                <w:highlight w:val="none"/>
              </w:rPr>
              <w:t>项目</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建设单位：</w:t>
            </w:r>
            <w:r>
              <w:rPr>
                <w:rFonts w:hint="eastAsia"/>
                <w:color w:val="auto"/>
                <w:highlight w:val="none"/>
                <w:lang w:val="en-US" w:eastAsia="zh-CN"/>
              </w:rPr>
              <w:t>福建超达锻造有限公司</w:t>
            </w:r>
          </w:p>
          <w:p>
            <w:pPr>
              <w:pStyle w:val="25"/>
              <w:keepNext w:val="0"/>
              <w:keepLines w:val="0"/>
              <w:suppressLineNumbers w:val="0"/>
              <w:spacing w:before="0" w:beforeAutospacing="0" w:after="0" w:afterAutospacing="0"/>
              <w:ind w:left="0" w:right="0" w:firstLine="480"/>
              <w:rPr>
                <w:rFonts w:hint="default"/>
                <w:color w:val="auto"/>
                <w:highlight w:val="none"/>
                <w:lang w:val="en-US"/>
              </w:rPr>
            </w:pPr>
            <w:r>
              <w:rPr>
                <w:rFonts w:hint="default"/>
                <w:color w:val="auto"/>
                <w:highlight w:val="none"/>
              </w:rPr>
              <w:t>建设地点：</w:t>
            </w:r>
            <w:r>
              <w:rPr>
                <w:rFonts w:hint="eastAsia"/>
                <w:color w:val="auto"/>
                <w:highlight w:val="none"/>
                <w:lang w:val="en-US" w:eastAsia="zh-CN"/>
              </w:rPr>
              <w:t>福建省宁德市福鼎市文渡工业区银川路26号</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建设性质：</w:t>
            </w:r>
            <w:r>
              <w:rPr>
                <w:rFonts w:hint="eastAsia"/>
                <w:color w:val="auto"/>
                <w:highlight w:val="none"/>
              </w:rPr>
              <w:t>改扩建</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项目投资：</w:t>
            </w:r>
            <w:r>
              <w:rPr>
                <w:rFonts w:hint="eastAsia"/>
                <w:color w:val="auto"/>
                <w:highlight w:val="none"/>
              </w:rPr>
              <w:t>总投资</w:t>
            </w:r>
            <w:r>
              <w:rPr>
                <w:rFonts w:hint="eastAsia"/>
                <w:color w:val="auto"/>
                <w:highlight w:val="none"/>
                <w:lang w:val="en-US" w:eastAsia="zh-CN"/>
              </w:rPr>
              <w:t>2600</w:t>
            </w:r>
            <w:r>
              <w:rPr>
                <w:rFonts w:hint="default"/>
                <w:color w:val="auto"/>
                <w:highlight w:val="none"/>
              </w:rPr>
              <w:t>万元；</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职工人数：</w:t>
            </w:r>
            <w:r>
              <w:rPr>
                <w:rFonts w:hint="eastAsia"/>
                <w:color w:val="auto"/>
                <w:highlight w:val="none"/>
                <w:lang w:val="en-US" w:eastAsia="zh-CN"/>
              </w:rPr>
              <w:t>劳动定员总数为100人，本次改扩建项目劳动定员为30人</w:t>
            </w:r>
            <w:r>
              <w:rPr>
                <w:rFonts w:hint="default"/>
                <w:color w:val="auto"/>
                <w:highlight w:val="none"/>
              </w:rPr>
              <w:t>，</w:t>
            </w:r>
            <w:r>
              <w:rPr>
                <w:rFonts w:hint="eastAsia"/>
                <w:color w:val="auto"/>
                <w:highlight w:val="none"/>
              </w:rPr>
              <w:t>均不在厂内食宿</w:t>
            </w:r>
            <w:r>
              <w:rPr>
                <w:rFonts w:hint="default"/>
                <w:color w:val="auto"/>
                <w:highlight w:val="none"/>
              </w:rPr>
              <w:t>；</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工作制度：年生产</w:t>
            </w:r>
            <w:r>
              <w:rPr>
                <w:rFonts w:hint="eastAsia"/>
                <w:color w:val="auto"/>
                <w:highlight w:val="none"/>
                <w:lang w:val="en-US" w:eastAsia="zh-CN"/>
              </w:rPr>
              <w:t>300</w:t>
            </w:r>
            <w:r>
              <w:rPr>
                <w:rFonts w:hint="default"/>
                <w:color w:val="auto"/>
                <w:highlight w:val="none"/>
              </w:rPr>
              <w:t>天，</w:t>
            </w:r>
            <w:r>
              <w:rPr>
                <w:rFonts w:hint="eastAsia"/>
                <w:color w:val="auto"/>
                <w:highlight w:val="none"/>
                <w:lang w:val="en-US" w:eastAsia="zh-CN"/>
              </w:rPr>
              <w:t>2</w:t>
            </w:r>
            <w:r>
              <w:rPr>
                <w:rFonts w:hint="default"/>
                <w:color w:val="auto"/>
                <w:highlight w:val="none"/>
              </w:rPr>
              <w:t>班制，每</w:t>
            </w:r>
            <w:r>
              <w:rPr>
                <w:rFonts w:hint="eastAsia"/>
                <w:color w:val="auto"/>
                <w:highlight w:val="none"/>
                <w:lang w:val="en-US" w:eastAsia="zh-CN"/>
              </w:rPr>
              <w:t>班</w:t>
            </w:r>
            <w:r>
              <w:rPr>
                <w:rFonts w:hint="default"/>
                <w:color w:val="auto"/>
                <w:highlight w:val="none"/>
              </w:rPr>
              <w:t>生产</w:t>
            </w:r>
            <w:r>
              <w:rPr>
                <w:rFonts w:hint="eastAsia"/>
                <w:color w:val="auto"/>
                <w:highlight w:val="none"/>
                <w:lang w:val="en-US" w:eastAsia="zh-CN"/>
              </w:rPr>
              <w:t>8</w:t>
            </w:r>
            <w:r>
              <w:rPr>
                <w:rFonts w:hint="default"/>
                <w:color w:val="auto"/>
                <w:highlight w:val="none"/>
              </w:rPr>
              <w:t>h；</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建设</w:t>
            </w:r>
            <w:r>
              <w:rPr>
                <w:rFonts w:hint="eastAsia"/>
                <w:color w:val="auto"/>
                <w:highlight w:val="none"/>
              </w:rPr>
              <w:t>内容及</w:t>
            </w:r>
            <w:r>
              <w:rPr>
                <w:rFonts w:hint="default"/>
                <w:color w:val="auto"/>
                <w:highlight w:val="none"/>
              </w:rPr>
              <w:t>规模：</w:t>
            </w:r>
            <w:r>
              <w:rPr>
                <w:rFonts w:hint="eastAsia"/>
                <w:color w:val="auto"/>
                <w:highlight w:val="none"/>
                <w:lang w:val="en-US" w:eastAsia="zh-CN"/>
              </w:rPr>
              <w:t>新增2条生产线，引进国际先进水平的锻件加工自动化生产线，新增年产2000吨阀门锻件加工生产能力</w:t>
            </w:r>
            <w:r>
              <w:rPr>
                <w:rFonts w:hint="eastAsia"/>
                <w:color w:val="auto"/>
                <w:highlight w:val="none"/>
              </w:rPr>
              <w:t>。</w:t>
            </w:r>
          </w:p>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产品方案及经济技术指标</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eastAsia"/>
                <w:color w:val="auto"/>
                <w:highlight w:val="none"/>
              </w:rPr>
              <w:t>（1）产品方案</w:t>
            </w:r>
          </w:p>
          <w:p>
            <w:pPr>
              <w:keepNext w:val="0"/>
              <w:keepLines w:val="0"/>
              <w:suppressLineNumbers w:val="0"/>
              <w:spacing w:before="0" w:beforeAutospacing="0" w:after="0" w:afterAutospacing="0" w:line="360" w:lineRule="auto"/>
              <w:ind w:left="480" w:right="0"/>
              <w:rPr>
                <w:rFonts w:hint="default" w:ascii="宋体" w:cs="宋体"/>
                <w:color w:val="auto"/>
                <w:kern w:val="0"/>
                <w:highlight w:val="none"/>
              </w:rPr>
            </w:pPr>
            <w:r>
              <w:rPr>
                <w:rFonts w:hint="eastAsia" w:ascii="宋体" w:cs="宋体"/>
                <w:color w:val="auto"/>
                <w:kern w:val="0"/>
                <w:sz w:val="24"/>
                <w:highlight w:val="none"/>
                <w:lang w:bidi="ar"/>
              </w:rPr>
              <w:t>本扩建项目产品方案见下表。</w:t>
            </w:r>
          </w:p>
          <w:p>
            <w:pPr>
              <w:pStyle w:val="22"/>
              <w:keepNext w:val="0"/>
              <w:keepLines w:val="0"/>
              <w:suppressLineNumbers w:val="0"/>
              <w:spacing w:before="0" w:beforeAutospacing="0" w:after="0" w:afterAutospacing="0"/>
              <w:ind w:right="0"/>
              <w:rPr>
                <w:rFonts w:hint="default"/>
                <w:color w:val="auto"/>
                <w:highlight w:val="none"/>
              </w:rPr>
            </w:pPr>
            <w:r>
              <w:rPr>
                <w:rFonts w:hint="eastAsia"/>
                <w:color w:val="auto"/>
                <w:highlight w:val="none"/>
              </w:rPr>
              <w:t>扩建前后产品方案</w:t>
            </w:r>
          </w:p>
          <w:p>
            <w:pPr>
              <w:keepNext w:val="0"/>
              <w:keepLines w:val="0"/>
              <w:suppressLineNumbers w:val="0"/>
              <w:spacing w:before="0" w:beforeAutospacing="0" w:after="0" w:afterAutospacing="0" w:line="360" w:lineRule="auto"/>
              <w:ind w:left="480" w:right="0"/>
              <w:rPr>
                <w:rFonts w:hint="default"/>
                <w:color w:val="auto"/>
                <w:highlight w:val="none"/>
              </w:rPr>
            </w:pPr>
            <w:r>
              <w:rPr>
                <w:rFonts w:hint="eastAsia" w:cs="宋体"/>
                <w:color w:val="auto"/>
                <w:sz w:val="24"/>
                <w:szCs w:val="21"/>
                <w:highlight w:val="none"/>
                <w:lang w:bidi="ar"/>
              </w:rPr>
              <w:t>（2）经济技术指标</w:t>
            </w:r>
          </w:p>
          <w:p>
            <w:pPr>
              <w:pStyle w:val="22"/>
              <w:keepNext w:val="0"/>
              <w:keepLines w:val="0"/>
              <w:suppressLineNumbers w:val="0"/>
              <w:spacing w:before="0" w:beforeAutospacing="0" w:after="0" w:afterAutospacing="0"/>
              <w:ind w:right="0"/>
              <w:rPr>
                <w:rFonts w:hint="default"/>
                <w:color w:val="auto"/>
                <w:highlight w:val="none"/>
              </w:rPr>
            </w:pPr>
            <w:r>
              <w:rPr>
                <w:rFonts w:hint="eastAsia"/>
                <w:color w:val="auto"/>
                <w:highlight w:val="none"/>
              </w:rPr>
              <w:t>主要经济技术指标</w:t>
            </w:r>
          </w:p>
          <w:p>
            <w:pPr>
              <w:pStyle w:val="4"/>
              <w:keepNext w:val="0"/>
              <w:keepLines w:val="0"/>
              <w:numPr>
                <w:ilvl w:val="1"/>
                <w:numId w:val="0"/>
              </w:numPr>
              <w:suppressLineNumbers w:val="0"/>
              <w:tabs>
                <w:tab w:val="left" w:pos="420"/>
              </w:tabs>
              <w:spacing w:before="0" w:beforeAutospacing="0" w:after="0" w:afterAutospacing="0"/>
              <w:ind w:left="0" w:leftChars="0" w:right="0" w:rightChars="0"/>
              <w:rPr>
                <w:rFonts w:hint="default"/>
                <w:color w:val="auto"/>
                <w:highlight w:val="yellow"/>
              </w:rPr>
            </w:pPr>
          </w:p>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项目建设内容</w:t>
            </w:r>
            <w:r>
              <w:rPr>
                <w:rFonts w:hint="default"/>
                <w:color w:val="auto"/>
                <w:highlight w:val="none"/>
              </w:rPr>
              <w:drawing>
                <wp:inline distT="0" distB="0" distL="114300" distR="114300">
                  <wp:extent cx="635" cy="0"/>
                  <wp:effectExtent l="0" t="0" r="0" b="0"/>
                  <wp:docPr id="16" name="图片 15" descr="C:/Users/Dell/AppData/Local/Temp/picturecompress_2022011711334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C:/Users/Dell/AppData/Local/Temp/picturecompress_20220117113343/output_1.jpgoutput_1"/>
                          <pic:cNvPicPr>
                            <a:picLocks noChangeAspect="1"/>
                          </pic:cNvPicPr>
                        </pic:nvPicPr>
                        <pic:blipFill>
                          <a:blip r:embed="rId9"/>
                          <a:stretch>
                            <a:fillRect/>
                          </a:stretch>
                        </pic:blipFill>
                        <pic:spPr>
                          <a:xfrm>
                            <a:off x="0" y="0"/>
                            <a:ext cx="635" cy="0"/>
                          </a:xfrm>
                          <a:prstGeom prst="rect">
                            <a:avLst/>
                          </a:prstGeom>
                          <a:noFill/>
                          <a:ln>
                            <a:noFill/>
                          </a:ln>
                        </pic:spPr>
                      </pic:pic>
                    </a:graphicData>
                  </a:graphic>
                </wp:inline>
              </w:drawing>
            </w:r>
          </w:p>
          <w:p>
            <w:pPr>
              <w:pStyle w:val="5"/>
              <w:numPr>
                <w:ilvl w:val="2"/>
                <w:numId w:val="4"/>
              </w:numPr>
              <w:suppressLineNumbers w:val="0"/>
              <w:spacing w:before="0" w:beforeAutospacing="0" w:after="0" w:afterAutospacing="0"/>
              <w:ind w:right="0"/>
              <w:rPr>
                <w:rFonts w:hint="default"/>
                <w:color w:val="auto"/>
                <w:highlight w:val="none"/>
              </w:rPr>
            </w:pPr>
            <w:r>
              <w:rPr>
                <w:rFonts w:hint="default"/>
                <w:color w:val="auto"/>
                <w:highlight w:val="none"/>
              </w:rPr>
              <w:t>主要建设内容</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本项目建设内容主要包括生产车间内设备安装、环保工程。项目</w:t>
            </w:r>
            <w:r>
              <w:rPr>
                <w:rFonts w:hint="eastAsia"/>
                <w:color w:val="auto"/>
                <w:highlight w:val="none"/>
              </w:rPr>
              <w:t>扩建前后工程</w:t>
            </w:r>
            <w:r>
              <w:rPr>
                <w:rFonts w:hint="default"/>
                <w:color w:val="auto"/>
                <w:highlight w:val="none"/>
              </w:rPr>
              <w:t>组成见</w:t>
            </w:r>
            <w:r>
              <w:rPr>
                <w:rFonts w:hint="eastAsia"/>
                <w:color w:val="auto"/>
                <w:highlight w:val="none"/>
              </w:rPr>
              <w:t>下表</w:t>
            </w:r>
            <w:r>
              <w:rPr>
                <w:rFonts w:hint="default"/>
                <w:color w:val="auto"/>
                <w:highlight w:val="none"/>
              </w:rPr>
              <w:t>。</w:t>
            </w:r>
          </w:p>
          <w:p>
            <w:pPr>
              <w:pStyle w:val="22"/>
              <w:keepNext w:val="0"/>
              <w:keepLines w:val="0"/>
              <w:suppressLineNumbers w:val="0"/>
              <w:bidi w:val="0"/>
              <w:spacing w:before="0" w:beforeAutospacing="0" w:after="0" w:afterAutospacing="0"/>
              <w:ind w:right="0"/>
              <w:rPr>
                <w:rFonts w:hint="default"/>
                <w:color w:val="auto"/>
              </w:rPr>
            </w:pPr>
            <w:r>
              <w:rPr>
                <w:rFonts w:hint="eastAsia"/>
                <w:color w:val="auto"/>
              </w:rPr>
              <w:t>扩建前后项目组成一览表</w:t>
            </w:r>
          </w:p>
          <w:p>
            <w:pPr>
              <w:keepNext w:val="0"/>
              <w:keepLines w:val="0"/>
              <w:suppressLineNumbers w:val="0"/>
              <w:spacing w:before="0" w:beforeAutospacing="0" w:after="0" w:afterAutospacing="0"/>
              <w:ind w:left="0" w:right="0"/>
              <w:rPr>
                <w:rFonts w:hint="default"/>
                <w:color w:val="auto"/>
              </w:rPr>
            </w:pPr>
          </w:p>
          <w:p>
            <w:pPr>
              <w:pStyle w:val="25"/>
              <w:keepNext w:val="0"/>
              <w:keepLines w:val="0"/>
              <w:suppressLineNumbers w:val="0"/>
              <w:spacing w:before="0" w:beforeAutospacing="0" w:after="0" w:afterAutospacing="0"/>
              <w:ind w:left="0" w:right="0" w:firstLine="480"/>
              <w:rPr>
                <w:rFonts w:hint="eastAsia"/>
                <w:color w:val="auto"/>
                <w:highlight w:val="yellow"/>
              </w:rPr>
            </w:pPr>
          </w:p>
        </w:tc>
      </w:tr>
      <w:bookmarkEnd w:id="3"/>
    </w:tbl>
    <w:p>
      <w:pPr>
        <w:rPr>
          <w:color w:val="auto"/>
          <w:highlight w:val="yellow"/>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tbl>
      <w:tblPr>
        <w:tblStyle w:val="18"/>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8"/>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76" w:hRule="atLeast"/>
          <w:jc w:val="center"/>
        </w:trPr>
        <w:tc>
          <w:tcPr>
            <w:tcW w:w="225" w:type="pct"/>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1"/>
                <w:szCs w:val="21"/>
                <w:highlight w:val="yellow"/>
              </w:rPr>
            </w:pPr>
            <w:r>
              <w:rPr>
                <w:rFonts w:hint="eastAsia" w:cs="宋体"/>
                <w:color w:val="auto"/>
                <w:sz w:val="21"/>
                <w:szCs w:val="21"/>
                <w:highlight w:val="none"/>
              </w:rPr>
              <w:t>建设内容</w:t>
            </w:r>
          </w:p>
        </w:tc>
        <w:tc>
          <w:tcPr>
            <w:tcW w:w="4774" w:type="pct"/>
          </w:tcPr>
          <w:p>
            <w:pPr>
              <w:pStyle w:val="5"/>
              <w:numPr>
                <w:ilvl w:val="2"/>
                <w:numId w:val="4"/>
              </w:numPr>
              <w:suppressLineNumbers w:val="0"/>
              <w:spacing w:before="0" w:beforeAutospacing="0" w:after="0" w:afterAutospacing="0"/>
              <w:ind w:right="0"/>
              <w:rPr>
                <w:rFonts w:hint="default"/>
                <w:color w:val="auto"/>
                <w:highlight w:val="none"/>
              </w:rPr>
            </w:pPr>
            <w:r>
              <w:rPr>
                <w:rFonts w:hint="default"/>
                <w:color w:val="auto"/>
                <w:highlight w:val="none"/>
              </w:rPr>
              <w:t>平面布局</w:t>
            </w:r>
          </w:p>
          <w:p>
            <w:pPr>
              <w:pStyle w:val="25"/>
              <w:keepNext w:val="0"/>
              <w:keepLines w:val="0"/>
              <w:suppressLineNumbers w:val="0"/>
              <w:bidi w:val="0"/>
              <w:spacing w:before="0" w:beforeAutospacing="0" w:after="0" w:afterAutospacing="0"/>
              <w:ind w:left="0" w:right="0"/>
              <w:rPr>
                <w:rFonts w:hint="eastAsia"/>
                <w:color w:val="auto"/>
                <w:sz w:val="24"/>
                <w:szCs w:val="24"/>
                <w:lang w:val="en-US" w:eastAsia="zh-CN"/>
              </w:rPr>
            </w:pPr>
            <w:r>
              <w:rPr>
                <w:rFonts w:hint="eastAsia"/>
                <w:color w:val="auto"/>
                <w:highlight w:val="none"/>
                <w:lang w:val="en-US" w:eastAsia="zh-CN"/>
              </w:rPr>
              <w:t>项目厂区</w:t>
            </w:r>
            <w:r>
              <w:rPr>
                <w:rFonts w:hint="default"/>
                <w:color w:val="auto"/>
                <w:sz w:val="24"/>
                <w:szCs w:val="24"/>
              </w:rPr>
              <w:t>平面布局根据生产工艺需求和周边环境等特点进行布置，项目厂区呈四边形，</w:t>
            </w:r>
            <w:r>
              <w:rPr>
                <w:rFonts w:hint="eastAsia"/>
                <w:color w:val="auto"/>
                <w:sz w:val="24"/>
                <w:szCs w:val="24"/>
                <w:lang w:val="en-US" w:eastAsia="zh-CN"/>
              </w:rPr>
              <w:t>生产车间位于厂区南侧，办公楼位于厂区西北侧，停车区位于厂区东北侧，危废间位于办公楼西侧。</w:t>
            </w:r>
          </w:p>
          <w:p>
            <w:pPr>
              <w:pStyle w:val="25"/>
              <w:keepNext w:val="0"/>
              <w:keepLines w:val="0"/>
              <w:suppressLineNumbers w:val="0"/>
              <w:bidi w:val="0"/>
              <w:spacing w:before="0" w:beforeAutospacing="0" w:after="0" w:afterAutospacing="0"/>
              <w:ind w:left="0" w:right="0"/>
              <w:rPr>
                <w:rFonts w:hint="eastAsia"/>
                <w:color w:val="auto"/>
                <w:sz w:val="24"/>
                <w:szCs w:val="24"/>
                <w:highlight w:val="none"/>
                <w:lang w:val="en-US" w:eastAsia="zh-CN"/>
              </w:rPr>
            </w:pPr>
            <w:r>
              <w:rPr>
                <w:rFonts w:hint="eastAsia"/>
                <w:color w:val="auto"/>
                <w:sz w:val="24"/>
                <w:szCs w:val="24"/>
                <w:lang w:val="en-US" w:eastAsia="zh-CN"/>
              </w:rPr>
              <w:t>本次改扩建平面布局拟对生产车间进行变动，现有生产车间布置有自由段车间、红冲车间锯床、锻压等区域，</w:t>
            </w:r>
            <w:r>
              <w:rPr>
                <w:rFonts w:hint="eastAsia"/>
                <w:color w:val="auto"/>
                <w:sz w:val="24"/>
                <w:szCs w:val="24"/>
                <w:highlight w:val="none"/>
                <w:lang w:val="en-US" w:eastAsia="zh-CN"/>
              </w:rPr>
              <w:t>详见附图4</w:t>
            </w:r>
            <w:r>
              <w:rPr>
                <w:rFonts w:hint="eastAsia"/>
                <w:color w:val="auto"/>
                <w:sz w:val="24"/>
                <w:szCs w:val="24"/>
                <w:lang w:val="en-US" w:eastAsia="zh-CN"/>
              </w:rPr>
              <w:t>。扩建后红冲车间搬至自由锻车间，红冲车间位置变为模具车间，车间东北侧新增两条生产线，改</w:t>
            </w:r>
            <w:r>
              <w:rPr>
                <w:rFonts w:hint="eastAsia"/>
                <w:color w:val="auto"/>
                <w:sz w:val="24"/>
                <w:szCs w:val="24"/>
                <w:highlight w:val="none"/>
                <w:lang w:val="en-US" w:eastAsia="zh-CN"/>
              </w:rPr>
              <w:t>扩建后车间平面图详见附图5。</w:t>
            </w:r>
          </w:p>
          <w:p>
            <w:pPr>
              <w:pStyle w:val="25"/>
              <w:keepNext w:val="0"/>
              <w:keepLines w:val="0"/>
              <w:suppressLineNumbers w:val="0"/>
              <w:bidi w:val="0"/>
              <w:spacing w:before="0" w:beforeAutospacing="0" w:after="0" w:afterAutospacing="0"/>
              <w:ind w:left="0" w:right="0"/>
              <w:rPr>
                <w:rFonts w:hint="default"/>
                <w:color w:val="auto"/>
                <w:sz w:val="24"/>
                <w:szCs w:val="24"/>
                <w:highlight w:val="none"/>
                <w:lang w:val="en-US" w:eastAsia="zh-CN"/>
              </w:rPr>
            </w:pPr>
            <w:r>
              <w:rPr>
                <w:rFonts w:hint="eastAsia"/>
                <w:color w:val="auto"/>
                <w:sz w:val="24"/>
                <w:szCs w:val="24"/>
                <w:highlight w:val="none"/>
                <w:lang w:val="en-US" w:eastAsia="zh-CN"/>
              </w:rPr>
              <w:t>本次改扩建调整优化了生产车间布局，确保建构筑物布置满足生产、物流要求，符合安全、防火、环保等要求，减少建筑物工程投资，布置紧凑、合理、节约用地，因此本次改扩建工程平面布局合理。</w:t>
            </w:r>
          </w:p>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bookmarkStart w:id="4" w:name="_Toc6646"/>
            <w:bookmarkStart w:id="5" w:name="_Toc9977"/>
            <w:bookmarkStart w:id="6" w:name="_Toc24506"/>
            <w:bookmarkStart w:id="7" w:name="_Toc10081"/>
            <w:r>
              <w:rPr>
                <w:rFonts w:hint="default"/>
                <w:color w:val="auto"/>
                <w:highlight w:val="none"/>
              </w:rPr>
              <w:t>主要生产设备</w:t>
            </w:r>
            <w:bookmarkEnd w:id="4"/>
            <w:bookmarkEnd w:id="5"/>
            <w:bookmarkEnd w:id="6"/>
            <w:bookmarkEnd w:id="7"/>
          </w:p>
          <w:p>
            <w:pPr>
              <w:pStyle w:val="25"/>
              <w:keepNext w:val="0"/>
              <w:keepLines w:val="0"/>
              <w:suppressLineNumbers w:val="0"/>
              <w:spacing w:before="0" w:beforeAutospacing="0" w:after="0" w:afterAutospacing="0"/>
              <w:ind w:left="0" w:right="0" w:firstLine="720" w:firstLineChars="300"/>
              <w:rPr>
                <w:rFonts w:hint="default"/>
                <w:color w:val="auto"/>
                <w:highlight w:val="none"/>
              </w:rPr>
            </w:pPr>
            <w:r>
              <w:rPr>
                <w:rFonts w:hint="default"/>
                <w:color w:val="auto"/>
                <w:highlight w:val="none"/>
              </w:rPr>
              <w:t>本项目</w:t>
            </w:r>
            <w:r>
              <w:rPr>
                <w:rFonts w:hint="eastAsia"/>
                <w:color w:val="auto"/>
                <w:highlight w:val="none"/>
                <w:lang w:val="en-US" w:eastAsia="zh-CN"/>
              </w:rPr>
              <w:t>新增的</w:t>
            </w:r>
            <w:r>
              <w:rPr>
                <w:rFonts w:hint="default"/>
                <w:color w:val="auto"/>
                <w:highlight w:val="none"/>
              </w:rPr>
              <w:t>主要生产设备</w:t>
            </w:r>
            <w:r>
              <w:rPr>
                <w:rFonts w:hint="eastAsia"/>
                <w:color w:val="auto"/>
                <w:highlight w:val="none"/>
                <w:lang w:val="en-US" w:eastAsia="zh-CN"/>
              </w:rPr>
              <w:t>见下表</w:t>
            </w:r>
            <w:r>
              <w:rPr>
                <w:rFonts w:hint="default"/>
                <w:color w:val="auto"/>
                <w:highlight w:val="none"/>
              </w:rPr>
              <w:t>。</w:t>
            </w:r>
          </w:p>
          <w:p>
            <w:pPr>
              <w:pStyle w:val="22"/>
              <w:keepNext w:val="0"/>
              <w:keepLines w:val="0"/>
              <w:numPr>
                <w:ilvl w:val="7"/>
                <w:numId w:val="4"/>
              </w:numPr>
              <w:suppressLineNumbers w:val="0"/>
              <w:tabs>
                <w:tab w:val="left" w:pos="6720"/>
              </w:tabs>
              <w:spacing w:before="0" w:beforeAutospacing="0" w:after="0" w:afterAutospacing="0"/>
              <w:ind w:right="0"/>
              <w:rPr>
                <w:rFonts w:hint="default"/>
                <w:color w:val="auto"/>
                <w:highlight w:val="none"/>
              </w:rPr>
            </w:pPr>
            <w:bookmarkStart w:id="8" w:name="_Ref15628"/>
            <w:r>
              <w:rPr>
                <w:rFonts w:hint="default"/>
                <w:color w:val="auto"/>
                <w:highlight w:val="none"/>
              </w:rPr>
              <w:t>项目生产设备清单</w:t>
            </w:r>
            <w:bookmarkEnd w:id="8"/>
          </w:p>
          <w:p>
            <w:pPr>
              <w:keepNext w:val="0"/>
              <w:keepLines w:val="0"/>
              <w:suppressLineNumbers w:val="0"/>
              <w:spacing w:before="0" w:beforeAutospacing="0" w:after="0" w:afterAutospacing="0"/>
              <w:ind w:left="0" w:right="0"/>
              <w:rPr>
                <w:rFonts w:hint="default"/>
                <w:color w:val="auto"/>
              </w:rPr>
            </w:pPr>
          </w:p>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bookmarkStart w:id="9" w:name="_Toc20936"/>
            <w:bookmarkStart w:id="10" w:name="_Toc25944"/>
            <w:bookmarkStart w:id="11" w:name="_Toc4944"/>
            <w:bookmarkStart w:id="12" w:name="_Toc12299"/>
            <w:r>
              <w:rPr>
                <w:rFonts w:hint="default"/>
                <w:color w:val="auto"/>
                <w:highlight w:val="none"/>
              </w:rPr>
              <w:t>主要原辅材料</w:t>
            </w:r>
            <w:bookmarkEnd w:id="9"/>
            <w:bookmarkEnd w:id="10"/>
            <w:bookmarkEnd w:id="11"/>
            <w:bookmarkEnd w:id="12"/>
            <w:r>
              <w:rPr>
                <w:rFonts w:hint="eastAsia"/>
                <w:color w:val="auto"/>
                <w:highlight w:val="none"/>
                <w:lang w:val="en-US" w:eastAsia="zh-CN"/>
              </w:rPr>
              <w:t>及能源消耗</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eastAsia"/>
                <w:color w:val="auto"/>
                <w:highlight w:val="none"/>
              </w:rPr>
              <w:t>（1）主要原辅材料</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eastAsia"/>
                <w:color w:val="auto"/>
                <w:highlight w:val="none"/>
              </w:rPr>
              <w:t>项目</w:t>
            </w:r>
            <w:r>
              <w:rPr>
                <w:rFonts w:hint="default"/>
                <w:color w:val="auto"/>
                <w:highlight w:val="none"/>
              </w:rPr>
              <w:t>主要原辅材料用量见</w:t>
            </w:r>
            <w:r>
              <w:rPr>
                <w:rFonts w:hint="eastAsia"/>
                <w:color w:val="auto"/>
                <w:highlight w:val="none"/>
              </w:rPr>
              <w:t>下表</w:t>
            </w:r>
            <w:r>
              <w:rPr>
                <w:rFonts w:hint="default"/>
                <w:color w:val="auto"/>
                <w:highlight w:val="none"/>
              </w:rPr>
              <w:t>。</w:t>
            </w:r>
          </w:p>
          <w:p>
            <w:pPr>
              <w:pStyle w:val="22"/>
              <w:keepNext w:val="0"/>
              <w:keepLines w:val="0"/>
              <w:numPr>
                <w:ilvl w:val="7"/>
                <w:numId w:val="4"/>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lang w:val="en-US" w:eastAsia="zh-CN"/>
              </w:rPr>
              <w:t>本项目</w:t>
            </w:r>
            <w:r>
              <w:rPr>
                <w:rFonts w:hint="default"/>
                <w:color w:val="auto"/>
                <w:highlight w:val="none"/>
              </w:rPr>
              <w:t>主要原辅材料预计消耗一览表</w:t>
            </w:r>
          </w:p>
          <w:p>
            <w:pPr>
              <w:keepNext w:val="0"/>
              <w:keepLines w:val="0"/>
              <w:suppressLineNumbers w:val="0"/>
              <w:spacing w:before="0" w:beforeAutospacing="0" w:after="0" w:afterAutospacing="0"/>
              <w:ind w:left="0" w:right="0"/>
              <w:rPr>
                <w:rFonts w:hint="default"/>
                <w:color w:val="auto"/>
              </w:rPr>
            </w:pP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主要原辅材料理化性质</w:t>
            </w:r>
          </w:p>
          <w:p>
            <w:pPr>
              <w:pStyle w:val="25"/>
              <w:keepNext w:val="0"/>
              <w:keepLines w:val="0"/>
              <w:suppressLineNumbers w:val="0"/>
              <w:bidi w:val="0"/>
              <w:spacing w:before="0" w:beforeAutospacing="0" w:after="0" w:afterAutospacing="0"/>
              <w:ind w:left="0" w:right="0"/>
              <w:rPr>
                <w:rFonts w:hint="default"/>
                <w:color w:val="auto"/>
                <w:lang w:eastAsia="zh-CN"/>
              </w:rPr>
            </w:pPr>
            <w:r>
              <w:rPr>
                <w:rFonts w:hint="default"/>
                <w:color w:val="auto"/>
                <w:lang w:eastAsia="zh-CN"/>
              </w:rPr>
              <w:t>①乳化油</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又称皂化溶解油、肥皂油或调水油。金属切削液的一类。一般是淡褐色至深褐色液体或半固体。由在矿物油中加入适量的皂类乳化剂(如钠皂、钾皂、松香钠皂、松香钾皂或环烷酸钠皂)和少量稳定剂(如乙醇或甲醇)而成，使用时与软水掺合成稳定的白色乳化液。作用以冷却为主，润滑为次。用于车制、锯断、钻孔、磨制等金属粗加工。</w:t>
            </w:r>
          </w:p>
          <w:p>
            <w:pPr>
              <w:pStyle w:val="25"/>
              <w:keepNext w:val="0"/>
              <w:keepLines w:val="0"/>
              <w:suppressLineNumbers w:val="0"/>
              <w:bidi w:val="0"/>
              <w:spacing w:before="0" w:beforeAutospacing="0" w:after="0" w:afterAutospacing="0"/>
              <w:ind w:left="0" w:right="0"/>
              <w:rPr>
                <w:rFonts w:hint="default"/>
                <w:color w:val="auto"/>
                <w:lang w:eastAsia="zh-CN"/>
              </w:rPr>
            </w:pPr>
            <w:r>
              <w:rPr>
                <w:rFonts w:hint="default"/>
                <w:color w:val="auto"/>
                <w:lang w:eastAsia="zh-CN"/>
              </w:rPr>
              <w:t>②切削液</w:t>
            </w:r>
          </w:p>
          <w:p>
            <w:pPr>
              <w:pStyle w:val="25"/>
              <w:keepNext w:val="0"/>
              <w:keepLines w:val="0"/>
              <w:suppressLineNumbers w:val="0"/>
              <w:bidi w:val="0"/>
              <w:spacing w:before="0" w:beforeAutospacing="0" w:after="0" w:afterAutospacing="0"/>
              <w:ind w:left="0" w:right="0"/>
              <w:rPr>
                <w:rFonts w:hint="default"/>
                <w:color w:val="auto"/>
                <w:highlight w:val="none"/>
              </w:rPr>
            </w:pPr>
            <w:r>
              <w:rPr>
                <w:rFonts w:hint="default"/>
                <w:color w:val="auto"/>
              </w:rPr>
              <w:t>切削液(cutting fluid, coolant)是一种用在金属切削、磨加工过程中，用来冷却和润滑</w:t>
            </w:r>
            <w:r>
              <w:rPr>
                <w:rFonts w:hint="default"/>
                <w:color w:val="auto"/>
              </w:rPr>
              <w:fldChar w:fldCharType="begin"/>
            </w:r>
            <w:r>
              <w:rPr>
                <w:rFonts w:hint="default"/>
                <w:color w:val="auto"/>
              </w:rPr>
              <w:instrText xml:space="preserve"> HYPERLINK "https://baike.so.com/doc/2513544-2655985.html" \t "https://baike.so.com/doc/_blank" </w:instrText>
            </w:r>
            <w:r>
              <w:rPr>
                <w:rFonts w:hint="default"/>
                <w:color w:val="auto"/>
              </w:rPr>
              <w:fldChar w:fldCharType="separate"/>
            </w:r>
            <w:r>
              <w:rPr>
                <w:rStyle w:val="21"/>
                <w:rFonts w:hint="default" w:ascii="Times New Roman" w:hAnsi="Times New Roman" w:eastAsia="宋体" w:cs="Times New Roman"/>
                <w:i w:val="0"/>
                <w:caps w:val="0"/>
                <w:color w:val="auto"/>
                <w:spacing w:val="0"/>
                <w:szCs w:val="24"/>
                <w:u w:val="none"/>
                <w:shd w:val="clear" w:color="auto" w:fill="FFFFFF"/>
              </w:rPr>
              <w:t>刀具</w:t>
            </w:r>
            <w:r>
              <w:rPr>
                <w:rFonts w:hint="default"/>
                <w:color w:val="auto"/>
              </w:rPr>
              <w:fldChar w:fldCharType="end"/>
            </w:r>
            <w:r>
              <w:rPr>
                <w:rFonts w:hint="default"/>
                <w:color w:val="auto"/>
              </w:rPr>
              <w:t>和加工件的工业用液体，切削液由多种超强功能助剂经科学复合配合而成，同时具备良好的冷却性能、润滑性能、防锈性能、除油清洗功能、防腐功能、易稀释特点。克服了传统皂基</w:t>
            </w:r>
            <w:r>
              <w:rPr>
                <w:rFonts w:hint="default"/>
                <w:color w:val="auto"/>
              </w:rPr>
              <w:fldChar w:fldCharType="begin"/>
            </w:r>
            <w:r>
              <w:rPr>
                <w:rFonts w:hint="default"/>
                <w:color w:val="auto"/>
              </w:rPr>
              <w:instrText xml:space="preserve"> HYPERLINK "https://baike.so.com/doc/6720444-6934493.html" \t "https://baike.so.com/doc/_blank" </w:instrText>
            </w:r>
            <w:r>
              <w:rPr>
                <w:rFonts w:hint="default"/>
                <w:color w:val="auto"/>
              </w:rPr>
              <w:fldChar w:fldCharType="separate"/>
            </w:r>
            <w:r>
              <w:rPr>
                <w:rStyle w:val="21"/>
                <w:rFonts w:hint="default" w:ascii="Times New Roman" w:hAnsi="Times New Roman" w:eastAsia="宋体" w:cs="Times New Roman"/>
                <w:i w:val="0"/>
                <w:caps w:val="0"/>
                <w:color w:val="auto"/>
                <w:spacing w:val="0"/>
                <w:szCs w:val="24"/>
                <w:u w:val="none"/>
                <w:shd w:val="clear" w:color="auto" w:fill="FFFFFF"/>
              </w:rPr>
              <w:t>乳化液</w:t>
            </w:r>
            <w:r>
              <w:rPr>
                <w:rFonts w:hint="default"/>
                <w:color w:val="auto"/>
              </w:rPr>
              <w:fldChar w:fldCharType="end"/>
            </w:r>
            <w:r>
              <w:rPr>
                <w:rFonts w:hint="default"/>
                <w:color w:val="auto"/>
              </w:rPr>
              <w:t>夏天易臭、冬天难稀释、防锈效果差的的毛病，对车床漆也无不良影响，适用于黑色金属的切削及磨加工，属当前最领先的磨削产品</w:t>
            </w:r>
            <w:r>
              <w:rPr>
                <w:rFonts w:hint="default"/>
                <w:color w:val="auto"/>
                <w:highlight w:val="none"/>
              </w:rPr>
              <w:t>。切削液各项指标均优于皂化油，它具有良好的润滑冷却、清洗、防锈等特点，并且具备无毒、无味、对人体无侵蚀、对设备不腐蚀、对环境不污染等特点。</w:t>
            </w:r>
          </w:p>
          <w:p>
            <w:pPr>
              <w:pStyle w:val="4"/>
              <w:keepNext w:val="0"/>
              <w:keepLines w:val="0"/>
              <w:numPr>
                <w:ilvl w:val="1"/>
                <w:numId w:val="4"/>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lang w:val="en-US" w:eastAsia="zh-CN"/>
              </w:rPr>
              <w:t>改扩建项目公用</w:t>
            </w:r>
            <w:r>
              <w:rPr>
                <w:rFonts w:hint="eastAsia"/>
                <w:color w:val="auto"/>
                <w:highlight w:val="none"/>
              </w:rPr>
              <w:t>工程</w:t>
            </w:r>
          </w:p>
          <w:p>
            <w:pPr>
              <w:pStyle w:val="25"/>
              <w:keepNext w:val="0"/>
              <w:keepLines w:val="0"/>
              <w:numPr>
                <w:ilvl w:val="0"/>
                <w:numId w:val="5"/>
              </w:numPr>
              <w:suppressLineNumbers w:val="0"/>
              <w:bidi w:val="0"/>
              <w:spacing w:before="0" w:beforeAutospacing="0" w:after="0" w:afterAutospacing="0"/>
              <w:ind w:left="0" w:leftChars="0" w:right="0" w:firstLine="480" w:firstLineChars="200"/>
              <w:rPr>
                <w:rFonts w:hint="eastAsia"/>
                <w:color w:val="auto"/>
                <w:highlight w:val="none"/>
                <w:lang w:val="en-US" w:eastAsia="zh-CN"/>
              </w:rPr>
            </w:pPr>
            <w:r>
              <w:rPr>
                <w:rFonts w:hint="eastAsia"/>
                <w:color w:val="auto"/>
                <w:highlight w:val="none"/>
                <w:lang w:val="en-US" w:eastAsia="zh-CN"/>
              </w:rPr>
              <w:t>生产用水</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lang w:val="en-US" w:eastAsia="zh-CN"/>
              </w:rPr>
              <w:t>项目生产用水主要</w:t>
            </w:r>
            <w:r>
              <w:rPr>
                <w:rFonts w:hint="eastAsia"/>
                <w:color w:val="auto"/>
              </w:rPr>
              <w:t>为</w:t>
            </w:r>
            <w:r>
              <w:rPr>
                <w:rFonts w:hint="eastAsia"/>
                <w:color w:val="auto"/>
                <w:lang w:val="en-US" w:eastAsia="zh-CN"/>
              </w:rPr>
              <w:t>锻件</w:t>
            </w:r>
            <w:r>
              <w:rPr>
                <w:rFonts w:hint="eastAsia"/>
                <w:color w:val="auto"/>
              </w:rPr>
              <w:t>热处理工序淬火用水，</w:t>
            </w:r>
            <w:r>
              <w:rPr>
                <w:rFonts w:hint="eastAsia"/>
                <w:color w:val="auto"/>
                <w:lang w:val="en-US" w:eastAsia="zh-CN"/>
              </w:rPr>
              <w:t>类比现有工程</w:t>
            </w:r>
            <w:r>
              <w:rPr>
                <w:rFonts w:hint="eastAsia"/>
                <w:color w:val="auto"/>
              </w:rPr>
              <w:t>，该工序用水约50kg/t-产品，即100t/a（0.3</w:t>
            </w:r>
            <w:r>
              <w:rPr>
                <w:rFonts w:hint="eastAsia"/>
                <w:color w:val="auto"/>
                <w:lang w:val="en-US" w:eastAsia="zh-CN"/>
              </w:rPr>
              <w:t>3</w:t>
            </w:r>
            <w:r>
              <w:rPr>
                <w:rFonts w:hint="eastAsia"/>
                <w:color w:val="auto"/>
              </w:rPr>
              <w:t>t/d），其中10%消耗，损失量0.03</w:t>
            </w:r>
            <w:r>
              <w:rPr>
                <w:rFonts w:hint="eastAsia"/>
                <w:color w:val="auto"/>
                <w:lang w:val="en-US" w:eastAsia="zh-CN"/>
              </w:rPr>
              <w:t>3</w:t>
            </w:r>
            <w:r>
              <w:rPr>
                <w:rFonts w:hint="eastAsia"/>
                <w:color w:val="auto"/>
              </w:rPr>
              <w:t xml:space="preserve"> t/d，补充新鲜水0.03</w:t>
            </w:r>
            <w:r>
              <w:rPr>
                <w:rFonts w:hint="eastAsia"/>
                <w:color w:val="auto"/>
                <w:lang w:val="en-US" w:eastAsia="zh-CN"/>
              </w:rPr>
              <w:t>3</w:t>
            </w:r>
            <w:r>
              <w:rPr>
                <w:rFonts w:hint="eastAsia"/>
                <w:color w:val="auto"/>
              </w:rPr>
              <w:t xml:space="preserve"> t/d（新增补水量</w:t>
            </w:r>
            <w:r>
              <w:rPr>
                <w:rFonts w:hint="eastAsia"/>
                <w:color w:val="auto"/>
                <w:lang w:val="en-US" w:eastAsia="zh-CN"/>
              </w:rPr>
              <w:t>10</w:t>
            </w:r>
            <w:r>
              <w:rPr>
                <w:rFonts w:hint="eastAsia"/>
                <w:color w:val="auto"/>
              </w:rPr>
              <w:t xml:space="preserve"> t/a），这部分水循环使用，不外排。</w:t>
            </w:r>
          </w:p>
          <w:p>
            <w:pPr>
              <w:pStyle w:val="25"/>
              <w:keepNext w:val="0"/>
              <w:keepLines w:val="0"/>
              <w:numPr>
                <w:ilvl w:val="0"/>
                <w:numId w:val="5"/>
              </w:numPr>
              <w:suppressLineNumbers w:val="0"/>
              <w:bidi w:val="0"/>
              <w:spacing w:before="0" w:beforeAutospacing="0" w:after="0" w:afterAutospacing="0"/>
              <w:ind w:left="0" w:leftChars="0" w:right="0" w:firstLine="480" w:firstLineChars="200"/>
              <w:rPr>
                <w:rFonts w:hint="eastAsia"/>
                <w:color w:val="auto"/>
                <w:highlight w:val="none"/>
                <w:lang w:val="en-US" w:eastAsia="zh-CN"/>
              </w:rPr>
            </w:pPr>
            <w:r>
              <w:rPr>
                <w:rFonts w:hint="eastAsia"/>
                <w:color w:val="auto"/>
                <w:highlight w:val="none"/>
                <w:lang w:val="en-US" w:eastAsia="zh-CN"/>
              </w:rPr>
              <w:t>生活用水</w:t>
            </w:r>
          </w:p>
          <w:p>
            <w:pPr>
              <w:pStyle w:val="25"/>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rPr>
              <w:t>职工生活用水由</w:t>
            </w:r>
            <w:r>
              <w:rPr>
                <w:rFonts w:hint="eastAsia"/>
                <w:color w:val="auto"/>
                <w:highlight w:val="none"/>
                <w:lang w:val="en-US" w:eastAsia="zh-CN"/>
              </w:rPr>
              <w:t>工业园区</w:t>
            </w:r>
            <w:r>
              <w:rPr>
                <w:rFonts w:hint="eastAsia"/>
                <w:color w:val="auto"/>
                <w:highlight w:val="none"/>
              </w:rPr>
              <w:t>市政给水管网直接供给，</w:t>
            </w:r>
            <w:r>
              <w:rPr>
                <w:rFonts w:hint="default"/>
                <w:color w:val="auto"/>
                <w:highlight w:val="none"/>
              </w:rPr>
              <w:t>根据《</w:t>
            </w:r>
            <w:r>
              <w:rPr>
                <w:rFonts w:hint="eastAsia"/>
                <w:color w:val="auto"/>
                <w:highlight w:val="none"/>
              </w:rPr>
              <w:t>建筑给水排水设计标准</w:t>
            </w:r>
            <w:r>
              <w:rPr>
                <w:rFonts w:hint="default"/>
                <w:color w:val="auto"/>
                <w:highlight w:val="none"/>
              </w:rPr>
              <w:t>》(</w:t>
            </w:r>
            <w:r>
              <w:rPr>
                <w:rFonts w:hint="eastAsia"/>
                <w:color w:val="auto"/>
                <w:highlight w:val="none"/>
              </w:rPr>
              <w:t>GB50015</w:t>
            </w:r>
            <w:r>
              <w:rPr>
                <w:rFonts w:hint="default"/>
                <w:color w:val="auto"/>
                <w:highlight w:val="none"/>
              </w:rPr>
              <w:t>-</w:t>
            </w:r>
            <w:r>
              <w:rPr>
                <w:rFonts w:hint="eastAsia"/>
                <w:color w:val="auto"/>
                <w:highlight w:val="none"/>
              </w:rPr>
              <w:t>2019</w:t>
            </w:r>
            <w:r>
              <w:rPr>
                <w:rFonts w:hint="default"/>
                <w:color w:val="auto"/>
                <w:highlight w:val="none"/>
              </w:rPr>
              <w:t>)，</w:t>
            </w:r>
            <w:r>
              <w:rPr>
                <w:rFonts w:hint="eastAsia"/>
                <w:color w:val="auto"/>
                <w:highlight w:val="none"/>
              </w:rPr>
              <w:t>不住厂职工生活用水量按照50L/d•人计，</w:t>
            </w:r>
            <w:r>
              <w:rPr>
                <w:rFonts w:hint="default"/>
                <w:color w:val="auto"/>
                <w:highlight w:val="none"/>
              </w:rPr>
              <w:t>年工作3</w:t>
            </w:r>
            <w:r>
              <w:rPr>
                <w:rFonts w:hint="eastAsia"/>
                <w:color w:val="auto"/>
                <w:highlight w:val="none"/>
                <w:lang w:val="en-US" w:eastAsia="zh-CN"/>
              </w:rPr>
              <w:t>0</w:t>
            </w:r>
            <w:r>
              <w:rPr>
                <w:rFonts w:hint="default"/>
                <w:color w:val="auto"/>
                <w:highlight w:val="none"/>
              </w:rPr>
              <w:t>0天</w:t>
            </w:r>
            <w:r>
              <w:rPr>
                <w:rFonts w:hint="eastAsia"/>
                <w:color w:val="auto"/>
                <w:highlight w:val="none"/>
                <w:lang w:eastAsia="zh-CN"/>
              </w:rPr>
              <w:t>，</w:t>
            </w:r>
            <w:r>
              <w:rPr>
                <w:rFonts w:hint="eastAsia"/>
                <w:color w:val="auto"/>
                <w:highlight w:val="none"/>
              </w:rPr>
              <w:t>本项目</w:t>
            </w:r>
            <w:r>
              <w:rPr>
                <w:rFonts w:hint="eastAsia"/>
                <w:color w:val="auto"/>
                <w:highlight w:val="none"/>
                <w:lang w:val="en-US" w:eastAsia="zh-CN"/>
              </w:rPr>
              <w:t>新增</w:t>
            </w:r>
            <w:r>
              <w:rPr>
                <w:rFonts w:hint="eastAsia"/>
                <w:color w:val="auto"/>
                <w:highlight w:val="none"/>
              </w:rPr>
              <w:t>职工定员</w:t>
            </w:r>
            <w:r>
              <w:rPr>
                <w:rFonts w:hint="eastAsia"/>
                <w:color w:val="auto"/>
                <w:highlight w:val="none"/>
                <w:lang w:val="en-US" w:eastAsia="zh-CN"/>
              </w:rPr>
              <w:t>30</w:t>
            </w:r>
            <w:r>
              <w:rPr>
                <w:rFonts w:hint="eastAsia"/>
                <w:color w:val="auto"/>
                <w:highlight w:val="none"/>
              </w:rPr>
              <w:t>人，则生活用水量为</w:t>
            </w:r>
            <w:r>
              <w:rPr>
                <w:rFonts w:hint="eastAsia"/>
                <w:color w:val="auto"/>
                <w:highlight w:val="none"/>
                <w:lang w:val="en-US" w:eastAsia="zh-CN"/>
              </w:rPr>
              <w:t>1.5</w:t>
            </w:r>
            <w:r>
              <w:rPr>
                <w:rFonts w:hint="eastAsia"/>
                <w:color w:val="auto"/>
                <w:highlight w:val="none"/>
              </w:rPr>
              <w:t>t/d（</w:t>
            </w:r>
            <w:r>
              <w:rPr>
                <w:rFonts w:hint="eastAsia"/>
                <w:color w:val="auto"/>
                <w:highlight w:val="none"/>
                <w:lang w:val="en-US" w:eastAsia="zh-CN"/>
              </w:rPr>
              <w:t>450</w:t>
            </w:r>
            <w:r>
              <w:rPr>
                <w:rFonts w:hint="eastAsia"/>
                <w:color w:val="auto"/>
                <w:highlight w:val="none"/>
              </w:rPr>
              <w:t>t/a）</w:t>
            </w:r>
            <w:r>
              <w:rPr>
                <w:rFonts w:hint="eastAsia"/>
                <w:color w:val="auto"/>
                <w:highlight w:val="none"/>
                <w:lang w:eastAsia="zh-CN"/>
              </w:rPr>
              <w:t>，</w:t>
            </w:r>
            <w:r>
              <w:rPr>
                <w:rFonts w:hint="eastAsia"/>
                <w:color w:val="auto"/>
                <w:highlight w:val="none"/>
                <w:lang w:val="en-US" w:eastAsia="zh-CN"/>
              </w:rPr>
              <w:t>产污系数按0.8计，则生活污水产生量约为1.2t/d（360t/a）</w:t>
            </w:r>
            <w:r>
              <w:rPr>
                <w:rFonts w:hint="eastAsia"/>
                <w:color w:val="auto"/>
                <w:highlight w:val="none"/>
              </w:rPr>
              <w:t>。</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lang w:val="en-US" w:eastAsia="zh-CN"/>
              </w:rPr>
              <w:t>项目排水</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rPr>
              <w:t>项目采用“雨污分流、清污分流”的排水制度，雨水由雨水管</w:t>
            </w:r>
            <w:r>
              <w:rPr>
                <w:rFonts w:hint="eastAsia"/>
                <w:color w:val="auto"/>
                <w:highlight w:val="none"/>
                <w:lang w:val="en-US" w:eastAsia="zh-CN"/>
              </w:rPr>
              <w:t>沟</w:t>
            </w:r>
            <w:r>
              <w:rPr>
                <w:rFonts w:hint="default"/>
                <w:color w:val="auto"/>
                <w:highlight w:val="none"/>
              </w:rPr>
              <w:t>收集后通过工业集中区雨水管道直接排放；生活污水经化粪池处理后接入</w:t>
            </w:r>
            <w:r>
              <w:rPr>
                <w:rFonts w:hint="eastAsia"/>
                <w:color w:val="auto"/>
                <w:highlight w:val="none"/>
                <w:lang w:val="en-US" w:eastAsia="zh-CN"/>
              </w:rPr>
              <w:t>园区</w:t>
            </w:r>
            <w:r>
              <w:rPr>
                <w:rFonts w:hint="default"/>
                <w:color w:val="auto"/>
                <w:highlight w:val="none"/>
              </w:rPr>
              <w:t>污水管网</w:t>
            </w:r>
            <w:r>
              <w:rPr>
                <w:rFonts w:hint="eastAsia"/>
                <w:color w:val="auto"/>
                <w:highlight w:val="none"/>
                <w:lang w:eastAsia="zh-CN"/>
              </w:rPr>
              <w:t>，</w:t>
            </w:r>
            <w:r>
              <w:rPr>
                <w:rFonts w:hint="default"/>
                <w:color w:val="auto"/>
                <w:highlight w:val="none"/>
              </w:rPr>
              <w:t>纳入</w:t>
            </w:r>
            <w:r>
              <w:rPr>
                <w:rFonts w:hint="eastAsia"/>
                <w:color w:val="auto"/>
                <w:highlight w:val="none"/>
                <w:lang w:val="en-US" w:eastAsia="zh-CN"/>
              </w:rPr>
              <w:t>福鼎市文渡</w:t>
            </w:r>
            <w:r>
              <w:rPr>
                <w:rFonts w:hint="default"/>
                <w:color w:val="auto"/>
                <w:highlight w:val="none"/>
              </w:rPr>
              <w:t>污水处理厂</w:t>
            </w:r>
            <w:r>
              <w:rPr>
                <w:rFonts w:hint="eastAsia"/>
                <w:color w:val="auto"/>
                <w:highlight w:val="none"/>
                <w:lang w:val="en-US" w:eastAsia="zh-CN"/>
              </w:rPr>
              <w:t>进一步处理</w:t>
            </w:r>
            <w:r>
              <w:rPr>
                <w:rFonts w:hint="default"/>
                <w:color w:val="auto"/>
                <w:highlight w:val="none"/>
              </w:rPr>
              <w:t>。</w:t>
            </w:r>
          </w:p>
          <w:p>
            <w:pPr>
              <w:pStyle w:val="27"/>
              <w:keepNext w:val="0"/>
              <w:keepLines w:val="0"/>
              <w:suppressLineNumbers w:val="0"/>
              <w:spacing w:before="0" w:beforeAutospacing="0" w:after="0" w:afterAutospacing="0"/>
              <w:ind w:left="0" w:right="0" w:firstLine="480"/>
              <w:rPr>
                <w:rFonts w:hint="eastAsia"/>
                <w:color w:val="auto"/>
                <w:highlight w:val="none"/>
              </w:rPr>
            </w:pPr>
            <w:r>
              <w:rPr>
                <w:rFonts w:hint="default"/>
                <w:color w:val="auto"/>
                <w:highlight w:val="none"/>
              </w:rPr>
              <w:t>项目水量平衡图见</w:t>
            </w:r>
            <w:r>
              <w:rPr>
                <w:rFonts w:hint="eastAsia"/>
                <w:color w:val="auto"/>
                <w:highlight w:val="none"/>
              </w:rPr>
              <w:fldChar w:fldCharType="begin"/>
            </w:r>
            <w:r>
              <w:rPr>
                <w:rFonts w:hint="eastAsia"/>
                <w:color w:val="auto"/>
                <w:highlight w:val="none"/>
              </w:rPr>
              <w:instrText xml:space="preserve"> REF _Ref27012 \n \h </w:instrText>
            </w:r>
            <w:r>
              <w:rPr>
                <w:rFonts w:hint="eastAsia"/>
                <w:color w:val="auto"/>
                <w:highlight w:val="none"/>
              </w:rPr>
              <w:fldChar w:fldCharType="separate"/>
            </w:r>
            <w:r>
              <w:rPr>
                <w:rFonts w:hint="eastAsia"/>
                <w:color w:val="auto"/>
                <w:highlight w:val="none"/>
              </w:rPr>
              <w:fldChar w:fldCharType="begin"/>
            </w:r>
            <w:r>
              <w:rPr>
                <w:rFonts w:hint="eastAsia"/>
                <w:color w:val="auto"/>
                <w:highlight w:val="none"/>
              </w:rPr>
              <w:instrText xml:space="preserve"> REF _Ref22741 \n \h </w:instrText>
            </w:r>
            <w:r>
              <w:rPr>
                <w:rFonts w:hint="eastAsia"/>
                <w:color w:val="auto"/>
                <w:highlight w:val="none"/>
              </w:rPr>
              <w:fldChar w:fldCharType="separate"/>
            </w:r>
            <w:r>
              <w:rPr>
                <w:rFonts w:hint="eastAsia"/>
                <w:color w:val="auto"/>
                <w:highlight w:val="none"/>
              </w:rPr>
              <w:t>图1</w:t>
            </w:r>
            <w:r>
              <w:rPr>
                <w:rFonts w:hint="eastAsia"/>
                <w:color w:val="auto"/>
                <w:highlight w:val="none"/>
              </w:rPr>
              <w:fldChar w:fldCharType="end"/>
            </w:r>
            <w:r>
              <w:rPr>
                <w:rFonts w:hint="default"/>
                <w:color w:val="auto"/>
                <w:highlight w:val="none"/>
              </w:rPr>
              <w:t>。</w:t>
            </w:r>
            <w:r>
              <w:rPr>
                <w:rFonts w:hint="eastAsia"/>
                <w:color w:val="auto"/>
                <w:highlight w:val="none"/>
              </w:rPr>
              <w:fldChar w:fldCharType="end"/>
            </w:r>
          </w:p>
          <w:p>
            <w:pPr>
              <w:pStyle w:val="27"/>
              <w:keepNext w:val="0"/>
              <w:keepLines w:val="0"/>
              <w:suppressLineNumbers w:val="0"/>
              <w:spacing w:before="0" w:beforeAutospacing="0" w:after="0" w:afterAutospacing="0"/>
              <w:ind w:left="0" w:right="0" w:firstLine="480"/>
              <w:jc w:val="center"/>
              <w:rPr>
                <w:rFonts w:hint="eastAsia" w:eastAsia="宋体"/>
                <w:color w:val="auto"/>
                <w:highlight w:val="none"/>
                <w:lang w:eastAsia="zh-CN"/>
              </w:rPr>
            </w:pPr>
          </w:p>
          <w:p>
            <w:pPr>
              <w:pStyle w:val="24"/>
              <w:keepNext w:val="0"/>
              <w:keepLines w:val="0"/>
              <w:numPr>
                <w:ilvl w:val="8"/>
                <w:numId w:val="4"/>
              </w:numPr>
              <w:suppressLineNumbers w:val="0"/>
              <w:spacing w:before="0" w:beforeAutospacing="0" w:after="0" w:afterAutospacing="0"/>
              <w:ind w:right="0"/>
              <w:rPr>
                <w:rFonts w:hint="default"/>
                <w:color w:val="auto"/>
                <w:highlight w:val="none"/>
              </w:rPr>
            </w:pPr>
            <w:r>
              <w:rPr>
                <w:rFonts w:hint="eastAsia"/>
                <w:color w:val="auto"/>
                <w:highlight w:val="none"/>
                <w:lang w:val="en-US" w:eastAsia="zh-CN"/>
              </w:rPr>
              <w:t>改扩建项目</w:t>
            </w:r>
            <w:r>
              <w:rPr>
                <w:rFonts w:hint="eastAsia"/>
                <w:color w:val="auto"/>
                <w:highlight w:val="none"/>
              </w:rPr>
              <w:t>水平衡图</w:t>
            </w:r>
            <w:r>
              <w:rPr>
                <w:rFonts w:hint="eastAsia"/>
                <w:color w:val="auto"/>
                <w:highlight w:val="none"/>
                <w:lang w:val="en-US" w:eastAsia="zh-CN"/>
              </w:rPr>
              <w:t xml:space="preserve">  </w:t>
            </w:r>
            <w:bookmarkStart w:id="13" w:name="OLE_LINK2"/>
            <w:r>
              <w:rPr>
                <w:rFonts w:hint="eastAsia"/>
                <w:color w:val="auto"/>
                <w:highlight w:val="none"/>
                <w:lang w:val="en-US" w:eastAsia="zh-CN"/>
              </w:rPr>
              <w:t>单位：t/d</w:t>
            </w:r>
            <w:bookmarkEnd w:id="13"/>
          </w:p>
          <w:p>
            <w:pPr>
              <w:keepNext w:val="0"/>
              <w:keepLines w:val="0"/>
              <w:suppressLineNumbers w:val="0"/>
              <w:spacing w:before="0" w:beforeAutospacing="0" w:after="0" w:afterAutospacing="0"/>
              <w:ind w:left="0" w:right="0"/>
              <w:rPr>
                <w:rFonts w:hint="default"/>
                <w:color w:val="auto"/>
                <w:highlight w:val="yellow"/>
              </w:rPr>
            </w:pPr>
            <w:r>
              <w:rPr>
                <w:rFonts w:hint="default"/>
                <w:color w:val="auto"/>
                <w:sz w:val="21"/>
                <w:highlight w:val="yellow"/>
              </w:rPr>
              <mc:AlternateContent>
                <mc:Choice Requires="wps">
                  <w:drawing>
                    <wp:anchor distT="0" distB="0" distL="114300" distR="114300" simplePos="0" relativeHeight="251661312" behindDoc="0" locked="0" layoutInCell="1" allowOverlap="1">
                      <wp:simplePos x="0" y="0"/>
                      <wp:positionH relativeFrom="column">
                        <wp:posOffset>4156710</wp:posOffset>
                      </wp:positionH>
                      <wp:positionV relativeFrom="paragraph">
                        <wp:posOffset>7704455</wp:posOffset>
                      </wp:positionV>
                      <wp:extent cx="840105" cy="26924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840105"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b/>
                                      <w:bCs/>
                                      <w:color w:val="FF0000"/>
                                      <w:lang w:val="en-US" w:eastAsia="zh-CN"/>
                                    </w:rPr>
                                  </w:pPr>
                                  <w:r>
                                    <w:rPr>
                                      <w:rFonts w:hint="eastAsia"/>
                                      <w:b/>
                                      <w:bCs/>
                                      <w:color w:val="FF0000"/>
                                      <w:lang w:val="en-US" w:eastAsia="zh-CN"/>
                                    </w:rPr>
                                    <w:t>二厂全厂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3pt;margin-top:606.65pt;height:21.2pt;width:66.15pt;z-index:251661312;mso-width-relative:page;mso-height-relative:page;" filled="f" stroked="f" coordsize="21600,21600" o:gfxdata="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Y4uxbdAAAADQEAAA8AAAAAAAAAAQAgAAAAIgAA&#10;AGRycy9kb3ducmV2LnhtbFBLAQIUABQAAAAIAIdO4kChK7PwPAIAAGcEAAAOAAAAAAAAAAEAIAAA&#10;ACwBAABkcnMvZTJvRG9jLnhtbFBLBQYAAAAABgAGAFkBAADaBQAAAAA=&#10;">
                      <v:fill on="f" focussize="0,0"/>
                      <v:stroke on="f" weight="0.5pt"/>
                      <v:imagedata o:title=""/>
                      <o:lock v:ext="edit" aspectratio="f"/>
                      <v:textbox>
                        <w:txbxContent>
                          <w:p>
                            <w:pPr>
                              <w:jc w:val="center"/>
                              <w:rPr>
                                <w:rFonts w:hint="default" w:eastAsia="宋体"/>
                                <w:b/>
                                <w:bCs/>
                                <w:color w:val="FF0000"/>
                                <w:lang w:val="en-US" w:eastAsia="zh-CN"/>
                              </w:rPr>
                            </w:pPr>
                            <w:r>
                              <w:rPr>
                                <w:rFonts w:hint="eastAsia"/>
                                <w:b/>
                                <w:bCs/>
                                <w:color w:val="FF0000"/>
                                <w:lang w:val="en-US" w:eastAsia="zh-CN"/>
                              </w:rPr>
                              <w:t>二厂全厂</w:t>
                            </w:r>
                          </w:p>
                        </w:txbxContent>
                      </v:textbox>
                    </v:shape>
                  </w:pict>
                </mc:Fallback>
              </mc:AlternateContent>
            </w:r>
          </w:p>
          <w:p>
            <w:pPr>
              <w:pStyle w:val="5"/>
              <w:suppressLineNumbers w:val="0"/>
              <w:bidi w:val="0"/>
              <w:spacing w:before="0" w:beforeAutospacing="0" w:after="0" w:afterAutospacing="0"/>
              <w:ind w:right="0"/>
              <w:rPr>
                <w:rFonts w:hint="default"/>
                <w:color w:val="auto"/>
              </w:rPr>
            </w:pPr>
            <w:r>
              <w:rPr>
                <w:rFonts w:hint="default"/>
                <w:color w:val="auto"/>
              </w:rPr>
              <w:t>供热</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本项目采用电加热方式加热。</w:t>
            </w:r>
          </w:p>
          <w:p>
            <w:pPr>
              <w:pStyle w:val="5"/>
              <w:numPr>
                <w:ilvl w:val="2"/>
                <w:numId w:val="4"/>
              </w:numPr>
              <w:suppressLineNumbers w:val="0"/>
              <w:spacing w:before="0" w:beforeAutospacing="0" w:after="0" w:afterAutospacing="0"/>
              <w:ind w:right="0"/>
              <w:rPr>
                <w:rFonts w:hint="default"/>
                <w:color w:val="auto"/>
                <w:highlight w:val="none"/>
              </w:rPr>
            </w:pPr>
            <w:r>
              <w:rPr>
                <w:rFonts w:hint="eastAsia"/>
                <w:color w:val="auto"/>
                <w:highlight w:val="none"/>
              </w:rPr>
              <w:t>供</w:t>
            </w:r>
            <w:r>
              <w:rPr>
                <w:rFonts w:hint="default"/>
                <w:color w:val="auto"/>
                <w:highlight w:val="none"/>
              </w:rPr>
              <w:t>电</w:t>
            </w:r>
          </w:p>
          <w:p>
            <w:pPr>
              <w:pStyle w:val="27"/>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本项目供电由市政电网供电，项目耗电约</w:t>
            </w:r>
            <w:r>
              <w:rPr>
                <w:rFonts w:hint="eastAsia"/>
                <w:color w:val="auto"/>
                <w:highlight w:val="none"/>
                <w:lang w:val="en-US" w:eastAsia="zh-CN"/>
              </w:rPr>
              <w:t>150</w:t>
            </w:r>
            <w:r>
              <w:rPr>
                <w:rFonts w:hint="default"/>
                <w:color w:val="auto"/>
                <w:highlight w:val="none"/>
              </w:rPr>
              <w:t>万kWh/a。</w:t>
            </w:r>
          </w:p>
          <w:p>
            <w:pPr>
              <w:pStyle w:val="24"/>
              <w:keepNext w:val="0"/>
              <w:keepLines w:val="0"/>
              <w:suppressLineNumbers w:val="0"/>
              <w:bidi w:val="0"/>
              <w:spacing w:before="0" w:beforeAutospacing="0" w:after="0" w:afterAutospacing="0"/>
              <w:ind w:left="0" w:right="0"/>
              <w:jc w:val="both"/>
              <w:rPr>
                <w:rFonts w:hint="default"/>
                <w:color w:val="auto"/>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225" w:type="pct"/>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1"/>
                <w:szCs w:val="21"/>
                <w:highlight w:val="yellow"/>
              </w:rPr>
            </w:pPr>
            <w:r>
              <w:rPr>
                <w:rFonts w:hint="eastAsia" w:cs="宋体"/>
                <w:color w:val="auto"/>
                <w:sz w:val="21"/>
                <w:szCs w:val="21"/>
                <w:highlight w:val="none"/>
              </w:rPr>
              <w:t>工艺流程和产排污环节</w:t>
            </w:r>
          </w:p>
        </w:tc>
        <w:tc>
          <w:tcPr>
            <w:tcW w:w="4774" w:type="pct"/>
          </w:tcPr>
          <w:p>
            <w:pPr>
              <w:pStyle w:val="4"/>
              <w:keepNext w:val="0"/>
              <w:keepLines w:val="0"/>
              <w:numPr>
                <w:ilvl w:val="1"/>
                <w:numId w:val="6"/>
              </w:numPr>
              <w:suppressLineNumbers w:val="0"/>
              <w:tabs>
                <w:tab w:val="left" w:pos="420"/>
              </w:tabs>
              <w:spacing w:before="0" w:beforeAutospacing="0" w:after="0" w:afterAutospacing="0"/>
              <w:ind w:right="0"/>
              <w:rPr>
                <w:rFonts w:hint="default"/>
                <w:color w:val="auto"/>
                <w:highlight w:val="none"/>
              </w:rPr>
            </w:pPr>
            <w:bookmarkStart w:id="14" w:name="_Toc30849"/>
            <w:bookmarkStart w:id="15" w:name="_Toc20890"/>
            <w:bookmarkStart w:id="16" w:name="_Toc2298"/>
            <w:bookmarkStart w:id="17" w:name="_Toc19480"/>
            <w:r>
              <w:rPr>
                <w:rFonts w:hint="default"/>
                <w:color w:val="auto"/>
                <w:highlight w:val="none"/>
              </w:rPr>
              <w:t>主要工艺流程及产污环节</w:t>
            </w:r>
            <w:bookmarkEnd w:id="14"/>
            <w:bookmarkEnd w:id="15"/>
            <w:bookmarkEnd w:id="16"/>
            <w:bookmarkEnd w:id="17"/>
          </w:p>
          <w:p>
            <w:pPr>
              <w:pStyle w:val="5"/>
              <w:suppressLineNumbers w:val="0"/>
              <w:bidi w:val="0"/>
              <w:spacing w:before="0" w:beforeAutospacing="0" w:after="0" w:afterAutospacing="0"/>
              <w:ind w:right="0"/>
              <w:rPr>
                <w:rFonts w:hint="default"/>
                <w:color w:val="auto"/>
              </w:rPr>
            </w:pPr>
            <w:r>
              <w:rPr>
                <w:rFonts w:hint="default"/>
                <w:color w:val="auto"/>
              </w:rPr>
              <w:t>工艺流程及产污环节</w:t>
            </w:r>
          </w:p>
          <w:p>
            <w:pPr>
              <w:keepNext w:val="0"/>
              <w:keepLines w:val="0"/>
              <w:widowControl/>
              <w:suppressLineNumbers w:val="0"/>
              <w:spacing w:before="0" w:beforeAutospacing="0" w:after="0" w:afterAutospacing="0" w:line="360" w:lineRule="auto"/>
              <w:ind w:left="0" w:right="0" w:firstLine="424" w:firstLineChars="177"/>
              <w:rPr>
                <w:rFonts w:hint="default"/>
                <w:color w:val="auto"/>
                <w:sz w:val="24"/>
              </w:rPr>
            </w:pPr>
            <w:r>
              <w:rPr>
                <w:rFonts w:hint="eastAsia"/>
                <w:color w:val="auto"/>
                <w:sz w:val="24"/>
                <w:lang w:val="en-US" w:eastAsia="zh-CN"/>
              </w:rPr>
              <w:t>本项目</w:t>
            </w:r>
            <w:r>
              <w:rPr>
                <w:rFonts w:hint="eastAsia"/>
                <w:color w:val="auto"/>
                <w:sz w:val="24"/>
                <w:lang w:eastAsia="zh-CN"/>
              </w:rPr>
              <w:t>工程所有产品的工艺流程</w:t>
            </w:r>
            <w:r>
              <w:rPr>
                <w:rFonts w:hint="eastAsia"/>
                <w:color w:val="auto"/>
                <w:sz w:val="24"/>
                <w:lang w:val="en-US" w:eastAsia="zh-CN"/>
              </w:rPr>
              <w:t>与现有工艺基本</w:t>
            </w:r>
            <w:r>
              <w:rPr>
                <w:rFonts w:hint="eastAsia"/>
                <w:color w:val="auto"/>
                <w:sz w:val="24"/>
                <w:lang w:eastAsia="zh-CN"/>
              </w:rPr>
              <w:t>一致，</w:t>
            </w:r>
            <w:r>
              <w:rPr>
                <w:rFonts w:hint="eastAsia"/>
                <w:color w:val="auto"/>
                <w:sz w:val="24"/>
                <w:lang w:val="en-US" w:eastAsia="zh-CN"/>
              </w:rPr>
              <w:t>仅热处理工序供热方式不同</w:t>
            </w:r>
            <w:r>
              <w:rPr>
                <w:rFonts w:hint="eastAsia"/>
                <w:color w:val="auto"/>
                <w:sz w:val="24"/>
                <w:lang w:eastAsia="zh-CN"/>
              </w:rPr>
              <w:t>，</w:t>
            </w:r>
            <w:r>
              <w:rPr>
                <w:rFonts w:hint="eastAsia"/>
                <w:color w:val="auto"/>
                <w:sz w:val="24"/>
                <w:lang w:val="en-US" w:eastAsia="zh-CN"/>
              </w:rPr>
              <w:t>由天然气供热改为电供热。</w:t>
            </w:r>
            <w:r>
              <w:rPr>
                <w:rFonts w:hint="eastAsia"/>
                <w:color w:val="auto"/>
                <w:sz w:val="24"/>
              </w:rPr>
              <w:t>具体工艺流程及产污环节情况见下图：</w:t>
            </w:r>
          </w:p>
          <w:p>
            <w:pPr>
              <w:pStyle w:val="25"/>
              <w:keepNext w:val="0"/>
              <w:keepLines w:val="0"/>
              <w:suppressLineNumbers w:val="0"/>
              <w:spacing w:before="0" w:beforeAutospacing="0" w:after="0" w:afterAutospacing="0"/>
              <w:ind w:left="0" w:leftChars="0" w:right="0" w:firstLine="0" w:firstLineChars="0"/>
              <w:jc w:val="center"/>
              <w:rPr>
                <w:rFonts w:hint="eastAsia" w:eastAsia="宋体"/>
                <w:color w:val="auto"/>
                <w:highlight w:val="yellow"/>
                <w:lang w:eastAsia="zh-CN"/>
              </w:rPr>
            </w:pPr>
          </w:p>
          <w:p>
            <w:pPr>
              <w:pStyle w:val="24"/>
              <w:keepNext w:val="0"/>
              <w:keepLines w:val="0"/>
              <w:numPr>
                <w:ilvl w:val="8"/>
                <w:numId w:val="6"/>
              </w:numPr>
              <w:suppressLineNumbers w:val="0"/>
              <w:spacing w:before="0" w:beforeAutospacing="0" w:after="0" w:afterAutospacing="0"/>
              <w:ind w:right="0"/>
              <w:rPr>
                <w:rFonts w:hint="default"/>
                <w:color w:val="auto"/>
                <w:highlight w:val="none"/>
              </w:rPr>
            </w:pPr>
            <w:bookmarkStart w:id="18" w:name="_Ref4827"/>
            <w:bookmarkEnd w:id="18"/>
            <w:r>
              <w:rPr>
                <w:rFonts w:hint="eastAsia"/>
                <w:color w:val="auto"/>
                <w:highlight w:val="none"/>
              </w:rPr>
              <w:t>工艺流程图</w:t>
            </w:r>
          </w:p>
          <w:p>
            <w:pPr>
              <w:keepNext w:val="0"/>
              <w:keepLines w:val="0"/>
              <w:suppressLineNumbers w:val="0"/>
              <w:spacing w:before="0" w:beforeAutospacing="0" w:after="0" w:afterAutospacing="0"/>
              <w:ind w:left="0" w:right="0"/>
              <w:rPr>
                <w:rFonts w:hint="default"/>
                <w:color w:val="auto"/>
                <w:highlight w:val="yellow"/>
              </w:rPr>
            </w:pPr>
          </w:p>
          <w:p>
            <w:pPr>
              <w:pStyle w:val="5"/>
              <w:numPr>
                <w:ilvl w:val="2"/>
                <w:numId w:val="6"/>
              </w:numPr>
              <w:suppressLineNumbers w:val="0"/>
              <w:spacing w:before="0" w:beforeAutospacing="0" w:after="0" w:afterAutospacing="0"/>
              <w:ind w:right="0"/>
              <w:rPr>
                <w:rFonts w:hint="default"/>
                <w:color w:val="auto"/>
                <w:highlight w:val="none"/>
              </w:rPr>
            </w:pPr>
            <w:r>
              <w:rPr>
                <w:rFonts w:hint="default"/>
                <w:color w:val="auto"/>
                <w:highlight w:val="none"/>
              </w:rPr>
              <w:t>主要工艺说明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eastAsia="宋体"/>
                <w:color w:val="auto"/>
                <w:sz w:val="24"/>
                <w:lang w:val="en-US" w:eastAsia="zh-CN"/>
              </w:rPr>
            </w:pPr>
            <w:r>
              <w:rPr>
                <w:rFonts w:hint="eastAsia"/>
                <w:color w:val="auto"/>
                <w:sz w:val="24"/>
              </w:rPr>
              <w:t>（</w:t>
            </w:r>
            <w:r>
              <w:rPr>
                <w:rFonts w:hint="default"/>
                <w:color w:val="auto"/>
                <w:sz w:val="24"/>
              </w:rPr>
              <w:t>1</w:t>
            </w:r>
            <w:r>
              <w:rPr>
                <w:rFonts w:hint="eastAsia"/>
                <w:color w:val="auto"/>
                <w:sz w:val="24"/>
              </w:rPr>
              <w:t>）下料：</w:t>
            </w:r>
            <w:r>
              <w:rPr>
                <w:rFonts w:hint="eastAsia"/>
                <w:color w:val="auto"/>
                <w:sz w:val="24"/>
                <w:lang w:eastAsia="zh-CN"/>
              </w:rPr>
              <w:t>各种规格的原材料通过起重桁车配合，轨道小车运至下料区，经过起重机将其吊运至锯料架上锯切，锯下坯料运至加热工段，该工序需要用到切削液，</w:t>
            </w:r>
            <w:r>
              <w:rPr>
                <w:rFonts w:hint="eastAsia"/>
                <w:color w:val="auto"/>
                <w:sz w:val="24"/>
                <w:lang w:val="en-US" w:eastAsia="zh-CN"/>
              </w:rPr>
              <w:t>在常温下进行润滑</w:t>
            </w:r>
            <w:r>
              <w:rPr>
                <w:rStyle w:val="26"/>
                <w:rFonts w:hint="eastAsia"/>
                <w:color w:val="auto"/>
                <w:lang w:eastAsia="zh-CN"/>
              </w:rPr>
              <w:t>，</w:t>
            </w:r>
            <w:r>
              <w:rPr>
                <w:rStyle w:val="26"/>
                <w:rFonts w:hint="eastAsia"/>
                <w:color w:val="auto"/>
                <w:lang w:val="en-US" w:eastAsia="zh-CN"/>
              </w:rPr>
              <w:t>切削液</w:t>
            </w:r>
            <w:r>
              <w:rPr>
                <w:rFonts w:hint="eastAsia"/>
                <w:color w:val="auto"/>
                <w:sz w:val="24"/>
                <w:lang w:eastAsia="zh-CN"/>
              </w:rPr>
              <w:t>循环使用，不外排。该工序主要产生噪声、固体废物；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olor w:val="auto"/>
                <w:sz w:val="24"/>
              </w:rPr>
            </w:pPr>
            <w:r>
              <w:rPr>
                <w:rFonts w:hint="eastAsia"/>
                <w:color w:val="auto"/>
                <w:sz w:val="24"/>
              </w:rPr>
              <w:t>（</w:t>
            </w:r>
            <w:r>
              <w:rPr>
                <w:rFonts w:hint="default"/>
                <w:color w:val="auto"/>
                <w:sz w:val="24"/>
              </w:rPr>
              <w:t>2</w:t>
            </w:r>
            <w:r>
              <w:rPr>
                <w:rFonts w:hint="eastAsia"/>
                <w:color w:val="auto"/>
                <w:sz w:val="24"/>
              </w:rPr>
              <w:t>）</w:t>
            </w:r>
            <w:r>
              <w:rPr>
                <w:rFonts w:hint="eastAsia"/>
                <w:color w:val="auto"/>
                <w:sz w:val="24"/>
                <w:lang w:eastAsia="zh-CN"/>
              </w:rPr>
              <w:t>加热</w:t>
            </w:r>
            <w:r>
              <w:rPr>
                <w:rFonts w:hint="eastAsia"/>
                <w:color w:val="auto"/>
                <w:sz w:val="24"/>
              </w:rPr>
              <w:t>：</w:t>
            </w:r>
            <w:r>
              <w:rPr>
                <w:rFonts w:hint="eastAsia"/>
                <w:color w:val="auto"/>
                <w:sz w:val="24"/>
                <w:lang w:eastAsia="zh-CN"/>
              </w:rPr>
              <w:t>为提高金属塑性，降低变形抗力，将下料后的坯料通过起重机运至</w:t>
            </w:r>
            <w:r>
              <w:rPr>
                <w:rFonts w:hint="eastAsia"/>
                <w:color w:val="auto"/>
                <w:sz w:val="24"/>
                <w:lang w:val="en-US" w:eastAsia="zh-CN"/>
              </w:rPr>
              <w:t>电</w:t>
            </w:r>
            <w:r>
              <w:rPr>
                <w:rFonts w:hint="eastAsia"/>
                <w:color w:val="auto"/>
                <w:sz w:val="24"/>
                <w:lang w:eastAsia="zh-CN"/>
              </w:rPr>
              <w:t>炉内进行加热，</w:t>
            </w:r>
            <w:r>
              <w:rPr>
                <w:rFonts w:hint="eastAsia"/>
                <w:color w:val="auto"/>
                <w:sz w:val="24"/>
                <w:lang w:val="en-US" w:eastAsia="zh-CN"/>
              </w:rPr>
              <w:t>加热温度控制在700~750℃，加热后坯料运至锻压工段，该工序主要产生噪声</w:t>
            </w:r>
            <w:r>
              <w:rPr>
                <w:rFonts w:hint="eastAsia"/>
                <w:color w:val="auto"/>
                <w:sz w:val="24"/>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olor w:val="auto"/>
                <w:sz w:val="24"/>
              </w:rPr>
            </w:pPr>
            <w:r>
              <w:rPr>
                <w:rFonts w:hint="eastAsia"/>
                <w:color w:val="auto"/>
                <w:sz w:val="24"/>
              </w:rPr>
              <w:t>（</w:t>
            </w:r>
            <w:r>
              <w:rPr>
                <w:rFonts w:hint="default"/>
                <w:color w:val="auto"/>
                <w:sz w:val="24"/>
              </w:rPr>
              <w:t>3</w:t>
            </w:r>
            <w:r>
              <w:rPr>
                <w:rFonts w:hint="eastAsia"/>
                <w:color w:val="auto"/>
                <w:sz w:val="24"/>
              </w:rPr>
              <w:t>）</w:t>
            </w:r>
            <w:r>
              <w:rPr>
                <w:rFonts w:hint="eastAsia"/>
                <w:color w:val="auto"/>
                <w:sz w:val="24"/>
                <w:lang w:eastAsia="zh-CN"/>
              </w:rPr>
              <w:t>锻造：将加热后坯料分别采用自由塅进行制坯及液压机进行模锻成型，该工序产生噪声</w:t>
            </w:r>
            <w:r>
              <w:rPr>
                <w:rFonts w:hint="eastAsia"/>
                <w:color w:val="auto"/>
                <w:sz w:val="24"/>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eastAsia="宋体"/>
                <w:color w:val="auto"/>
                <w:sz w:val="24"/>
                <w:lang w:val="en-US" w:eastAsia="zh-CN"/>
              </w:rPr>
            </w:pPr>
            <w:r>
              <w:rPr>
                <w:rFonts w:hint="eastAsia"/>
                <w:color w:val="auto"/>
                <w:sz w:val="24"/>
              </w:rPr>
              <w:t>（</w:t>
            </w:r>
            <w:r>
              <w:rPr>
                <w:rFonts w:hint="default"/>
                <w:color w:val="auto"/>
                <w:sz w:val="24"/>
              </w:rPr>
              <w:t>4</w:t>
            </w:r>
            <w:r>
              <w:rPr>
                <w:rFonts w:hint="eastAsia"/>
                <w:color w:val="auto"/>
                <w:sz w:val="24"/>
              </w:rPr>
              <w:t>）</w:t>
            </w:r>
            <w:r>
              <w:rPr>
                <w:rFonts w:hint="eastAsia"/>
                <w:color w:val="auto"/>
                <w:sz w:val="24"/>
                <w:lang w:eastAsia="zh-CN"/>
              </w:rPr>
              <w:t>碾环：借助碾环机使环件产生连续局部塑性变形，将加热并冲有</w:t>
            </w:r>
            <w:r>
              <w:rPr>
                <w:rFonts w:hint="eastAsia"/>
                <w:color w:val="auto"/>
                <w:sz w:val="24"/>
                <w:lang w:val="en-US" w:eastAsia="zh-CN"/>
              </w:rPr>
              <w:t>DN200mm小孔坯料套在芯辊，靠碾压辊的外缘带动坯料旋转，将坯料一次性加工成符合要求的厚度与直径，碾制速度为1-2mm/s，碾环周期一般为10s，该工序产生噪声和固体废物。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color w:val="auto"/>
                <w:sz w:val="24"/>
                <w:lang w:eastAsia="zh-CN"/>
              </w:rPr>
            </w:pPr>
            <w:r>
              <w:rPr>
                <w:rFonts w:hint="eastAsia"/>
                <w:color w:val="auto"/>
                <w:sz w:val="24"/>
              </w:rPr>
              <w:t>（</w:t>
            </w:r>
            <w:r>
              <w:rPr>
                <w:rFonts w:hint="default"/>
                <w:color w:val="auto"/>
                <w:sz w:val="24"/>
              </w:rPr>
              <w:t>5</w:t>
            </w:r>
            <w:r>
              <w:rPr>
                <w:rFonts w:hint="eastAsia"/>
                <w:color w:val="auto"/>
                <w:sz w:val="24"/>
              </w:rPr>
              <w:t>）</w:t>
            </w:r>
            <w:r>
              <w:rPr>
                <w:rFonts w:hint="eastAsia"/>
                <w:color w:val="auto"/>
                <w:sz w:val="24"/>
                <w:lang w:eastAsia="zh-CN"/>
              </w:rPr>
              <w:t>热处理</w:t>
            </w:r>
            <w:r>
              <w:rPr>
                <w:rFonts w:hint="eastAsia"/>
                <w:color w:val="auto"/>
                <w:sz w:val="24"/>
              </w:rPr>
              <w:t>：</w:t>
            </w:r>
            <w:r>
              <w:rPr>
                <w:rFonts w:hint="eastAsia"/>
                <w:color w:val="auto"/>
                <w:sz w:val="24"/>
                <w:lang w:eastAsia="zh-CN"/>
              </w:rPr>
              <w:t>热处理目的是改善零件的力学性能，消除锻件内部压力，将碾环后的工件通过</w:t>
            </w:r>
            <w:r>
              <w:rPr>
                <w:rFonts w:hint="eastAsia"/>
                <w:color w:val="auto"/>
                <w:sz w:val="24"/>
                <w:lang w:val="en-US" w:eastAsia="zh-CN"/>
              </w:rPr>
              <w:t>电</w:t>
            </w:r>
            <w:r>
              <w:rPr>
                <w:rFonts w:hint="eastAsia"/>
                <w:color w:val="auto"/>
                <w:sz w:val="24"/>
                <w:lang w:eastAsia="zh-CN"/>
              </w:rPr>
              <w:t>炉进行加热，热处理的基本工艺为：加热</w:t>
            </w:r>
            <w:r>
              <w:rPr>
                <w:rFonts w:hint="default" w:ascii="Arial" w:hAnsi="Arial" w:cs="Arial"/>
                <w:color w:val="auto"/>
                <w:sz w:val="24"/>
                <w:lang w:eastAsia="zh-CN"/>
              </w:rPr>
              <w:t>→</w:t>
            </w:r>
            <w:r>
              <w:rPr>
                <w:rFonts w:hint="eastAsia"/>
                <w:color w:val="auto"/>
                <w:sz w:val="24"/>
                <w:lang w:eastAsia="zh-CN"/>
              </w:rPr>
              <w:t>保温</w:t>
            </w:r>
            <w:r>
              <w:rPr>
                <w:rFonts w:hint="default" w:ascii="Arial" w:hAnsi="Arial" w:cs="Arial"/>
                <w:color w:val="auto"/>
                <w:sz w:val="24"/>
                <w:lang w:eastAsia="zh-CN"/>
              </w:rPr>
              <w:t>→</w:t>
            </w:r>
            <w:r>
              <w:rPr>
                <w:rFonts w:hint="eastAsia"/>
                <w:color w:val="auto"/>
                <w:sz w:val="24"/>
                <w:lang w:eastAsia="zh-CN"/>
              </w:rPr>
              <w:t>冷却；主要分为退火工艺、正火工艺、调质工艺；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eastAsia="宋体"/>
                <w:color w:val="auto"/>
                <w:sz w:val="24"/>
                <w:lang w:eastAsia="zh-CN"/>
              </w:rPr>
            </w:pPr>
            <w:r>
              <w:rPr>
                <w:rFonts w:hint="eastAsia"/>
                <w:color w:val="auto"/>
                <w:sz w:val="24"/>
              </w:rPr>
              <w:t>（</w:t>
            </w:r>
            <w:r>
              <w:rPr>
                <w:rFonts w:hint="default"/>
                <w:color w:val="auto"/>
                <w:sz w:val="24"/>
              </w:rPr>
              <w:t>6</w:t>
            </w:r>
            <w:r>
              <w:rPr>
                <w:rFonts w:hint="eastAsia"/>
                <w:color w:val="auto"/>
                <w:sz w:val="24"/>
              </w:rPr>
              <w:t>）</w:t>
            </w:r>
            <w:r>
              <w:rPr>
                <w:rFonts w:hint="eastAsia"/>
                <w:color w:val="auto"/>
                <w:sz w:val="24"/>
                <w:lang w:eastAsia="zh-CN"/>
              </w:rPr>
              <w:t>机加工</w:t>
            </w:r>
            <w:r>
              <w:rPr>
                <w:rFonts w:hint="eastAsia"/>
                <w:color w:val="auto"/>
                <w:sz w:val="24"/>
              </w:rPr>
              <w:t>：</w:t>
            </w:r>
            <w:r>
              <w:rPr>
                <w:rFonts w:hint="eastAsia"/>
                <w:color w:val="auto"/>
                <w:sz w:val="24"/>
                <w:lang w:eastAsia="zh-CN"/>
              </w:rPr>
              <w:t>根据产品外形尺寸的要求对热处理后的工件进行机加工，主要是</w:t>
            </w:r>
            <w:r>
              <w:rPr>
                <w:rFonts w:hint="eastAsia"/>
                <w:color w:val="auto"/>
                <w:sz w:val="24"/>
                <w:lang w:val="en-US" w:eastAsia="zh-CN"/>
              </w:rPr>
              <w:t>抛丸、打磨、焊接、</w:t>
            </w:r>
            <w:r>
              <w:rPr>
                <w:rFonts w:hint="eastAsia"/>
                <w:color w:val="auto"/>
                <w:sz w:val="24"/>
                <w:lang w:eastAsia="zh-CN"/>
              </w:rPr>
              <w:t>车削加工和钻削加工，车削加工和钻削加工需要用到切削液，循环使用，不外排，该工序主要产生噪声、固体废物，</w:t>
            </w:r>
            <w:r>
              <w:rPr>
                <w:rFonts w:hint="eastAsia"/>
                <w:color w:val="auto"/>
                <w:sz w:val="24"/>
                <w:lang w:val="en-US" w:eastAsia="zh-CN"/>
              </w:rPr>
              <w:t>在抛丸、打磨、焊接等工序会产生加工粉尘</w:t>
            </w:r>
            <w:r>
              <w:rPr>
                <w:rFonts w:hint="eastAsia"/>
                <w:color w:val="auto"/>
                <w:sz w:val="24"/>
                <w:lang w:eastAsia="zh-CN"/>
              </w:rPr>
              <w:t>；</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sz w:val="24"/>
              </w:rPr>
              <w:t>（</w:t>
            </w:r>
            <w:r>
              <w:rPr>
                <w:rFonts w:hint="default"/>
                <w:color w:val="auto"/>
                <w:sz w:val="24"/>
              </w:rPr>
              <w:t>7</w:t>
            </w:r>
            <w:r>
              <w:rPr>
                <w:rFonts w:hint="eastAsia"/>
                <w:color w:val="auto"/>
                <w:sz w:val="24"/>
              </w:rPr>
              <w:t>）</w:t>
            </w:r>
            <w:r>
              <w:rPr>
                <w:rFonts w:hint="eastAsia"/>
                <w:color w:val="auto"/>
                <w:sz w:val="24"/>
                <w:lang w:eastAsia="zh-CN"/>
              </w:rPr>
              <w:t>检验</w:t>
            </w:r>
            <w:r>
              <w:rPr>
                <w:rFonts w:hint="eastAsia"/>
                <w:color w:val="auto"/>
                <w:sz w:val="24"/>
              </w:rPr>
              <w:t>：</w:t>
            </w:r>
            <w:r>
              <w:rPr>
                <w:rFonts w:hint="eastAsia"/>
                <w:color w:val="auto"/>
                <w:sz w:val="24"/>
                <w:lang w:eastAsia="zh-CN"/>
              </w:rPr>
              <w:t>根据检测指标对产品进行检验，合格品进行包装入库，不合格品作为固体废物进行处理，该工序产生固体废物</w:t>
            </w:r>
            <w:r>
              <w:rPr>
                <w:rFonts w:hint="eastAsia"/>
                <w:color w:val="auto"/>
                <w:sz w:val="24"/>
              </w:rPr>
              <w:t>。</w:t>
            </w:r>
          </w:p>
          <w:p>
            <w:pPr>
              <w:pStyle w:val="5"/>
              <w:numPr>
                <w:ilvl w:val="2"/>
                <w:numId w:val="6"/>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主要产污环节</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本项目主要污染工序见</w:t>
            </w:r>
            <w:r>
              <w:rPr>
                <w:rFonts w:hint="eastAsia"/>
                <w:color w:val="auto"/>
                <w:highlight w:val="none"/>
              </w:rPr>
              <w:t>下表</w:t>
            </w:r>
            <w:r>
              <w:rPr>
                <w:rFonts w:hint="default"/>
                <w:color w:val="auto"/>
                <w:highlight w:val="none"/>
              </w:rPr>
              <w:t>。</w:t>
            </w:r>
          </w:p>
          <w:p>
            <w:pPr>
              <w:pStyle w:val="22"/>
              <w:keepNext w:val="0"/>
              <w:keepLines w:val="0"/>
              <w:numPr>
                <w:ilvl w:val="7"/>
                <w:numId w:val="6"/>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主要污染工序一览表</w:t>
            </w:r>
          </w:p>
          <w:p>
            <w:pPr>
              <w:keepNext w:val="0"/>
              <w:keepLines w:val="0"/>
              <w:suppressLineNumbers w:val="0"/>
              <w:adjustRightInd w:val="0"/>
              <w:snapToGrid w:val="0"/>
              <w:spacing w:before="0" w:beforeAutospacing="0" w:after="0" w:afterAutospacing="0"/>
              <w:ind w:left="0" w:right="0"/>
              <w:rPr>
                <w:rFonts w:hint="default" w:ascii="宋体" w:hAnsi="宋体"/>
                <w:bCs/>
                <w:color w:val="auto"/>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225" w:type="pct"/>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1"/>
                <w:szCs w:val="21"/>
                <w:highlight w:val="none"/>
              </w:rPr>
            </w:pPr>
            <w:r>
              <w:rPr>
                <w:rFonts w:hint="eastAsia" w:cs="宋体"/>
                <w:bCs/>
                <w:color w:val="auto"/>
                <w:kern w:val="2"/>
                <w:sz w:val="21"/>
                <w:szCs w:val="21"/>
                <w:highlight w:val="none"/>
              </w:rPr>
              <w:t>与项目有关的原有环境污染问题</w:t>
            </w:r>
          </w:p>
        </w:tc>
        <w:tc>
          <w:tcPr>
            <w:tcW w:w="4774" w:type="pct"/>
            <w:vAlign w:val="center"/>
          </w:tcPr>
          <w:p>
            <w:pPr>
              <w:pStyle w:val="4"/>
              <w:keepNext w:val="0"/>
              <w:keepLines w:val="0"/>
              <w:numPr>
                <w:ilvl w:val="1"/>
                <w:numId w:val="7"/>
              </w:numPr>
              <w:suppressLineNumbers w:val="0"/>
              <w:tabs>
                <w:tab w:val="left" w:pos="420"/>
              </w:tabs>
              <w:spacing w:before="0" w:beforeAutospacing="0" w:after="0" w:afterAutospacing="0"/>
              <w:ind w:right="0"/>
              <w:rPr>
                <w:rFonts w:hint="default"/>
                <w:color w:val="auto"/>
              </w:rPr>
            </w:pPr>
            <w:r>
              <w:rPr>
                <w:rFonts w:hint="eastAsia"/>
                <w:color w:val="auto"/>
              </w:rPr>
              <w:t>现有工程概况</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福建省超达锻造有限公司原为福鼎市利王机械制造有限公司。福鼎市利王机械制造有限公司于2016年8月11日成立，经营范围包括：机械制造；机械配件、阀门配件、锻件、法兰制造、加工、销售。福鼎市利王机械制造有限公司于2016年委托北京中企安信环境科技有限公司进行《金属制品制造项目环境影响报告表》的环境影响评价（建设规模：年产2000吨产能），已于2017年1月9日取得原福鼎环境保护局（现宁德市福鼎市生态环境局）的审批，批文编码为鼎环审〔2017〕008号；并于2017年12月进行验收，验收规模：年产2000吨产能；由于市场较好，需扩建产能，于2019年9月委托福建省环境保护股份公司编制《阀门配件锻件扩建项目环境影响报告表》（建设规模：年产2000吨产能），2019年12月18日该项目通过宁德市福鼎生态环境局的环保批复（宁鼎环审[2019]070号）；于2020年3月进行阶段自主验收，验收规模：年产1000吨阀门配件锻件。现有工程已批4000吨产能，实际建设验收3000吨产能，余1000吨产能及配套设施为建设。</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现有工程环保手续落实情况如下表所示。</w:t>
            </w:r>
          </w:p>
          <w:p>
            <w:pPr>
              <w:pStyle w:val="22"/>
              <w:keepNext w:val="0"/>
              <w:keepLines w:val="0"/>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现有项目环保手续落实情况</w:t>
            </w:r>
          </w:p>
          <w:p>
            <w:pPr>
              <w:pStyle w:val="25"/>
              <w:keepNext w:val="0"/>
              <w:keepLines w:val="0"/>
              <w:suppressLineNumbers w:val="0"/>
              <w:bidi w:val="0"/>
              <w:spacing w:before="0" w:beforeAutospacing="0" w:after="0" w:afterAutospacing="0"/>
              <w:ind w:left="0" w:right="0"/>
              <w:rPr>
                <w:rFonts w:hint="default"/>
                <w:color w:val="auto"/>
                <w:lang w:val="en-US" w:eastAsia="zh-CN"/>
              </w:rPr>
            </w:pPr>
          </w:p>
          <w:p>
            <w:pPr>
              <w:pStyle w:val="4"/>
              <w:keepNext w:val="0"/>
              <w:keepLines w:val="0"/>
              <w:suppressLineNumbers w:val="0"/>
              <w:bidi w:val="0"/>
              <w:spacing w:before="0" w:beforeAutospacing="0" w:after="0" w:afterAutospacing="0"/>
              <w:ind w:left="0" w:right="0"/>
              <w:rPr>
                <w:rFonts w:hint="default"/>
                <w:color w:val="auto"/>
                <w:lang w:val="en-US" w:eastAsia="zh-CN"/>
              </w:rPr>
            </w:pPr>
            <w:r>
              <w:rPr>
                <w:rFonts w:hint="default"/>
                <w:color w:val="auto"/>
              </w:rPr>
              <w:t>现有工程生产工艺流程及产污环节</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现有工程具体生产工艺流程及产污环节见</w:t>
            </w:r>
            <w:r>
              <w:rPr>
                <w:rFonts w:hint="eastAsia"/>
                <w:color w:val="auto"/>
                <w:lang w:val="en-US" w:eastAsia="zh-CN"/>
              </w:rPr>
              <w:t>下图</w:t>
            </w:r>
            <w:r>
              <w:rPr>
                <w:rFonts w:hint="default"/>
                <w:color w:val="auto"/>
              </w:rPr>
              <w:t>。</w:t>
            </w:r>
          </w:p>
          <w:p>
            <w:pPr>
              <w:pStyle w:val="25"/>
              <w:keepNext w:val="0"/>
              <w:keepLines w:val="0"/>
              <w:suppressLineNumbers w:val="0"/>
              <w:bidi w:val="0"/>
              <w:spacing w:before="0" w:beforeAutospacing="0" w:after="0" w:afterAutospacing="0"/>
              <w:ind w:left="0" w:leftChars="0" w:right="0" w:firstLine="0" w:firstLineChars="0"/>
              <w:rPr>
                <w:rFonts w:hint="default"/>
                <w:color w:val="auto"/>
              </w:rPr>
            </w:pPr>
          </w:p>
          <w:p>
            <w:pPr>
              <w:pStyle w:val="24"/>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eastAsia="zh-CN"/>
              </w:rPr>
              <w:t>生产</w:t>
            </w:r>
            <w:r>
              <w:rPr>
                <w:rFonts w:hint="eastAsia"/>
                <w:color w:val="auto"/>
              </w:rPr>
              <w:t>工艺流程及产污环节图</w:t>
            </w:r>
          </w:p>
          <w:p>
            <w:pPr>
              <w:pStyle w:val="25"/>
              <w:keepNext w:val="0"/>
              <w:keepLines w:val="0"/>
              <w:suppressLineNumbers w:val="0"/>
              <w:bidi w:val="0"/>
              <w:spacing w:before="0" w:beforeAutospacing="0" w:after="0" w:afterAutospacing="0"/>
              <w:ind w:left="0" w:leftChars="0" w:right="0" w:firstLine="0" w:firstLineChars="0"/>
              <w:rPr>
                <w:rFonts w:hint="default"/>
                <w:color w:val="auto"/>
                <w:lang w:val="en-US" w:eastAsia="zh-CN"/>
              </w:rPr>
            </w:pPr>
            <w:r>
              <w:rPr>
                <w:rFonts w:hint="default"/>
                <w:color w:val="auto"/>
                <w:lang w:val="zh-CN"/>
              </w:rPr>
              <w:t>生产工艺流程说明</w:t>
            </w:r>
            <w:r>
              <w:rPr>
                <w:rFonts w:hint="eastAsia"/>
                <w:color w:val="auto"/>
                <w:lang w:val="zh-CN"/>
              </w:rPr>
              <w:t>：</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rPr>
              <w:t>（</w:t>
            </w:r>
            <w:r>
              <w:rPr>
                <w:rFonts w:hint="default"/>
                <w:color w:val="auto"/>
              </w:rPr>
              <w:t>1</w:t>
            </w:r>
            <w:r>
              <w:rPr>
                <w:rFonts w:hint="eastAsia"/>
                <w:color w:val="auto"/>
              </w:rPr>
              <w:t>）下料：</w:t>
            </w:r>
            <w:r>
              <w:rPr>
                <w:rFonts w:hint="eastAsia"/>
                <w:color w:val="auto"/>
                <w:lang w:eastAsia="zh-CN"/>
              </w:rPr>
              <w:t>各种规格的原材料通过起重桁车配合，轨道小车运至下料区，经过起重机将其吊运至锯料架上锯切，锯下坯料运至加热工段，该工序需要用到切削液，循环使用，不外排，该工序主要产生噪声、固体废物；</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rPr>
              <w:t>（</w:t>
            </w:r>
            <w:r>
              <w:rPr>
                <w:rFonts w:hint="default"/>
                <w:color w:val="auto"/>
              </w:rPr>
              <w:t>2</w:t>
            </w:r>
            <w:r>
              <w:rPr>
                <w:rFonts w:hint="eastAsia"/>
                <w:color w:val="auto"/>
              </w:rPr>
              <w:t>）</w:t>
            </w:r>
            <w:r>
              <w:rPr>
                <w:rFonts w:hint="eastAsia"/>
                <w:color w:val="auto"/>
                <w:lang w:eastAsia="zh-CN"/>
              </w:rPr>
              <w:t>加热</w:t>
            </w:r>
            <w:r>
              <w:rPr>
                <w:rFonts w:hint="eastAsia"/>
                <w:color w:val="auto"/>
              </w:rPr>
              <w:t>：</w:t>
            </w:r>
            <w:r>
              <w:rPr>
                <w:rFonts w:hint="eastAsia"/>
                <w:color w:val="auto"/>
                <w:lang w:eastAsia="zh-CN"/>
              </w:rPr>
              <w:t>为提高金属塑性，降低变形抗力，将下料后的坯料通过起重机运至天然气加热炉内进行加热，最高炉温为</w:t>
            </w:r>
            <w:r>
              <w:rPr>
                <w:rFonts w:hint="eastAsia"/>
                <w:color w:val="auto"/>
                <w:lang w:val="en-US" w:eastAsia="zh-CN"/>
              </w:rPr>
              <w:t>1250℃，最高锭坯温度为1230℃，终塅温度控制在700~750℃，最少保温时间为3.5h，普通保温时间为5.5h，加热后坯料运至锻压工段，该工序主要产生噪声和SO</w:t>
            </w:r>
            <w:r>
              <w:rPr>
                <w:rFonts w:hint="eastAsia"/>
                <w:color w:val="auto"/>
                <w:vertAlign w:val="subscript"/>
                <w:lang w:val="en-US" w:eastAsia="zh-CN"/>
              </w:rPr>
              <w:t>2</w:t>
            </w:r>
            <w:r>
              <w:rPr>
                <w:rFonts w:hint="eastAsia"/>
                <w:color w:val="auto"/>
                <w:lang w:val="en-US" w:eastAsia="zh-CN"/>
              </w:rPr>
              <w:t>、NOx、烟尘</w:t>
            </w:r>
            <w:r>
              <w:rPr>
                <w:rFonts w:hint="eastAsia"/>
                <w:color w:val="auto"/>
              </w:rPr>
              <w:t>；</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rPr>
              <w:t>（</w:t>
            </w:r>
            <w:r>
              <w:rPr>
                <w:rFonts w:hint="default"/>
                <w:color w:val="auto"/>
              </w:rPr>
              <w:t>3</w:t>
            </w:r>
            <w:r>
              <w:rPr>
                <w:rFonts w:hint="eastAsia"/>
                <w:color w:val="auto"/>
              </w:rPr>
              <w:t>）</w:t>
            </w:r>
            <w:r>
              <w:rPr>
                <w:rFonts w:hint="eastAsia"/>
                <w:color w:val="auto"/>
                <w:lang w:eastAsia="zh-CN"/>
              </w:rPr>
              <w:t>锻造：将加热后坯料分别采用自由塅进行制坯及液压机进行模锻成型，该工序产生噪声</w:t>
            </w:r>
            <w:r>
              <w:rPr>
                <w:rFonts w:hint="eastAsia"/>
                <w:color w:val="auto"/>
              </w:rPr>
              <w:t>；</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rPr>
              <w:t>（</w:t>
            </w:r>
            <w:r>
              <w:rPr>
                <w:rFonts w:hint="default"/>
                <w:color w:val="auto"/>
              </w:rPr>
              <w:t>4</w:t>
            </w:r>
            <w:r>
              <w:rPr>
                <w:rFonts w:hint="eastAsia"/>
                <w:color w:val="auto"/>
              </w:rPr>
              <w:t>）</w:t>
            </w:r>
            <w:r>
              <w:rPr>
                <w:rFonts w:hint="eastAsia"/>
                <w:color w:val="auto"/>
                <w:lang w:eastAsia="zh-CN"/>
              </w:rPr>
              <w:t>碾环：借助碾环机使环件产生连续局部塑性变形，将加热并冲有</w:t>
            </w:r>
            <w:r>
              <w:rPr>
                <w:rFonts w:hint="eastAsia"/>
                <w:color w:val="auto"/>
                <w:lang w:val="en-US" w:eastAsia="zh-CN"/>
              </w:rPr>
              <w:t>DN200mm小孔坯料套在芯辊，靠碾压辊的外缘带动坯料旋转，将坯料一次性加工成符合要求的厚度与直径，碾制速度为1-2mm/s，碾环周期一般为10s，该工序产生噪声和固体废物。</w:t>
            </w:r>
          </w:p>
          <w:p>
            <w:pPr>
              <w:pStyle w:val="25"/>
              <w:keepNext w:val="0"/>
              <w:keepLines w:val="0"/>
              <w:suppressLineNumbers w:val="0"/>
              <w:bidi w:val="0"/>
              <w:spacing w:before="0" w:beforeAutospacing="0" w:after="0" w:afterAutospacing="0"/>
              <w:ind w:left="0" w:right="0"/>
              <w:rPr>
                <w:rFonts w:hint="eastAsia"/>
                <w:color w:val="auto"/>
                <w:lang w:eastAsia="zh-CN"/>
              </w:rPr>
            </w:pPr>
            <w:r>
              <w:rPr>
                <w:rFonts w:hint="eastAsia"/>
                <w:color w:val="auto"/>
              </w:rPr>
              <w:t>（</w:t>
            </w:r>
            <w:r>
              <w:rPr>
                <w:rFonts w:hint="default"/>
                <w:color w:val="auto"/>
              </w:rPr>
              <w:t>5</w:t>
            </w:r>
            <w:r>
              <w:rPr>
                <w:rFonts w:hint="eastAsia"/>
                <w:color w:val="auto"/>
              </w:rPr>
              <w:t>）</w:t>
            </w:r>
            <w:r>
              <w:rPr>
                <w:rFonts w:hint="eastAsia"/>
                <w:color w:val="auto"/>
                <w:lang w:eastAsia="zh-CN"/>
              </w:rPr>
              <w:t>热处理</w:t>
            </w:r>
            <w:r>
              <w:rPr>
                <w:rFonts w:hint="eastAsia"/>
                <w:color w:val="auto"/>
              </w:rPr>
              <w:t>：</w:t>
            </w:r>
            <w:r>
              <w:rPr>
                <w:rFonts w:hint="eastAsia"/>
                <w:color w:val="auto"/>
                <w:lang w:eastAsia="zh-CN"/>
              </w:rPr>
              <w:t>热处理目的是改善零件的力学性能，消除锻件内部压力，将碾环后的工件通过加热炉进行加热，热处理的基本工艺为：加热</w:t>
            </w:r>
            <w:r>
              <w:rPr>
                <w:rFonts w:hint="default"/>
                <w:color w:val="auto"/>
                <w:lang w:eastAsia="zh-CN"/>
              </w:rPr>
              <w:t>→</w:t>
            </w:r>
            <w:r>
              <w:rPr>
                <w:rFonts w:hint="eastAsia"/>
                <w:color w:val="auto"/>
                <w:lang w:eastAsia="zh-CN"/>
              </w:rPr>
              <w:t>保温</w:t>
            </w:r>
            <w:r>
              <w:rPr>
                <w:rFonts w:hint="default"/>
                <w:color w:val="auto"/>
                <w:lang w:eastAsia="zh-CN"/>
              </w:rPr>
              <w:t>→</w:t>
            </w:r>
            <w:r>
              <w:rPr>
                <w:rFonts w:hint="eastAsia"/>
                <w:color w:val="auto"/>
                <w:lang w:eastAsia="zh-CN"/>
              </w:rPr>
              <w:t>冷却；主要分为退火工艺、正火工艺、调质工艺，</w:t>
            </w:r>
            <w:r>
              <w:rPr>
                <w:rFonts w:hint="eastAsia"/>
                <w:color w:val="auto"/>
                <w:lang w:val="en-US" w:eastAsia="zh-CN"/>
              </w:rPr>
              <w:t>该工序主要产生SO</w:t>
            </w:r>
            <w:r>
              <w:rPr>
                <w:rFonts w:hint="eastAsia"/>
                <w:color w:val="auto"/>
                <w:vertAlign w:val="subscript"/>
                <w:lang w:val="en-US" w:eastAsia="zh-CN"/>
              </w:rPr>
              <w:t>2</w:t>
            </w:r>
            <w:r>
              <w:rPr>
                <w:rFonts w:hint="eastAsia"/>
                <w:color w:val="auto"/>
                <w:lang w:val="en-US" w:eastAsia="zh-CN"/>
              </w:rPr>
              <w:t>、NOx、烟尘</w:t>
            </w:r>
            <w:r>
              <w:rPr>
                <w:rFonts w:hint="eastAsia"/>
                <w:color w:val="auto"/>
                <w:lang w:eastAsia="zh-CN"/>
              </w:rPr>
              <w:t>；</w:t>
            </w:r>
          </w:p>
          <w:p>
            <w:pPr>
              <w:pStyle w:val="25"/>
              <w:keepNext w:val="0"/>
              <w:keepLines w:val="0"/>
              <w:suppressLineNumbers w:val="0"/>
              <w:bidi w:val="0"/>
              <w:spacing w:before="0" w:beforeAutospacing="0" w:after="0" w:afterAutospacing="0"/>
              <w:ind w:left="0" w:right="0"/>
              <w:rPr>
                <w:rFonts w:hint="eastAsia"/>
                <w:color w:val="auto"/>
                <w:lang w:eastAsia="zh-CN"/>
              </w:rPr>
            </w:pPr>
            <w:r>
              <w:rPr>
                <w:rFonts w:hint="eastAsia"/>
                <w:color w:val="auto"/>
              </w:rPr>
              <w:t>（</w:t>
            </w:r>
            <w:r>
              <w:rPr>
                <w:rFonts w:hint="default"/>
                <w:color w:val="auto"/>
              </w:rPr>
              <w:t>6</w:t>
            </w:r>
            <w:r>
              <w:rPr>
                <w:rFonts w:hint="eastAsia"/>
                <w:color w:val="auto"/>
              </w:rPr>
              <w:t>）</w:t>
            </w:r>
            <w:r>
              <w:rPr>
                <w:rFonts w:hint="eastAsia"/>
                <w:color w:val="auto"/>
                <w:lang w:eastAsia="zh-CN"/>
              </w:rPr>
              <w:t>机加工</w:t>
            </w:r>
            <w:r>
              <w:rPr>
                <w:rFonts w:hint="eastAsia"/>
                <w:color w:val="auto"/>
              </w:rPr>
              <w:t>：</w:t>
            </w:r>
            <w:r>
              <w:rPr>
                <w:rFonts w:hint="eastAsia"/>
                <w:color w:val="auto"/>
                <w:lang w:eastAsia="zh-CN"/>
              </w:rPr>
              <w:t>根据产品外形尺寸的要求对热处理后的工件进行机加工，主要是</w:t>
            </w:r>
            <w:r>
              <w:rPr>
                <w:rFonts w:hint="eastAsia"/>
                <w:color w:val="auto"/>
                <w:lang w:val="en-US" w:eastAsia="zh-CN"/>
              </w:rPr>
              <w:t>抛丸、打磨、焊接、</w:t>
            </w:r>
            <w:r>
              <w:rPr>
                <w:rFonts w:hint="eastAsia"/>
                <w:color w:val="auto"/>
                <w:lang w:eastAsia="zh-CN"/>
              </w:rPr>
              <w:t>车削加工和钻削加工，车削加工和钻削加工需要用到切削液，循环使用，不外排，该工序主要产生噪声、固体废物，</w:t>
            </w:r>
            <w:r>
              <w:rPr>
                <w:rFonts w:hint="eastAsia"/>
                <w:color w:val="auto"/>
                <w:lang w:val="en-US" w:eastAsia="zh-CN"/>
              </w:rPr>
              <w:t>在抛丸、打磨、焊接等工序会产生加工粉尘</w:t>
            </w:r>
            <w:r>
              <w:rPr>
                <w:rFonts w:hint="eastAsia"/>
                <w:color w:val="auto"/>
                <w:lang w:eastAsia="zh-CN"/>
              </w:rPr>
              <w:t>；</w:t>
            </w:r>
          </w:p>
          <w:p>
            <w:pPr>
              <w:pStyle w:val="25"/>
              <w:keepNext w:val="0"/>
              <w:keepLines w:val="0"/>
              <w:suppressLineNumbers w:val="0"/>
              <w:bidi w:val="0"/>
              <w:spacing w:before="0" w:beforeAutospacing="0" w:after="0" w:afterAutospacing="0"/>
              <w:ind w:left="0" w:right="0"/>
              <w:rPr>
                <w:rFonts w:hint="eastAsia"/>
                <w:color w:val="auto"/>
              </w:rPr>
            </w:pPr>
            <w:r>
              <w:rPr>
                <w:rFonts w:hint="eastAsia"/>
                <w:color w:val="auto"/>
              </w:rPr>
              <w:t>（</w:t>
            </w:r>
            <w:r>
              <w:rPr>
                <w:rFonts w:hint="default"/>
                <w:color w:val="auto"/>
              </w:rPr>
              <w:t>7</w:t>
            </w:r>
            <w:r>
              <w:rPr>
                <w:rFonts w:hint="eastAsia"/>
                <w:color w:val="auto"/>
              </w:rPr>
              <w:t>）</w:t>
            </w:r>
            <w:r>
              <w:rPr>
                <w:rFonts w:hint="eastAsia"/>
                <w:color w:val="auto"/>
                <w:lang w:eastAsia="zh-CN"/>
              </w:rPr>
              <w:t>检验</w:t>
            </w:r>
            <w:r>
              <w:rPr>
                <w:rFonts w:hint="eastAsia"/>
                <w:color w:val="auto"/>
              </w:rPr>
              <w:t>：</w:t>
            </w:r>
            <w:r>
              <w:rPr>
                <w:rFonts w:hint="eastAsia"/>
                <w:color w:val="auto"/>
                <w:lang w:eastAsia="zh-CN"/>
              </w:rPr>
              <w:t>根据检测指标对产品进行检验，合格品进行包装入库，不合格品作为固体废物进行处理，该工序产生固体废物</w:t>
            </w:r>
            <w:r>
              <w:rPr>
                <w:rFonts w:hint="eastAsia"/>
                <w:color w:val="auto"/>
              </w:rPr>
              <w:t>。</w:t>
            </w:r>
          </w:p>
          <w:p>
            <w:pPr>
              <w:pStyle w:val="4"/>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已批已建</w:t>
            </w:r>
            <w:r>
              <w:rPr>
                <w:rFonts w:hint="default"/>
                <w:color w:val="auto"/>
              </w:rPr>
              <w:t>工程污染物排放情况及环保措施</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现有项目已批4000吨产能，实际建设3000吨产能，并验收，已建工程污染物排放情况及环保措施如下分析：</w:t>
            </w:r>
          </w:p>
          <w:p>
            <w:pPr>
              <w:pStyle w:val="5"/>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废水</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(1)生产废水</w:t>
            </w:r>
          </w:p>
          <w:p>
            <w:pPr>
              <w:pStyle w:val="25"/>
              <w:keepNext w:val="0"/>
              <w:keepLines w:val="0"/>
              <w:suppressLineNumbers w:val="0"/>
              <w:bidi w:val="0"/>
              <w:spacing w:before="0" w:beforeAutospacing="0" w:after="0" w:afterAutospacing="0"/>
              <w:ind w:left="0" w:right="0"/>
              <w:rPr>
                <w:rFonts w:hint="eastAsia"/>
                <w:color w:val="auto"/>
              </w:rPr>
            </w:pPr>
            <w:r>
              <w:rPr>
                <w:rFonts w:hint="eastAsia"/>
                <w:color w:val="auto"/>
                <w:lang w:val="en-US" w:eastAsia="zh-CN"/>
              </w:rPr>
              <w:t>已批已建</w:t>
            </w:r>
            <w:r>
              <w:rPr>
                <w:rFonts w:hint="eastAsia"/>
                <w:color w:val="auto"/>
                <w:lang w:eastAsia="zh-CN"/>
              </w:rPr>
              <w:t>工程</w:t>
            </w:r>
            <w:r>
              <w:rPr>
                <w:rFonts w:hint="eastAsia"/>
                <w:color w:val="auto"/>
              </w:rPr>
              <w:t>生产用水主要为铸件热处理工序淬火用水，</w:t>
            </w:r>
            <w:r>
              <w:rPr>
                <w:rFonts w:hint="eastAsia"/>
                <w:color w:val="auto"/>
                <w:lang w:eastAsia="zh-CN"/>
              </w:rPr>
              <w:t>设置冷却池，</w:t>
            </w:r>
            <w:r>
              <w:rPr>
                <w:rFonts w:hint="eastAsia"/>
                <w:color w:val="auto"/>
              </w:rPr>
              <w:t>根据</w:t>
            </w:r>
            <w:r>
              <w:rPr>
                <w:rFonts w:hint="eastAsia"/>
                <w:color w:val="auto"/>
                <w:lang w:eastAsia="zh-CN"/>
              </w:rPr>
              <w:t>验收报告</w:t>
            </w:r>
            <w:r>
              <w:rPr>
                <w:rFonts w:hint="eastAsia"/>
                <w:color w:val="auto"/>
              </w:rPr>
              <w:t>可知，该工序用水约50kg/t-产品，</w:t>
            </w:r>
            <w:r>
              <w:rPr>
                <w:rFonts w:hint="eastAsia"/>
                <w:color w:val="auto"/>
                <w:lang w:val="en-US" w:eastAsia="zh-CN"/>
              </w:rPr>
              <w:t>已批已建工程年产3000吨产品，</w:t>
            </w:r>
            <w:r>
              <w:rPr>
                <w:rFonts w:hint="eastAsia"/>
                <w:color w:val="auto"/>
              </w:rPr>
              <w:t>即</w:t>
            </w:r>
            <w:r>
              <w:rPr>
                <w:rFonts w:hint="eastAsia"/>
                <w:color w:val="auto"/>
                <w:lang w:val="en-US" w:eastAsia="zh-CN"/>
              </w:rPr>
              <w:t>15</w:t>
            </w:r>
            <w:r>
              <w:rPr>
                <w:rFonts w:hint="eastAsia"/>
                <w:color w:val="auto"/>
              </w:rPr>
              <w:t>0t/a（</w:t>
            </w:r>
            <w:r>
              <w:rPr>
                <w:rFonts w:hint="eastAsia"/>
                <w:color w:val="auto"/>
                <w:lang w:val="en-US" w:eastAsia="zh-CN"/>
              </w:rPr>
              <w:t>0.5</w:t>
            </w:r>
            <w:r>
              <w:rPr>
                <w:rFonts w:hint="eastAsia"/>
                <w:color w:val="auto"/>
              </w:rPr>
              <w:t>t/d），其中10%消耗，损失量0.</w:t>
            </w:r>
            <w:r>
              <w:rPr>
                <w:rFonts w:hint="eastAsia"/>
                <w:color w:val="auto"/>
                <w:lang w:val="en-US" w:eastAsia="zh-CN"/>
              </w:rPr>
              <w:t>05</w:t>
            </w:r>
            <w:r>
              <w:rPr>
                <w:rFonts w:hint="eastAsia"/>
                <w:color w:val="auto"/>
              </w:rPr>
              <w:t xml:space="preserve"> t/d，补充新鲜水0.</w:t>
            </w:r>
            <w:r>
              <w:rPr>
                <w:rFonts w:hint="eastAsia"/>
                <w:color w:val="auto"/>
                <w:lang w:val="en-US" w:eastAsia="zh-CN"/>
              </w:rPr>
              <w:t>05</w:t>
            </w:r>
            <w:r>
              <w:rPr>
                <w:rFonts w:hint="eastAsia"/>
                <w:color w:val="auto"/>
              </w:rPr>
              <w:t xml:space="preserve"> t/d（新增补水量</w:t>
            </w:r>
            <w:r>
              <w:rPr>
                <w:rFonts w:hint="eastAsia"/>
                <w:color w:val="auto"/>
                <w:lang w:val="en-US" w:eastAsia="zh-CN"/>
              </w:rPr>
              <w:t>15</w:t>
            </w:r>
            <w:r>
              <w:rPr>
                <w:rFonts w:hint="eastAsia"/>
                <w:color w:val="auto"/>
              </w:rPr>
              <w:t xml:space="preserve"> t/a），这部分水循环使用，不外排。</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(2)生活污水</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生活污水排放量为728t/a（2.43t/d），经化粪池处理后</w:t>
            </w:r>
            <w:r>
              <w:rPr>
                <w:rFonts w:hint="eastAsia"/>
                <w:color w:val="auto"/>
              </w:rPr>
              <w:t>排入市政管网</w:t>
            </w:r>
            <w:r>
              <w:rPr>
                <w:rFonts w:hint="eastAsia"/>
                <w:color w:val="auto"/>
                <w:lang w:eastAsia="zh-CN"/>
              </w:rPr>
              <w:t>。</w:t>
            </w:r>
            <w:r>
              <w:rPr>
                <w:rFonts w:hint="eastAsia"/>
                <w:color w:val="auto"/>
                <w:lang w:val="en-US" w:eastAsia="zh-CN"/>
              </w:rPr>
              <w:t>根据《阀门配件锻件扩建项目</w:t>
            </w:r>
            <w:r>
              <w:rPr>
                <w:rFonts w:hint="eastAsia"/>
                <w:color w:val="auto"/>
              </w:rPr>
              <w:t>阶段性竣工竣工环境保护验收</w:t>
            </w:r>
            <w:r>
              <w:rPr>
                <w:rFonts w:hint="eastAsia"/>
                <w:color w:val="auto"/>
                <w:lang w:val="en-US" w:eastAsia="zh-CN"/>
              </w:rPr>
              <w:t>》中2019年12月24日至2019年12月25日期间对生活废水出口监测结果显示：排放废水中主要污染物pH、SS、COD、BOD</w:t>
            </w:r>
            <w:r>
              <w:rPr>
                <w:rFonts w:hint="eastAsia"/>
                <w:color w:val="auto"/>
                <w:vertAlign w:val="subscript"/>
                <w:lang w:val="en-US" w:eastAsia="zh-CN"/>
              </w:rPr>
              <w:t>5</w:t>
            </w:r>
            <w:r>
              <w:rPr>
                <w:rFonts w:hint="eastAsia"/>
                <w:color w:val="auto"/>
                <w:lang w:val="en-US" w:eastAsia="zh-CN"/>
              </w:rPr>
              <w:t>排放浓度均满足《污水综合排放标准》GB8978-1996 表4 三级排放限值要求，具体监测结果详见下表。</w:t>
            </w:r>
          </w:p>
          <w:p>
            <w:pPr>
              <w:pStyle w:val="22"/>
              <w:keepNext w:val="0"/>
              <w:keepLines w:val="0"/>
              <w:suppressLineNumbers w:val="0"/>
              <w:bidi w:val="0"/>
              <w:spacing w:before="0" w:beforeAutospacing="0" w:after="0" w:afterAutospacing="0"/>
              <w:ind w:right="0"/>
              <w:rPr>
                <w:rFonts w:hint="default"/>
                <w:color w:val="auto"/>
              </w:rPr>
            </w:pPr>
            <w:r>
              <w:rPr>
                <w:rFonts w:hint="default"/>
                <w:color w:val="auto"/>
              </w:rPr>
              <w:t>现有</w:t>
            </w:r>
            <w:r>
              <w:rPr>
                <w:rFonts w:hint="eastAsia"/>
                <w:color w:val="auto"/>
                <w:lang w:val="en-US" w:eastAsia="zh-CN"/>
              </w:rPr>
              <w:t>生活污水排放</w:t>
            </w:r>
            <w:r>
              <w:rPr>
                <w:rFonts w:hint="default"/>
                <w:color w:val="auto"/>
              </w:rPr>
              <w:t>口检测结果</w:t>
            </w:r>
          </w:p>
          <w:p>
            <w:pPr>
              <w:pStyle w:val="25"/>
              <w:keepNext w:val="0"/>
              <w:keepLines w:val="0"/>
              <w:suppressLineNumbers w:val="0"/>
              <w:bidi w:val="0"/>
              <w:spacing w:before="0" w:beforeAutospacing="0" w:after="0" w:afterAutospacing="0"/>
              <w:ind w:left="0" w:right="0"/>
              <w:rPr>
                <w:rFonts w:hint="default"/>
                <w:color w:val="auto"/>
                <w:lang w:val="en-US" w:eastAsia="zh-CN"/>
              </w:rPr>
            </w:pPr>
          </w:p>
          <w:p>
            <w:pPr>
              <w:pStyle w:val="5"/>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废气</w:t>
            </w:r>
          </w:p>
          <w:p>
            <w:pPr>
              <w:pStyle w:val="25"/>
              <w:keepNext w:val="0"/>
              <w:keepLines w:val="0"/>
              <w:suppressLineNumbers w:val="0"/>
              <w:bidi w:val="0"/>
              <w:spacing w:before="0" w:beforeAutospacing="0" w:after="0" w:afterAutospacing="0"/>
              <w:ind w:left="0" w:right="0"/>
              <w:rPr>
                <w:rFonts w:hint="eastAsia"/>
                <w:color w:val="auto"/>
              </w:rPr>
            </w:pPr>
            <w:r>
              <w:rPr>
                <w:rFonts w:hint="eastAsia"/>
                <w:color w:val="auto"/>
                <w:lang w:eastAsia="zh-CN"/>
              </w:rPr>
              <w:t>现有工程</w:t>
            </w:r>
            <w:r>
              <w:rPr>
                <w:rFonts w:hint="eastAsia"/>
                <w:color w:val="auto"/>
              </w:rPr>
              <w:t>生产过程中产生的废气主要是</w:t>
            </w:r>
            <w:r>
              <w:rPr>
                <w:rFonts w:hint="eastAsia"/>
                <w:color w:val="auto"/>
                <w:lang w:eastAsia="zh-CN"/>
              </w:rPr>
              <w:t>天然气加热锻造炉加热过程产生的烟气</w:t>
            </w:r>
            <w:r>
              <w:rPr>
                <w:rFonts w:hint="eastAsia"/>
                <w:color w:val="auto"/>
                <w:lang w:val="en-US" w:eastAsia="zh-CN"/>
              </w:rPr>
              <w:t>抛丸产生的粉尘</w:t>
            </w:r>
            <w:r>
              <w:rPr>
                <w:rFonts w:hint="eastAsia"/>
                <w:color w:val="auto"/>
                <w:lang w:eastAsia="zh-CN"/>
              </w:rPr>
              <w:t>以及</w:t>
            </w:r>
            <w:r>
              <w:rPr>
                <w:rFonts w:hint="eastAsia"/>
                <w:color w:val="auto"/>
                <w:lang w:val="en-US" w:eastAsia="zh-CN"/>
              </w:rPr>
              <w:t>焊接</w:t>
            </w:r>
            <w:r>
              <w:rPr>
                <w:rFonts w:hint="eastAsia"/>
                <w:color w:val="auto"/>
                <w:lang w:eastAsia="zh-CN"/>
              </w:rPr>
              <w:t>过程中所产生的</w:t>
            </w:r>
            <w:r>
              <w:rPr>
                <w:rFonts w:hint="eastAsia"/>
                <w:color w:val="auto"/>
                <w:lang w:val="en-US" w:eastAsia="zh-CN"/>
              </w:rPr>
              <w:t>烟尘</w:t>
            </w:r>
            <w:r>
              <w:rPr>
                <w:rFonts w:hint="eastAsia"/>
                <w:color w:val="auto"/>
              </w:rPr>
              <w:t>。</w:t>
            </w:r>
          </w:p>
          <w:p>
            <w:pPr>
              <w:pStyle w:val="25"/>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污染物排放及措施</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lang w:val="en-US" w:eastAsia="zh-CN"/>
              </w:rPr>
              <w:t>①</w:t>
            </w:r>
            <w:r>
              <w:rPr>
                <w:rFonts w:hint="eastAsia"/>
                <w:color w:val="auto"/>
              </w:rPr>
              <w:t>天然气锻造加热炉废气</w:t>
            </w:r>
          </w:p>
          <w:p>
            <w:pPr>
              <w:pStyle w:val="25"/>
              <w:keepNext w:val="0"/>
              <w:keepLines w:val="0"/>
              <w:suppressLineNumbers w:val="0"/>
              <w:bidi w:val="0"/>
              <w:spacing w:before="0" w:beforeAutospacing="0" w:after="0" w:afterAutospacing="0"/>
              <w:ind w:left="0" w:right="0"/>
              <w:rPr>
                <w:rFonts w:hint="eastAsia"/>
                <w:color w:val="auto"/>
              </w:rPr>
            </w:pPr>
            <w:r>
              <w:rPr>
                <w:rFonts w:hint="eastAsia"/>
                <w:color w:val="auto"/>
                <w:lang w:eastAsia="zh-CN"/>
              </w:rPr>
              <w:t>根据现场调查，现有工程天然气加热炉所产生的废气主要为烟尘、</w:t>
            </w:r>
            <w:r>
              <w:rPr>
                <w:rFonts w:hint="eastAsia"/>
                <w:color w:val="auto"/>
              </w:rPr>
              <w:t>SO</w:t>
            </w:r>
            <w:r>
              <w:rPr>
                <w:rFonts w:hint="eastAsia"/>
                <w:color w:val="auto"/>
                <w:vertAlign w:val="subscript"/>
              </w:rPr>
              <w:t>2</w:t>
            </w:r>
            <w:r>
              <w:rPr>
                <w:rFonts w:hint="eastAsia"/>
                <w:color w:val="auto"/>
              </w:rPr>
              <w:t>和NO</w:t>
            </w:r>
            <w:r>
              <w:rPr>
                <w:rFonts w:hint="eastAsia"/>
                <w:color w:val="auto"/>
                <w:lang w:val="en-US" w:eastAsia="zh-CN"/>
              </w:rPr>
              <w:t>x，</w:t>
            </w:r>
            <w:r>
              <w:rPr>
                <w:rFonts w:hint="eastAsia"/>
                <w:color w:val="auto"/>
              </w:rPr>
              <w:t>经集气系统收集</w:t>
            </w:r>
            <w:r>
              <w:rPr>
                <w:rFonts w:hint="eastAsia"/>
                <w:color w:val="auto"/>
                <w:lang w:val="en-US" w:eastAsia="zh-CN"/>
              </w:rPr>
              <w:t>后</w:t>
            </w:r>
            <w:r>
              <w:rPr>
                <w:rFonts w:hint="eastAsia"/>
                <w:color w:val="auto"/>
              </w:rPr>
              <w:t>通过</w:t>
            </w:r>
            <w:r>
              <w:rPr>
                <w:rFonts w:hint="eastAsia"/>
                <w:color w:val="auto"/>
                <w:lang w:val="en-US" w:eastAsia="zh-CN"/>
              </w:rPr>
              <w:t>19.5m排气筒</w:t>
            </w:r>
            <w:r>
              <w:rPr>
                <w:rFonts w:hint="eastAsia"/>
                <w:color w:val="auto"/>
              </w:rPr>
              <w:t>排放。</w:t>
            </w:r>
            <w:r>
              <w:rPr>
                <w:rFonts w:hint="eastAsia"/>
                <w:color w:val="auto"/>
                <w:lang w:eastAsia="zh-CN"/>
              </w:rPr>
              <w:t>现有工程天然气加热炉</w:t>
            </w:r>
            <w:r>
              <w:rPr>
                <w:rFonts w:hint="eastAsia"/>
                <w:color w:val="auto"/>
              </w:rPr>
              <w:t>产生废气情况详见表</w:t>
            </w:r>
            <w:r>
              <w:rPr>
                <w:rFonts w:hint="eastAsia"/>
                <w:color w:val="auto"/>
                <w:lang w:val="en-US" w:eastAsia="zh-CN"/>
              </w:rPr>
              <w:t>12</w:t>
            </w:r>
            <w:r>
              <w:rPr>
                <w:rFonts w:hint="eastAsia"/>
                <w:color w:val="auto"/>
              </w:rPr>
              <w:t>。</w:t>
            </w:r>
          </w:p>
          <w:p>
            <w:pPr>
              <w:pStyle w:val="25"/>
              <w:keepNext w:val="0"/>
              <w:keepLines w:val="0"/>
              <w:numPr>
                <w:ilvl w:val="0"/>
                <w:numId w:val="0"/>
              </w:numPr>
              <w:suppressLineNumbers w:val="0"/>
              <w:bidi w:val="0"/>
              <w:spacing w:before="0" w:beforeAutospacing="0" w:after="0" w:afterAutospacing="0"/>
              <w:ind w:left="420" w:leftChars="200" w:right="0" w:rightChars="0"/>
              <w:rPr>
                <w:rFonts w:hint="eastAsia"/>
                <w:color w:val="auto"/>
                <w:lang w:val="en-US" w:eastAsia="zh-CN"/>
              </w:rPr>
            </w:pPr>
            <w:r>
              <w:rPr>
                <w:rFonts w:hint="eastAsia"/>
                <w:color w:val="auto"/>
                <w:lang w:val="en-US" w:eastAsia="zh-CN"/>
              </w:rPr>
              <w:t>②抛丸粉尘</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rPr>
              <w:t>项目</w:t>
            </w:r>
            <w:r>
              <w:rPr>
                <w:rFonts w:hint="eastAsia"/>
                <w:color w:val="auto"/>
                <w:lang w:eastAsia="zh-CN"/>
              </w:rPr>
              <w:t>机加工过程中使用抛丸清理机对</w:t>
            </w:r>
            <w:r>
              <w:rPr>
                <w:rFonts w:hint="eastAsia"/>
                <w:color w:val="auto"/>
                <w:lang w:val="en-US" w:eastAsia="zh-CN"/>
              </w:rPr>
              <w:t>阀门配件锻件进行抛丸，抛丸过程中产生一定的粉尘</w:t>
            </w:r>
            <w:r>
              <w:rPr>
                <w:rFonts w:hint="eastAsia"/>
                <w:color w:val="auto"/>
              </w:rPr>
              <w:t>。</w:t>
            </w:r>
            <w:r>
              <w:rPr>
                <w:rFonts w:hint="eastAsia"/>
                <w:color w:val="auto"/>
                <w:lang w:val="en-US" w:eastAsia="zh-CN"/>
              </w:rPr>
              <w:t>抛丸机自带的旋风除尘器除尘后尾气通过19.5m高排气筒排放。</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③焊接烟尘</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项目焊接采用焊条，焊接烟尘经移动式除尘器处理后呈无组织车间排放。</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（2）源强</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①有组织</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根据《金属制品制造项目竣工环境保护验收监测报告》及《阀门配件锻件扩建项目</w:t>
            </w:r>
            <w:r>
              <w:rPr>
                <w:rFonts w:hint="eastAsia"/>
                <w:color w:val="auto"/>
              </w:rPr>
              <w:t>阶段性竣工竣工环境保护验收</w:t>
            </w:r>
            <w:r>
              <w:rPr>
                <w:rFonts w:hint="eastAsia"/>
                <w:color w:val="auto"/>
                <w:lang w:val="en-US" w:eastAsia="zh-CN"/>
              </w:rPr>
              <w:t>》中对现有工程废气监测结果显示：</w:t>
            </w:r>
            <w:r>
              <w:rPr>
                <w:rFonts w:hint="default"/>
                <w:color w:val="auto"/>
              </w:rPr>
              <w:t>各项检测项目均满足相关标准限值要求，</w:t>
            </w:r>
            <w:r>
              <w:rPr>
                <w:rFonts w:hint="eastAsia"/>
                <w:color w:val="auto"/>
                <w:lang w:val="en-US" w:eastAsia="zh-CN"/>
              </w:rPr>
              <w:t>具体监测结果详见下表。</w:t>
            </w:r>
          </w:p>
          <w:p>
            <w:pPr>
              <w:pStyle w:val="22"/>
              <w:keepNext w:val="0"/>
              <w:keepLines w:val="0"/>
              <w:suppressLineNumbers w:val="0"/>
              <w:bidi w:val="0"/>
              <w:spacing w:before="0" w:beforeAutospacing="0" w:after="0" w:afterAutospacing="0"/>
              <w:ind w:right="0"/>
              <w:rPr>
                <w:rFonts w:hint="default"/>
                <w:color w:val="auto"/>
                <w:lang w:val="en-US" w:eastAsia="zh-CN"/>
              </w:rPr>
            </w:pPr>
            <w:r>
              <w:rPr>
                <w:rFonts w:hint="default"/>
                <w:color w:val="auto"/>
              </w:rPr>
              <w:t>现有工程有组织废气监测结果</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根据上述监测结果，1#、2#、3#加热锅炉排气筒</w:t>
            </w:r>
            <w:r>
              <w:rPr>
                <w:rFonts w:hint="eastAsia" w:ascii="Times New Roman" w:hAnsi="Times New Roman" w:cs="Times New Roman"/>
                <w:color w:val="auto"/>
                <w:lang w:eastAsia="zh-CN"/>
              </w:rPr>
              <w:t>烟尘、</w:t>
            </w:r>
            <w:r>
              <w:rPr>
                <w:rFonts w:hint="eastAsia" w:ascii="Times New Roman" w:hAnsi="Times New Roman" w:cs="Times New Roman"/>
                <w:color w:val="auto"/>
                <w:lang w:val="en-US" w:eastAsia="zh-CN"/>
              </w:rPr>
              <w:t>SO</w:t>
            </w:r>
            <w:r>
              <w:rPr>
                <w:rFonts w:hint="eastAsia" w:ascii="Times New Roman" w:hAnsi="Times New Roman" w:cs="Times New Roman"/>
                <w:color w:val="auto"/>
                <w:vertAlign w:val="subscript"/>
                <w:lang w:val="en-US" w:eastAsia="zh-CN"/>
              </w:rPr>
              <w:t>2</w:t>
            </w:r>
            <w:r>
              <w:rPr>
                <w:rFonts w:hint="eastAsia" w:ascii="Times New Roman" w:hAnsi="Times New Roman" w:cs="Times New Roman"/>
                <w:color w:val="auto"/>
                <w:lang w:val="en-US" w:eastAsia="zh-CN"/>
              </w:rPr>
              <w:t>满足</w:t>
            </w:r>
            <w:r>
              <w:rPr>
                <w:rFonts w:hint="default" w:ascii="Times New Roman" w:hAnsi="Times New Roman" w:cs="Times New Roman"/>
                <w:color w:val="auto"/>
                <w:sz w:val="21"/>
                <w:szCs w:val="21"/>
              </w:rPr>
              <w:t>《</w:t>
            </w:r>
            <w:r>
              <w:rPr>
                <w:rFonts w:hint="eastAsia" w:ascii="Times New Roman" w:hAnsi="Times New Roman" w:cs="Times New Roman"/>
                <w:color w:val="auto"/>
                <w:sz w:val="24"/>
                <w:szCs w:val="24"/>
                <w:lang w:eastAsia="zh-CN"/>
              </w:rPr>
              <w:t>工业炉窑大气污染物排放标准</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GB9078-1996）</w:t>
            </w:r>
            <w:r>
              <w:rPr>
                <w:rFonts w:hint="default" w:ascii="Times New Roman" w:hAnsi="Times New Roman" w:cs="Times New Roman"/>
                <w:color w:val="auto"/>
              </w:rPr>
              <w:t>标准</w:t>
            </w:r>
            <w:r>
              <w:rPr>
                <w:rFonts w:hint="eastAsia" w:ascii="Times New Roman" w:hAnsi="Times New Roman" w:cs="Times New Roman"/>
                <w:color w:val="auto"/>
                <w:lang w:eastAsia="zh-CN"/>
              </w:rPr>
              <w:t>排放限值，氮氧化物排放</w:t>
            </w:r>
            <w:r>
              <w:rPr>
                <w:rFonts w:hint="eastAsia" w:ascii="Times New Roman" w:hAnsi="Times New Roman" w:cs="Times New Roman"/>
                <w:color w:val="auto"/>
                <w:lang w:val="en-US" w:eastAsia="zh-CN"/>
              </w:rPr>
              <w:t>满足</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大气污染物综合排放标准</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GB16297-1996）的标准排放限值；</w:t>
            </w:r>
            <w:r>
              <w:rPr>
                <w:rFonts w:hint="eastAsia"/>
                <w:color w:val="auto"/>
                <w:lang w:val="en-US" w:eastAsia="zh-CN"/>
              </w:rPr>
              <w:t>5#抛丸废气排气筒颗粒物满足</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大气污染物综合排放标准</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GB16297-1996）的标准排放限值</w:t>
            </w:r>
            <w:r>
              <w:rPr>
                <w:rFonts w:hint="eastAsia"/>
                <w:color w:val="auto"/>
                <w:lang w:val="en-US" w:eastAsia="zh-CN"/>
              </w:rPr>
              <w:t>。</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根据上述数据类比分析，已建项目达产后正常运行时主要废气产生及排放源强见下表。</w:t>
            </w:r>
          </w:p>
          <w:p>
            <w:pPr>
              <w:pStyle w:val="22"/>
              <w:keepNext w:val="0"/>
              <w:keepLines w:val="0"/>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已建工程有组织废气排放情况一览表</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②无组织</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根据《阀门配件锻件扩建项目</w:t>
            </w:r>
            <w:r>
              <w:rPr>
                <w:rFonts w:hint="eastAsia"/>
                <w:color w:val="auto"/>
              </w:rPr>
              <w:t>阶段性竣工竣工环境保护验收</w:t>
            </w:r>
            <w:r>
              <w:rPr>
                <w:rFonts w:hint="eastAsia"/>
                <w:color w:val="auto"/>
                <w:lang w:val="en-US" w:eastAsia="zh-CN"/>
              </w:rPr>
              <w:t>》中对现有工程无组织颗粒物监测结果显示：厂界颗粒物满足《大气污染物综合排放标》（GB16297-1996）表</w:t>
            </w:r>
            <w:r>
              <w:rPr>
                <w:rFonts w:hint="default"/>
                <w:color w:val="auto"/>
                <w:lang w:val="en-US" w:eastAsia="zh-CN"/>
              </w:rPr>
              <w:t>2</w:t>
            </w:r>
            <w:r>
              <w:rPr>
                <w:rFonts w:hint="eastAsia"/>
                <w:color w:val="auto"/>
                <w:lang w:val="en-US" w:eastAsia="zh-CN"/>
              </w:rPr>
              <w:t>标准限值要求。</w:t>
            </w:r>
          </w:p>
          <w:p>
            <w:pPr>
              <w:pStyle w:val="22"/>
              <w:keepNext w:val="0"/>
              <w:keepLines w:val="0"/>
              <w:suppressLineNumbers w:val="0"/>
              <w:bidi w:val="0"/>
              <w:spacing w:before="0" w:beforeAutospacing="0" w:after="0" w:afterAutospacing="0"/>
              <w:ind w:right="0"/>
              <w:rPr>
                <w:rFonts w:hint="default"/>
                <w:color w:val="auto"/>
                <w:lang w:val="en-US" w:eastAsia="zh-CN"/>
              </w:rPr>
            </w:pPr>
            <w:r>
              <w:rPr>
                <w:rFonts w:hint="default"/>
                <w:color w:val="auto"/>
              </w:rPr>
              <w:t>现有工程无组织废气监测结果</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已建工程无组织颗粒物主要来自焊接烟尘，现有工程焊条使用量为0.3t/a，</w:t>
            </w:r>
            <w:r>
              <w:rPr>
                <w:rFonts w:hint="eastAsia"/>
                <w:color w:val="auto"/>
              </w:rPr>
              <w:t>根据《焊接工作的劳动保护》中的相关资料，焊接烟尘产生量按平均</w:t>
            </w:r>
            <w:r>
              <w:rPr>
                <w:rFonts w:hint="default"/>
                <w:color w:val="auto"/>
              </w:rPr>
              <w:t>8g/kg</w:t>
            </w:r>
            <w:r>
              <w:rPr>
                <w:rFonts w:hint="eastAsia"/>
                <w:color w:val="auto"/>
              </w:rPr>
              <w:t>焊条计算</w:t>
            </w:r>
            <w:r>
              <w:rPr>
                <w:rFonts w:hint="eastAsia"/>
                <w:color w:val="auto"/>
                <w:lang w:eastAsia="zh-CN"/>
              </w:rPr>
              <w:t>，</w:t>
            </w:r>
            <w:r>
              <w:rPr>
                <w:rFonts w:hint="eastAsia"/>
                <w:color w:val="auto"/>
                <w:lang w:val="en-US" w:eastAsia="zh-CN"/>
              </w:rPr>
              <w:t>则无组织产生量约0.0024t/a。</w:t>
            </w:r>
          </w:p>
          <w:p>
            <w:pPr>
              <w:pStyle w:val="5"/>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噪声</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lang w:eastAsia="zh-CN"/>
              </w:rPr>
              <w:t>现有工程</w:t>
            </w:r>
            <w:r>
              <w:rPr>
                <w:rFonts w:hint="eastAsia"/>
                <w:color w:val="auto"/>
              </w:rPr>
              <w:t>运营期噪声主要来自空气锤、皮带锤、金属电锯、车床等设备运行时产生的噪声，为了减少噪声污染，主要采取以下控制措施：选用低噪声的设备，利用合理布局、消声、隔声、防振措施削减其影响。</w:t>
            </w:r>
            <w:r>
              <w:rPr>
                <w:rFonts w:hint="eastAsia"/>
                <w:color w:val="auto"/>
                <w:lang w:val="en-US" w:eastAsia="zh-CN"/>
              </w:rPr>
              <w:t>根据《阀门配件锻件扩建项目</w:t>
            </w:r>
            <w:r>
              <w:rPr>
                <w:rFonts w:hint="eastAsia"/>
                <w:color w:val="auto"/>
              </w:rPr>
              <w:t>阶段性竣工竣工环境保护验收</w:t>
            </w:r>
            <w:r>
              <w:rPr>
                <w:rFonts w:hint="eastAsia"/>
                <w:color w:val="auto"/>
                <w:lang w:val="en-US" w:eastAsia="zh-CN"/>
              </w:rPr>
              <w:t>》中2019年12月24日至2019年12月25日期间对生活废水出口监测结果显示</w:t>
            </w:r>
            <w:r>
              <w:rPr>
                <w:rFonts w:hint="default"/>
                <w:color w:val="auto"/>
              </w:rPr>
              <w:t>，现有工程厂界噪声排放均满足《工业企业厂界环境噪声排放标准》(GB12348-2008)中3类标准限值，具体监测结果详见</w:t>
            </w:r>
            <w:r>
              <w:rPr>
                <w:rFonts w:hint="eastAsia"/>
                <w:color w:val="auto"/>
                <w:lang w:val="en-US" w:eastAsia="zh-CN"/>
              </w:rPr>
              <w:t>下</w:t>
            </w:r>
            <w:r>
              <w:rPr>
                <w:rFonts w:hint="default"/>
                <w:color w:val="auto"/>
              </w:rPr>
              <w:t>表。</w:t>
            </w:r>
          </w:p>
          <w:p>
            <w:pPr>
              <w:pStyle w:val="22"/>
              <w:keepNext w:val="0"/>
              <w:keepLines w:val="0"/>
              <w:suppressLineNumbers w:val="0"/>
              <w:bidi w:val="0"/>
              <w:spacing w:before="0" w:beforeAutospacing="0" w:after="0" w:afterAutospacing="0"/>
              <w:ind w:right="0"/>
              <w:rPr>
                <w:rFonts w:hint="default"/>
                <w:color w:val="auto"/>
              </w:rPr>
            </w:pPr>
            <w:r>
              <w:rPr>
                <w:rFonts w:hint="default"/>
                <w:color w:val="auto"/>
              </w:rPr>
              <w:t>现有工程噪声监测结果一览表  dB(A)</w:t>
            </w:r>
          </w:p>
          <w:p>
            <w:pPr>
              <w:pStyle w:val="5"/>
              <w:suppressLineNumbers w:val="0"/>
              <w:bidi w:val="0"/>
              <w:spacing w:before="0" w:beforeAutospacing="0" w:after="0" w:afterAutospacing="0"/>
              <w:ind w:right="0"/>
              <w:rPr>
                <w:rFonts w:hint="default"/>
                <w:color w:val="auto"/>
              </w:rPr>
            </w:pPr>
            <w:r>
              <w:rPr>
                <w:rFonts w:hint="default"/>
                <w:color w:val="auto"/>
              </w:rPr>
              <w:t>固体废物</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已建工程产生的固体废物主要包括：废桶、含油抹布、生活垃圾等。根据现有工程实际情况，现有工程各类固体废物均妥善处置，现有工程固体废物产生量及处理情况见下表。</w:t>
            </w:r>
          </w:p>
          <w:p>
            <w:pPr>
              <w:pStyle w:val="22"/>
              <w:keepNext w:val="0"/>
              <w:keepLines w:val="0"/>
              <w:suppressLineNumbers w:val="0"/>
              <w:bidi w:val="0"/>
              <w:spacing w:before="0" w:beforeAutospacing="0" w:after="0" w:afterAutospacing="0"/>
              <w:ind w:right="0"/>
              <w:rPr>
                <w:rFonts w:hint="default"/>
                <w:color w:val="auto"/>
              </w:rPr>
            </w:pPr>
            <w:r>
              <w:rPr>
                <w:rFonts w:hint="eastAsia"/>
                <w:color w:val="auto"/>
                <w:lang w:val="en-US" w:eastAsia="zh-CN"/>
              </w:rPr>
              <w:t>已建</w:t>
            </w:r>
            <w:r>
              <w:rPr>
                <w:rFonts w:hint="default"/>
                <w:color w:val="auto"/>
              </w:rPr>
              <w:t>工程固体废物产生及处置情况</w:t>
            </w:r>
          </w:p>
          <w:p>
            <w:pPr>
              <w:keepNext w:val="0"/>
              <w:keepLines w:val="0"/>
              <w:suppressLineNumbers w:val="0"/>
              <w:spacing w:before="0" w:beforeAutospacing="0" w:after="0" w:afterAutospacing="0"/>
              <w:ind w:left="0" w:right="0"/>
              <w:rPr>
                <w:rFonts w:hint="default"/>
                <w:color w:val="auto"/>
              </w:rPr>
            </w:pPr>
          </w:p>
          <w:p>
            <w:pPr>
              <w:pStyle w:val="4"/>
              <w:keepNext w:val="0"/>
              <w:keepLines w:val="0"/>
              <w:suppressLineNumbers w:val="0"/>
              <w:bidi w:val="0"/>
              <w:spacing w:before="0" w:beforeAutospacing="0" w:after="0" w:afterAutospacing="0"/>
              <w:ind w:left="0" w:right="0"/>
              <w:rPr>
                <w:rFonts w:hint="default"/>
                <w:color w:val="auto"/>
              </w:rPr>
            </w:pPr>
            <w:r>
              <w:rPr>
                <w:rFonts w:hint="eastAsia"/>
                <w:color w:val="auto"/>
                <w:lang w:val="en-US" w:eastAsia="zh-CN"/>
              </w:rPr>
              <w:t>已批未建工程</w:t>
            </w:r>
            <w:r>
              <w:rPr>
                <w:rFonts w:hint="default"/>
                <w:color w:val="auto"/>
              </w:rPr>
              <w:t>污染物排放情况及环保措施</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因市场原因，现有项目有1000吨产能及配套设备未建设，本报告对该部分为建设产能分析主要引自环评报告中描述及类比现有工程分析。此部分已批未建工程污染物排放情况及环保措施如下分析：</w:t>
            </w:r>
          </w:p>
          <w:p>
            <w:pPr>
              <w:pStyle w:val="5"/>
              <w:suppressLineNumbers w:val="0"/>
              <w:bidi w:val="0"/>
              <w:spacing w:before="0" w:beforeAutospacing="0" w:after="0" w:afterAutospacing="0"/>
              <w:ind w:right="0"/>
              <w:rPr>
                <w:rFonts w:hint="eastAsia"/>
                <w:color w:val="auto"/>
                <w:lang w:val="en-US" w:eastAsia="zh-CN"/>
              </w:rPr>
            </w:pPr>
            <w:r>
              <w:rPr>
                <w:rFonts w:hint="eastAsia"/>
                <w:color w:val="auto"/>
                <w:lang w:val="en-US" w:eastAsia="zh-CN"/>
              </w:rPr>
              <w:t>废水</w:t>
            </w:r>
          </w:p>
          <w:p>
            <w:pPr>
              <w:pStyle w:val="25"/>
              <w:keepNext w:val="0"/>
              <w:keepLines w:val="0"/>
              <w:suppressLineNumbers w:val="0"/>
              <w:bidi w:val="0"/>
              <w:spacing w:before="0" w:beforeAutospacing="0" w:after="0" w:afterAutospacing="0"/>
              <w:ind w:left="0" w:right="0"/>
              <w:rPr>
                <w:rFonts w:hint="eastAsia" w:eastAsia="宋体"/>
                <w:color w:val="auto"/>
                <w:lang w:val="en-US" w:eastAsia="zh-CN"/>
              </w:rPr>
            </w:pPr>
            <w:r>
              <w:rPr>
                <w:rFonts w:hint="eastAsia"/>
                <w:color w:val="auto"/>
                <w:lang w:val="en-US" w:eastAsia="zh-CN"/>
              </w:rPr>
              <w:t>已批未建工程不新增员工，因此已批未建工程废水仅有生产废水。该部分工程生产废水</w:t>
            </w:r>
            <w:r>
              <w:rPr>
                <w:rFonts w:hint="eastAsia"/>
                <w:color w:val="auto"/>
              </w:rPr>
              <w:t>主要为铸件热处理工序淬火用水，</w:t>
            </w:r>
            <w:r>
              <w:rPr>
                <w:rFonts w:hint="eastAsia"/>
                <w:color w:val="auto"/>
                <w:lang w:val="en-US" w:eastAsia="zh-CN"/>
              </w:rPr>
              <w:t>依托已建冷却水，冷却循环使用。</w:t>
            </w:r>
            <w:r>
              <w:rPr>
                <w:rFonts w:hint="eastAsia"/>
                <w:color w:val="auto"/>
              </w:rPr>
              <w:t>该工序用水约50kg/t-产品，</w:t>
            </w:r>
            <w:r>
              <w:rPr>
                <w:rFonts w:hint="eastAsia"/>
                <w:color w:val="auto"/>
                <w:lang w:val="en-US" w:eastAsia="zh-CN"/>
              </w:rPr>
              <w:t>已批未建工程年产1000吨产品，</w:t>
            </w:r>
            <w:r>
              <w:rPr>
                <w:rFonts w:hint="eastAsia"/>
                <w:color w:val="auto"/>
              </w:rPr>
              <w:t>即</w:t>
            </w:r>
            <w:r>
              <w:rPr>
                <w:rFonts w:hint="eastAsia"/>
                <w:color w:val="auto"/>
                <w:lang w:val="en-US" w:eastAsia="zh-CN"/>
              </w:rPr>
              <w:t>5</w:t>
            </w:r>
            <w:r>
              <w:rPr>
                <w:rFonts w:hint="eastAsia"/>
                <w:color w:val="auto"/>
              </w:rPr>
              <w:t>0t/a（</w:t>
            </w:r>
            <w:r>
              <w:rPr>
                <w:rFonts w:hint="eastAsia"/>
                <w:color w:val="auto"/>
                <w:lang w:val="en-US" w:eastAsia="zh-CN"/>
              </w:rPr>
              <w:t>0.17</w:t>
            </w:r>
            <w:r>
              <w:rPr>
                <w:rFonts w:hint="eastAsia"/>
                <w:color w:val="auto"/>
              </w:rPr>
              <w:t>t/d），其中10%消耗，损失量0.</w:t>
            </w:r>
            <w:r>
              <w:rPr>
                <w:rFonts w:hint="eastAsia"/>
                <w:color w:val="auto"/>
                <w:lang w:val="en-US" w:eastAsia="zh-CN"/>
              </w:rPr>
              <w:t>017</w:t>
            </w:r>
            <w:r>
              <w:rPr>
                <w:rFonts w:hint="eastAsia"/>
                <w:color w:val="auto"/>
              </w:rPr>
              <w:t xml:space="preserve"> t/d，补充新鲜水0.</w:t>
            </w:r>
            <w:r>
              <w:rPr>
                <w:rFonts w:hint="eastAsia"/>
                <w:color w:val="auto"/>
                <w:lang w:val="en-US" w:eastAsia="zh-CN"/>
              </w:rPr>
              <w:t>017</w:t>
            </w:r>
            <w:r>
              <w:rPr>
                <w:rFonts w:hint="eastAsia"/>
                <w:color w:val="auto"/>
              </w:rPr>
              <w:t xml:space="preserve"> t/d（新增补水量</w:t>
            </w:r>
            <w:r>
              <w:rPr>
                <w:rFonts w:hint="eastAsia"/>
                <w:color w:val="auto"/>
                <w:lang w:val="en-US" w:eastAsia="zh-CN"/>
              </w:rPr>
              <w:t>5</w:t>
            </w:r>
            <w:r>
              <w:rPr>
                <w:rFonts w:hint="eastAsia"/>
                <w:color w:val="auto"/>
              </w:rPr>
              <w:t>t/a）</w:t>
            </w:r>
            <w:r>
              <w:rPr>
                <w:rFonts w:hint="eastAsia"/>
                <w:color w:val="auto"/>
                <w:lang w:eastAsia="zh-CN"/>
              </w:rPr>
              <w:t>。</w:t>
            </w:r>
          </w:p>
          <w:p>
            <w:pPr>
              <w:pStyle w:val="5"/>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废气</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已批未建工程产生的废气主要来自</w:t>
            </w:r>
            <w:r>
              <w:rPr>
                <w:rFonts w:hint="eastAsia"/>
                <w:color w:val="auto"/>
                <w:lang w:eastAsia="zh-CN"/>
              </w:rPr>
              <w:t>天然气加热锻造炉加热过程产生的烟气</w:t>
            </w:r>
            <w:r>
              <w:rPr>
                <w:rFonts w:hint="eastAsia"/>
                <w:color w:val="auto"/>
                <w:lang w:val="en-US" w:eastAsia="zh-CN"/>
              </w:rPr>
              <w:t>抛丸产生的粉尘</w:t>
            </w:r>
            <w:r>
              <w:rPr>
                <w:rFonts w:hint="eastAsia"/>
                <w:color w:val="auto"/>
                <w:lang w:eastAsia="zh-CN"/>
              </w:rPr>
              <w:t>以及</w:t>
            </w:r>
            <w:r>
              <w:rPr>
                <w:rFonts w:hint="eastAsia"/>
                <w:color w:val="auto"/>
                <w:lang w:val="en-US" w:eastAsia="zh-CN"/>
              </w:rPr>
              <w:t>焊接</w:t>
            </w:r>
            <w:r>
              <w:rPr>
                <w:rFonts w:hint="eastAsia"/>
                <w:color w:val="auto"/>
                <w:lang w:eastAsia="zh-CN"/>
              </w:rPr>
              <w:t>过程中所产生的</w:t>
            </w:r>
            <w:r>
              <w:rPr>
                <w:rFonts w:hint="eastAsia"/>
                <w:color w:val="auto"/>
                <w:lang w:val="en-US" w:eastAsia="zh-CN"/>
              </w:rPr>
              <w:t>烟尘</w:t>
            </w:r>
            <w:r>
              <w:rPr>
                <w:rFonts w:hint="eastAsia"/>
                <w:color w:val="auto"/>
              </w:rPr>
              <w:t>。</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（1）</w:t>
            </w:r>
            <w:r>
              <w:rPr>
                <w:rFonts w:hint="eastAsia"/>
                <w:color w:val="auto"/>
              </w:rPr>
              <w:t>天然气锻造加热炉废气</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未建工程拟建1台天然气加热炉，</w:t>
            </w:r>
            <w:r>
              <w:rPr>
                <w:rFonts w:hint="default" w:ascii="Times New Roman" w:hAnsi="Times New Roman" w:eastAsia="宋体" w:cs="Times New Roman"/>
                <w:b w:val="0"/>
                <w:i w:val="0"/>
                <w:color w:val="auto"/>
                <w:sz w:val="24"/>
                <w:szCs w:val="24"/>
              </w:rPr>
              <w:t>加热过程会产生少量烟尘、SO</w:t>
            </w:r>
            <w:r>
              <w:rPr>
                <w:rFonts w:hint="default" w:ascii="Times New Roman" w:hAnsi="Times New Roman" w:eastAsia="宋体" w:cs="Times New Roman"/>
                <w:b w:val="0"/>
                <w:i w:val="0"/>
                <w:color w:val="auto"/>
                <w:sz w:val="16"/>
                <w:szCs w:val="16"/>
              </w:rPr>
              <w:t xml:space="preserve">2 </w:t>
            </w:r>
            <w:r>
              <w:rPr>
                <w:rFonts w:hint="default" w:ascii="Times New Roman" w:hAnsi="Times New Roman" w:eastAsia="宋体" w:cs="Times New Roman"/>
                <w:b w:val="0"/>
                <w:i w:val="0"/>
                <w:color w:val="auto"/>
                <w:sz w:val="24"/>
                <w:szCs w:val="24"/>
              </w:rPr>
              <w:t>和NO</w:t>
            </w:r>
            <w:r>
              <w:rPr>
                <w:rFonts w:hint="default" w:ascii="Times New Roman" w:hAnsi="Times New Roman" w:eastAsia="宋体" w:cs="Times New Roman"/>
                <w:b w:val="0"/>
                <w:i w:val="0"/>
                <w:color w:val="auto"/>
                <w:sz w:val="16"/>
                <w:szCs w:val="16"/>
              </w:rPr>
              <w:t>X</w:t>
            </w:r>
            <w:r>
              <w:rPr>
                <w:rFonts w:hint="eastAsia" w:ascii="Times New Roman" w:hAnsi="Times New Roman" w:eastAsia="宋体" w:cs="Times New Roman"/>
                <w:b w:val="0"/>
                <w:i w:val="0"/>
                <w:color w:val="auto"/>
                <w:sz w:val="16"/>
                <w:szCs w:val="16"/>
                <w:lang w:eastAsia="zh-CN"/>
              </w:rPr>
              <w:t>。</w:t>
            </w:r>
            <w:r>
              <w:rPr>
                <w:rFonts w:hint="eastAsia" w:ascii="Times New Roman" w:hAnsi="Times New Roman" w:eastAsia="宋体" w:cs="Times New Roman"/>
                <w:b w:val="0"/>
                <w:i w:val="0"/>
                <w:color w:val="auto"/>
                <w:sz w:val="24"/>
                <w:szCs w:val="24"/>
                <w:lang w:val="en-US" w:eastAsia="zh-CN"/>
              </w:rPr>
              <w:t>未建工程</w:t>
            </w:r>
            <w:r>
              <w:rPr>
                <w:rFonts w:hint="eastAsia"/>
                <w:color w:val="auto"/>
                <w:lang w:val="en-US" w:eastAsia="zh-CN"/>
              </w:rPr>
              <w:t>天然气</w:t>
            </w:r>
            <w:r>
              <w:rPr>
                <w:rFonts w:hint="default" w:ascii="Times New Roman" w:hAnsi="Times New Roman" w:eastAsia="宋体" w:cs="Times New Roman"/>
                <w:b w:val="0"/>
                <w:i w:val="0"/>
                <w:color w:val="auto"/>
                <w:sz w:val="24"/>
                <w:szCs w:val="24"/>
              </w:rPr>
              <w:t>用量为</w:t>
            </w:r>
            <w:r>
              <w:rPr>
                <w:rFonts w:hint="eastAsia" w:ascii="Times New Roman" w:hAnsi="Times New Roman" w:eastAsia="宋体" w:cs="Times New Roman"/>
                <w:b w:val="0"/>
                <w:i w:val="0"/>
                <w:color w:val="auto"/>
                <w:sz w:val="24"/>
                <w:szCs w:val="24"/>
                <w:lang w:val="en-US" w:eastAsia="zh-CN"/>
              </w:rPr>
              <w:t>20</w:t>
            </w:r>
            <w:r>
              <w:rPr>
                <w:rFonts w:hint="default" w:ascii="Times New Roman" w:hAnsi="Times New Roman" w:eastAsia="宋体" w:cs="Times New Roman"/>
                <w:b w:val="0"/>
                <w:i w:val="0"/>
                <w:color w:val="auto"/>
                <w:sz w:val="24"/>
                <w:szCs w:val="24"/>
              </w:rPr>
              <w:t>万Nm</w:t>
            </w:r>
            <w:r>
              <w:rPr>
                <w:rFonts w:hint="default" w:ascii="Times New Roman" w:hAnsi="Times New Roman" w:eastAsia="宋体" w:cs="Times New Roman"/>
                <w:b w:val="0"/>
                <w:i w:val="0"/>
                <w:color w:val="auto"/>
                <w:sz w:val="24"/>
                <w:szCs w:val="24"/>
                <w:vertAlign w:val="superscript"/>
              </w:rPr>
              <w:t>3</w:t>
            </w:r>
            <w:r>
              <w:rPr>
                <w:rFonts w:hint="default" w:ascii="Times New Roman" w:hAnsi="Times New Roman" w:eastAsia="宋体" w:cs="Times New Roman"/>
                <w:b w:val="0"/>
                <w:i w:val="0"/>
                <w:color w:val="auto"/>
                <w:sz w:val="24"/>
                <w:szCs w:val="24"/>
              </w:rPr>
              <w:t>/a</w:t>
            </w:r>
            <w:r>
              <w:rPr>
                <w:rFonts w:hint="eastAsia" w:ascii="Times New Roman" w:hAnsi="Times New Roman" w:eastAsia="宋体" w:cs="Times New Roman"/>
                <w:b w:val="0"/>
                <w:i w:val="0"/>
                <w:color w:val="auto"/>
                <w:sz w:val="24"/>
                <w:szCs w:val="24"/>
                <w:lang w:eastAsia="zh-CN"/>
              </w:rPr>
              <w:t>，加热过程的废气经集气罩收集接至</w:t>
            </w:r>
            <w:r>
              <w:rPr>
                <w:rFonts w:hint="eastAsia" w:ascii="Times New Roman" w:hAnsi="Times New Roman" w:eastAsia="宋体" w:cs="Times New Roman"/>
                <w:b w:val="0"/>
                <w:i w:val="0"/>
                <w:color w:val="auto"/>
                <w:sz w:val="24"/>
                <w:szCs w:val="24"/>
                <w:lang w:val="en-US" w:eastAsia="zh-CN"/>
              </w:rPr>
              <w:t>15m排气筒进行排放</w:t>
            </w:r>
            <w:r>
              <w:rPr>
                <w:rFonts w:hint="default" w:ascii="Times New Roman" w:hAnsi="Times New Roman" w:eastAsia="宋体" w:cs="Times New Roman"/>
                <w:b w:val="0"/>
                <w:i w:val="0"/>
                <w:color w:val="auto"/>
                <w:sz w:val="24"/>
                <w:szCs w:val="24"/>
              </w:rPr>
              <w:t>。</w:t>
            </w:r>
            <w:r>
              <w:rPr>
                <w:rFonts w:hint="eastAsia" w:ascii="宋体" w:hAnsi="宋体" w:eastAsia="宋体" w:cs="宋体"/>
                <w:b w:val="0"/>
                <w:i w:val="0"/>
                <w:color w:val="auto"/>
                <w:sz w:val="24"/>
                <w:szCs w:val="24"/>
              </w:rPr>
              <w:t xml:space="preserve">根据《环境保护实用数据手册》，燃烧 </w:t>
            </w:r>
            <w:r>
              <w:rPr>
                <w:rFonts w:hint="default" w:ascii="Times New Roman" w:hAnsi="Times New Roman" w:eastAsia="宋体" w:cs="Times New Roman"/>
                <w:b w:val="0"/>
                <w:i w:val="0"/>
                <w:color w:val="auto"/>
                <w:sz w:val="24"/>
                <w:szCs w:val="24"/>
              </w:rPr>
              <w:t xml:space="preserve">1 </w:t>
            </w:r>
            <w:r>
              <w:rPr>
                <w:rFonts w:hint="eastAsia" w:ascii="宋体" w:hAnsi="宋体" w:eastAsia="宋体" w:cs="宋体"/>
                <w:b w:val="0"/>
                <w:i w:val="0"/>
                <w:color w:val="auto"/>
                <w:sz w:val="24"/>
                <w:szCs w:val="24"/>
              </w:rPr>
              <w:t>万</w:t>
            </w:r>
            <w:r>
              <w:rPr>
                <w:rFonts w:hint="default" w:ascii="Times New Roman" w:hAnsi="Times New Roman" w:eastAsia="宋体" w:cs="Times New Roman"/>
                <w:b w:val="0"/>
                <w:i w:val="0"/>
                <w:color w:val="auto"/>
                <w:sz w:val="24"/>
                <w:szCs w:val="24"/>
              </w:rPr>
              <w:t>m</w:t>
            </w:r>
            <w:r>
              <w:rPr>
                <w:rFonts w:hint="default" w:ascii="Times New Roman" w:hAnsi="Times New Roman" w:eastAsia="宋体" w:cs="Times New Roman"/>
                <w:b w:val="0"/>
                <w:i w:val="0"/>
                <w:color w:val="auto"/>
                <w:sz w:val="24"/>
                <w:szCs w:val="24"/>
                <w:vertAlign w:val="superscript"/>
              </w:rPr>
              <w:t>3</w:t>
            </w:r>
            <w:r>
              <w:rPr>
                <w:rFonts w:hint="eastAsia" w:ascii="宋体" w:hAnsi="宋体" w:eastAsia="宋体" w:cs="宋体"/>
                <w:b w:val="0"/>
                <w:i w:val="0"/>
                <w:color w:val="auto"/>
                <w:sz w:val="24"/>
                <w:szCs w:val="24"/>
              </w:rPr>
              <w:t>天然气产生</w:t>
            </w:r>
            <w:r>
              <w:rPr>
                <w:rFonts w:hint="default" w:ascii="Times New Roman" w:hAnsi="Times New Roman" w:eastAsia="宋体" w:cs="Times New Roman"/>
                <w:b w:val="0"/>
                <w:i w:val="0"/>
                <w:color w:val="auto"/>
                <w:sz w:val="24"/>
                <w:szCs w:val="24"/>
              </w:rPr>
              <w:t>SO</w:t>
            </w:r>
            <w:r>
              <w:rPr>
                <w:rFonts w:hint="default" w:ascii="Times New Roman" w:hAnsi="Times New Roman" w:eastAsia="宋体" w:cs="Times New Roman"/>
                <w:b w:val="0"/>
                <w:i w:val="0"/>
                <w:color w:val="auto"/>
                <w:sz w:val="16"/>
                <w:szCs w:val="16"/>
              </w:rPr>
              <w:t>2</w:t>
            </w:r>
            <w:r>
              <w:rPr>
                <w:rFonts w:hint="eastAsia" w:ascii="宋体" w:hAnsi="宋体" w:eastAsia="宋体" w:cs="宋体"/>
                <w:b w:val="0"/>
                <w:i w:val="0"/>
                <w:color w:val="auto"/>
                <w:sz w:val="24"/>
                <w:szCs w:val="24"/>
              </w:rPr>
              <w:t>：</w:t>
            </w:r>
            <w:r>
              <w:rPr>
                <w:rFonts w:hint="default" w:ascii="Times New Roman" w:hAnsi="Times New Roman" w:eastAsia="宋体" w:cs="Times New Roman"/>
                <w:b w:val="0"/>
                <w:i w:val="0"/>
                <w:color w:val="auto"/>
                <w:sz w:val="24"/>
                <w:szCs w:val="24"/>
              </w:rPr>
              <w:t>1.0kg</w:t>
            </w:r>
            <w:r>
              <w:rPr>
                <w:rFonts w:hint="eastAsia" w:ascii="宋体" w:hAnsi="宋体" w:eastAsia="宋体" w:cs="宋体"/>
                <w:b w:val="0"/>
                <w:i w:val="0"/>
                <w:color w:val="auto"/>
                <w:sz w:val="24"/>
                <w:szCs w:val="24"/>
              </w:rPr>
              <w:t>，产生</w:t>
            </w:r>
            <w:r>
              <w:rPr>
                <w:rFonts w:hint="default" w:ascii="Times New Roman" w:hAnsi="Times New Roman" w:eastAsia="宋体" w:cs="Times New Roman"/>
                <w:b w:val="0"/>
                <w:i w:val="0"/>
                <w:color w:val="auto"/>
                <w:sz w:val="24"/>
                <w:szCs w:val="24"/>
              </w:rPr>
              <w:t>NO</w:t>
            </w:r>
            <w:r>
              <w:rPr>
                <w:rFonts w:hint="default" w:ascii="Times New Roman" w:hAnsi="Times New Roman" w:eastAsia="宋体" w:cs="Times New Roman"/>
                <w:b w:val="0"/>
                <w:i w:val="0"/>
                <w:color w:val="auto"/>
                <w:sz w:val="16"/>
                <w:szCs w:val="16"/>
              </w:rPr>
              <w:t>X</w:t>
            </w:r>
            <w:r>
              <w:rPr>
                <w:rFonts w:hint="eastAsia" w:ascii="宋体" w:hAnsi="宋体" w:eastAsia="宋体" w:cs="宋体"/>
                <w:b w:val="0"/>
                <w:i w:val="0"/>
                <w:color w:val="auto"/>
                <w:sz w:val="24"/>
                <w:szCs w:val="24"/>
              </w:rPr>
              <w:t>：</w:t>
            </w:r>
            <w:r>
              <w:rPr>
                <w:rFonts w:hint="default" w:ascii="Times New Roman" w:hAnsi="Times New Roman" w:eastAsia="宋体" w:cs="Times New Roman"/>
                <w:b w:val="0"/>
                <w:i w:val="0"/>
                <w:color w:val="auto"/>
                <w:sz w:val="24"/>
                <w:szCs w:val="24"/>
              </w:rPr>
              <w:t>6.3kg</w:t>
            </w:r>
            <w:r>
              <w:rPr>
                <w:rFonts w:hint="eastAsia" w:ascii="宋体" w:hAnsi="宋体" w:eastAsia="宋体" w:cs="宋体"/>
                <w:b w:val="0"/>
                <w:i w:val="0"/>
                <w:color w:val="auto"/>
                <w:sz w:val="24"/>
                <w:szCs w:val="24"/>
              </w:rPr>
              <w:t>，产生烟尘</w:t>
            </w:r>
            <w:r>
              <w:rPr>
                <w:rFonts w:hint="eastAsia" w:ascii="宋体" w:hAnsi="宋体" w:eastAsia="宋体" w:cs="宋体"/>
                <w:b w:val="0"/>
                <w:i w:val="0"/>
                <w:color w:val="auto"/>
                <w:sz w:val="24"/>
                <w:szCs w:val="24"/>
                <w:lang w:eastAsia="zh-CN"/>
              </w:rPr>
              <w:t>：</w:t>
            </w:r>
            <w:r>
              <w:rPr>
                <w:rFonts w:hint="default" w:ascii="Times New Roman" w:hAnsi="Times New Roman" w:eastAsia="宋体" w:cs="Times New Roman"/>
                <w:b w:val="0"/>
                <w:i w:val="0"/>
                <w:color w:val="auto"/>
                <w:sz w:val="24"/>
                <w:szCs w:val="24"/>
              </w:rPr>
              <w:t>2.4kg</w:t>
            </w:r>
            <w:r>
              <w:rPr>
                <w:rFonts w:hint="eastAsia" w:ascii="宋体" w:hAnsi="宋体" w:eastAsia="宋体" w:cs="宋体"/>
                <w:b w:val="0"/>
                <w:i w:val="0"/>
                <w:color w:val="auto"/>
                <w:sz w:val="24"/>
                <w:szCs w:val="24"/>
              </w:rPr>
              <w:t>。锻造炉天然气燃烧时产生的废气量为耗气量的</w:t>
            </w:r>
            <w:r>
              <w:rPr>
                <w:rFonts w:hint="default" w:ascii="Times New Roman" w:hAnsi="Times New Roman" w:eastAsia="宋体" w:cs="Times New Roman"/>
                <w:b w:val="0"/>
                <w:i w:val="0"/>
                <w:color w:val="auto"/>
                <w:sz w:val="24"/>
                <w:szCs w:val="24"/>
                <w:lang w:val="en-US" w:eastAsia="zh-CN"/>
              </w:rPr>
              <w:t>6</w:t>
            </w:r>
            <w:r>
              <w:rPr>
                <w:rFonts w:hint="eastAsia" w:ascii="宋体" w:hAnsi="宋体" w:eastAsia="宋体" w:cs="宋体"/>
                <w:b w:val="0"/>
                <w:i w:val="0"/>
                <w:color w:val="auto"/>
                <w:sz w:val="24"/>
                <w:szCs w:val="24"/>
              </w:rPr>
              <w:t>倍，废气量为</w:t>
            </w:r>
            <w:r>
              <w:rPr>
                <w:rFonts w:hint="default" w:ascii="Times New Roman" w:hAnsi="Times New Roman" w:eastAsia="宋体" w:cs="Times New Roman"/>
                <w:b w:val="0"/>
                <w:i w:val="0"/>
                <w:color w:val="auto"/>
                <w:sz w:val="24"/>
                <w:szCs w:val="24"/>
                <w:lang w:val="en-US" w:eastAsia="zh-CN"/>
              </w:rPr>
              <w:t>120</w:t>
            </w:r>
            <w:r>
              <w:rPr>
                <w:rFonts w:hint="eastAsia" w:ascii="宋体" w:hAnsi="宋体" w:eastAsia="宋体" w:cs="宋体"/>
                <w:b w:val="0"/>
                <w:i w:val="0"/>
                <w:color w:val="auto"/>
                <w:sz w:val="24"/>
                <w:szCs w:val="24"/>
              </w:rPr>
              <w:t>万</w:t>
            </w:r>
            <w:r>
              <w:rPr>
                <w:rFonts w:hint="default" w:ascii="Times New Roman" w:hAnsi="Times New Roman" w:eastAsia="宋体" w:cs="Times New Roman"/>
                <w:b w:val="0"/>
                <w:i w:val="0"/>
                <w:color w:val="auto"/>
                <w:sz w:val="24"/>
                <w:szCs w:val="24"/>
              </w:rPr>
              <w:t>m</w:t>
            </w:r>
            <w:r>
              <w:rPr>
                <w:rFonts w:hint="default" w:ascii="Times New Roman" w:hAnsi="Times New Roman" w:eastAsia="宋体" w:cs="Times New Roman"/>
                <w:b w:val="0"/>
                <w:i w:val="0"/>
                <w:color w:val="auto"/>
                <w:sz w:val="24"/>
                <w:szCs w:val="24"/>
                <w:vertAlign w:val="superscript"/>
              </w:rPr>
              <w:t>3</w:t>
            </w:r>
            <w:r>
              <w:rPr>
                <w:rFonts w:hint="default" w:ascii="Times New Roman" w:hAnsi="Times New Roman" w:eastAsia="宋体" w:cs="Times New Roman"/>
                <w:b w:val="0"/>
                <w:i w:val="0"/>
                <w:color w:val="auto"/>
                <w:sz w:val="24"/>
                <w:szCs w:val="24"/>
              </w:rPr>
              <w:t>/a</w:t>
            </w:r>
            <w:r>
              <w:rPr>
                <w:rFonts w:hint="eastAsia" w:ascii="Times New Roman" w:hAnsi="Times New Roman" w:eastAsia="宋体" w:cs="Times New Roman"/>
                <w:b w:val="0"/>
                <w:i w:val="0"/>
                <w:color w:val="auto"/>
                <w:sz w:val="24"/>
                <w:szCs w:val="24"/>
                <w:lang w:eastAsia="zh-CN"/>
              </w:rPr>
              <w:t>；</w:t>
            </w:r>
            <w:r>
              <w:rPr>
                <w:rFonts w:hint="default" w:ascii="Times New Roman" w:hAnsi="Times New Roman" w:eastAsia="宋体" w:cs="Times New Roman"/>
                <w:b w:val="0"/>
                <w:i w:val="0"/>
                <w:color w:val="auto"/>
                <w:sz w:val="24"/>
                <w:szCs w:val="24"/>
              </w:rPr>
              <w:t>则污染物排放量和排放浓度分别为SO</w:t>
            </w:r>
            <w:r>
              <w:rPr>
                <w:rFonts w:hint="default" w:ascii="Times New Roman" w:hAnsi="Times New Roman" w:eastAsia="宋体" w:cs="Times New Roman"/>
                <w:b w:val="0"/>
                <w:i w:val="0"/>
                <w:color w:val="auto"/>
                <w:sz w:val="16"/>
                <w:szCs w:val="16"/>
              </w:rPr>
              <w:t>2</w:t>
            </w:r>
            <w:r>
              <w:rPr>
                <w:rFonts w:hint="default" w:ascii="Times New Roman" w:hAnsi="Times New Roman" w:eastAsia="宋体" w:cs="Times New Roman"/>
                <w:b w:val="0"/>
                <w:i w:val="0"/>
                <w:color w:val="auto"/>
                <w:sz w:val="24"/>
                <w:szCs w:val="24"/>
              </w:rPr>
              <w:t>：0.0</w:t>
            </w:r>
            <w:r>
              <w:rPr>
                <w:rFonts w:hint="eastAsia" w:ascii="Times New Roman" w:hAnsi="Times New Roman" w:eastAsia="宋体" w:cs="Times New Roman"/>
                <w:b w:val="0"/>
                <w:i w:val="0"/>
                <w:color w:val="auto"/>
                <w:sz w:val="24"/>
                <w:szCs w:val="24"/>
                <w:lang w:val="en-US" w:eastAsia="zh-CN"/>
              </w:rPr>
              <w:t>2</w:t>
            </w:r>
            <w:r>
              <w:rPr>
                <w:rFonts w:hint="default" w:ascii="Times New Roman" w:hAnsi="Times New Roman" w:eastAsia="宋体" w:cs="Times New Roman"/>
                <w:b w:val="0"/>
                <w:i w:val="0"/>
                <w:color w:val="auto"/>
                <w:sz w:val="24"/>
                <w:szCs w:val="24"/>
              </w:rPr>
              <w:t>t/a，16.7mg/m</w:t>
            </w:r>
            <w:r>
              <w:rPr>
                <w:rFonts w:hint="default" w:ascii="Times New Roman" w:hAnsi="Times New Roman" w:eastAsia="宋体" w:cs="Times New Roman"/>
                <w:b w:val="0"/>
                <w:i w:val="0"/>
                <w:color w:val="auto"/>
                <w:sz w:val="24"/>
                <w:szCs w:val="24"/>
                <w:vertAlign w:val="superscript"/>
              </w:rPr>
              <w:t>3</w:t>
            </w:r>
            <w:r>
              <w:rPr>
                <w:rFonts w:hint="default" w:ascii="Times New Roman" w:hAnsi="Times New Roman" w:eastAsia="宋体" w:cs="Times New Roman"/>
                <w:b w:val="0"/>
                <w:i w:val="0"/>
                <w:color w:val="auto"/>
                <w:sz w:val="24"/>
                <w:szCs w:val="24"/>
              </w:rPr>
              <w:t>；NO</w:t>
            </w:r>
            <w:r>
              <w:rPr>
                <w:rFonts w:hint="default" w:ascii="Times New Roman" w:hAnsi="Times New Roman" w:eastAsia="宋体" w:cs="Times New Roman"/>
                <w:b w:val="0"/>
                <w:i w:val="0"/>
                <w:color w:val="auto"/>
                <w:sz w:val="16"/>
                <w:szCs w:val="16"/>
              </w:rPr>
              <w:t>X</w:t>
            </w:r>
            <w:r>
              <w:rPr>
                <w:rFonts w:hint="default" w:ascii="Times New Roman" w:hAnsi="Times New Roman" w:eastAsia="宋体" w:cs="Times New Roman"/>
                <w:b w:val="0"/>
                <w:i w:val="0"/>
                <w:color w:val="auto"/>
                <w:sz w:val="24"/>
                <w:szCs w:val="24"/>
              </w:rPr>
              <w:t>：</w:t>
            </w:r>
            <w:r>
              <w:rPr>
                <w:rFonts w:hint="eastAsia" w:ascii="Times New Roman" w:hAnsi="Times New Roman" w:eastAsia="宋体" w:cs="Times New Roman"/>
                <w:b w:val="0"/>
                <w:i w:val="0"/>
                <w:color w:val="auto"/>
                <w:sz w:val="24"/>
                <w:szCs w:val="24"/>
                <w:lang w:val="en-US" w:eastAsia="zh-CN"/>
              </w:rPr>
              <w:t>0.126</w:t>
            </w:r>
            <w:r>
              <w:rPr>
                <w:rFonts w:hint="default" w:ascii="Times New Roman" w:hAnsi="Times New Roman" w:eastAsia="宋体" w:cs="Times New Roman"/>
                <w:b w:val="0"/>
                <w:i w:val="0"/>
                <w:color w:val="auto"/>
                <w:sz w:val="24"/>
                <w:szCs w:val="24"/>
              </w:rPr>
              <w:t>t/a，105mg/m</w:t>
            </w:r>
            <w:r>
              <w:rPr>
                <w:rFonts w:hint="default" w:ascii="Times New Roman" w:hAnsi="Times New Roman" w:eastAsia="宋体" w:cs="Times New Roman"/>
                <w:b w:val="0"/>
                <w:i w:val="0"/>
                <w:color w:val="auto"/>
                <w:sz w:val="24"/>
                <w:szCs w:val="24"/>
                <w:vertAlign w:val="superscript"/>
              </w:rPr>
              <w:t>3</w:t>
            </w:r>
            <w:r>
              <w:rPr>
                <w:rFonts w:hint="default" w:ascii="Times New Roman" w:hAnsi="Times New Roman" w:eastAsia="宋体" w:cs="Times New Roman"/>
                <w:b w:val="0"/>
                <w:i w:val="0"/>
                <w:color w:val="auto"/>
                <w:sz w:val="24"/>
                <w:szCs w:val="24"/>
              </w:rPr>
              <w:t>；烟尘：</w:t>
            </w:r>
            <w:r>
              <w:rPr>
                <w:rFonts w:hint="eastAsia" w:ascii="Times New Roman" w:hAnsi="Times New Roman" w:eastAsia="宋体" w:cs="Times New Roman"/>
                <w:b w:val="0"/>
                <w:i w:val="0"/>
                <w:color w:val="auto"/>
                <w:sz w:val="24"/>
                <w:szCs w:val="24"/>
                <w:lang w:val="en-US" w:eastAsia="zh-CN"/>
              </w:rPr>
              <w:t>0.048</w:t>
            </w:r>
            <w:r>
              <w:rPr>
                <w:rFonts w:hint="default" w:ascii="Times New Roman" w:hAnsi="Times New Roman" w:eastAsia="宋体" w:cs="Times New Roman"/>
                <w:b w:val="0"/>
                <w:i w:val="0"/>
                <w:color w:val="auto"/>
                <w:sz w:val="24"/>
                <w:szCs w:val="24"/>
              </w:rPr>
              <w:t>t/a</w:t>
            </w:r>
            <w:r>
              <w:rPr>
                <w:rFonts w:hint="eastAsia" w:ascii="Times New Roman" w:hAnsi="Times New Roman" w:eastAsia="宋体" w:cs="Times New Roman"/>
                <w:b w:val="0"/>
                <w:i w:val="0"/>
                <w:color w:val="auto"/>
                <w:sz w:val="24"/>
                <w:szCs w:val="24"/>
                <w:lang w:eastAsia="zh-CN"/>
              </w:rPr>
              <w:t>，</w:t>
            </w:r>
            <w:r>
              <w:rPr>
                <w:rFonts w:hint="eastAsia" w:ascii="Times New Roman" w:hAnsi="Times New Roman" w:eastAsia="宋体" w:cs="Times New Roman"/>
                <w:b w:val="0"/>
                <w:i w:val="0"/>
                <w:color w:val="auto"/>
                <w:sz w:val="24"/>
                <w:szCs w:val="24"/>
                <w:lang w:val="en-US" w:eastAsia="zh-CN"/>
              </w:rPr>
              <w:t>40</w:t>
            </w:r>
            <w:r>
              <w:rPr>
                <w:rFonts w:hint="default" w:ascii="Times New Roman" w:hAnsi="Times New Roman" w:eastAsia="宋体" w:cs="Times New Roman"/>
                <w:b w:val="0"/>
                <w:i w:val="0"/>
                <w:color w:val="auto"/>
                <w:sz w:val="24"/>
                <w:szCs w:val="24"/>
              </w:rPr>
              <w:t>mg/m</w:t>
            </w:r>
            <w:r>
              <w:rPr>
                <w:rFonts w:hint="default" w:ascii="Times New Roman" w:hAnsi="Times New Roman" w:eastAsia="宋体" w:cs="Times New Roman"/>
                <w:b w:val="0"/>
                <w:i w:val="0"/>
                <w:color w:val="auto"/>
                <w:sz w:val="24"/>
                <w:szCs w:val="24"/>
                <w:vertAlign w:val="superscript"/>
              </w:rPr>
              <w:t>3</w:t>
            </w:r>
            <w:r>
              <w:rPr>
                <w:rFonts w:hint="default" w:ascii="Times New Roman" w:hAnsi="Times New Roman" w:eastAsia="宋体" w:cs="Times New Roman"/>
                <w:b w:val="0"/>
                <w:i w:val="0"/>
                <w:color w:val="auto"/>
                <w:sz w:val="24"/>
                <w:szCs w:val="24"/>
                <w:lang w:eastAsia="zh-CN"/>
              </w:rPr>
              <w:t>。</w:t>
            </w:r>
          </w:p>
          <w:p>
            <w:pPr>
              <w:pStyle w:val="25"/>
              <w:keepNext w:val="0"/>
              <w:keepLines w:val="0"/>
              <w:numPr>
                <w:ilvl w:val="0"/>
                <w:numId w:val="0"/>
              </w:numPr>
              <w:suppressLineNumbers w:val="0"/>
              <w:bidi w:val="0"/>
              <w:spacing w:before="0" w:beforeAutospacing="0" w:after="0" w:afterAutospacing="0"/>
              <w:ind w:left="420" w:leftChars="200" w:right="0"/>
              <w:rPr>
                <w:rFonts w:hint="eastAsia"/>
                <w:color w:val="auto"/>
                <w:lang w:val="en-US" w:eastAsia="zh-CN"/>
              </w:rPr>
            </w:pPr>
            <w:r>
              <w:rPr>
                <w:rFonts w:hint="eastAsia"/>
                <w:color w:val="auto"/>
                <w:lang w:val="en-US" w:eastAsia="zh-CN"/>
              </w:rPr>
              <w:t>（2）抛丸粉尘</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未建工程</w:t>
            </w:r>
            <w:r>
              <w:rPr>
                <w:rFonts w:hint="eastAsia"/>
                <w:color w:val="auto"/>
                <w:lang w:eastAsia="zh-CN"/>
              </w:rPr>
              <w:t>机加工过程中使用抛丸清理机对</w:t>
            </w:r>
            <w:r>
              <w:rPr>
                <w:rFonts w:hint="eastAsia"/>
                <w:color w:val="auto"/>
                <w:lang w:val="en-US" w:eastAsia="zh-CN"/>
              </w:rPr>
              <w:t>阀门配件锻件进行抛丸，抛丸过程中产生一定的粉尘，经抛丸机自带的旋风除尘器除尘后尾气通过现有的5#排气筒排放。类比现有工程，粉尘产生量约为2.78g/kg-产品。即未建工程抛丸粉尘产生量为2.78t/a，除尘器除尘效率约90%，即，未建工程抛丸粉尘排放量为0.278t/a。</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（3）焊接烟尘</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已批未建工程焊接采用焊条，焊接过程会产生焊接烟气，依托现有工程的</w:t>
            </w:r>
            <w:r>
              <w:rPr>
                <w:rFonts w:hint="eastAsia"/>
                <w:color w:val="auto"/>
              </w:rPr>
              <w:t>移动式烟尘净化器</w:t>
            </w:r>
            <w:r>
              <w:rPr>
                <w:rFonts w:hint="eastAsia"/>
                <w:color w:val="auto"/>
                <w:lang w:val="en-US" w:eastAsia="zh-CN"/>
              </w:rPr>
              <w:t>处理后呈车间无组织排放。</w:t>
            </w:r>
            <w:r>
              <w:rPr>
                <w:rFonts w:hint="eastAsia"/>
                <w:color w:val="auto"/>
              </w:rPr>
              <w:t>根据《焊接工作的劳动保护》中的相关资料，焊接烟尘产生量按平均</w:t>
            </w:r>
            <w:r>
              <w:rPr>
                <w:rFonts w:hint="default"/>
                <w:color w:val="auto"/>
              </w:rPr>
              <w:t>8g/kg</w:t>
            </w:r>
            <w:r>
              <w:rPr>
                <w:rFonts w:hint="eastAsia"/>
                <w:color w:val="auto"/>
              </w:rPr>
              <w:t>焊条（焊丝）计算</w:t>
            </w:r>
            <w:r>
              <w:rPr>
                <w:rFonts w:hint="eastAsia"/>
                <w:color w:val="auto"/>
                <w:lang w:eastAsia="zh-CN"/>
              </w:rPr>
              <w:t>。</w:t>
            </w:r>
            <w:r>
              <w:rPr>
                <w:rFonts w:hint="eastAsia"/>
                <w:color w:val="auto"/>
                <w:lang w:val="en-US" w:eastAsia="zh-CN"/>
              </w:rPr>
              <w:t>已批未建工程焊条用量0.1t/a，则焊接烟尘产生量为0.0008t/a。</w:t>
            </w:r>
          </w:p>
          <w:p>
            <w:pPr>
              <w:pStyle w:val="5"/>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噪声</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未建工程噪声源强见下表。</w:t>
            </w:r>
          </w:p>
          <w:p>
            <w:pPr>
              <w:pStyle w:val="22"/>
              <w:keepNext w:val="0"/>
              <w:keepLines w:val="0"/>
              <w:suppressLineNumbers w:val="0"/>
              <w:bidi w:val="0"/>
              <w:spacing w:before="0" w:beforeAutospacing="0" w:after="0" w:afterAutospacing="0"/>
              <w:ind w:right="0"/>
              <w:rPr>
                <w:rFonts w:hint="eastAsia"/>
                <w:color w:val="auto"/>
                <w:lang w:val="en-US" w:eastAsia="zh-CN"/>
              </w:rPr>
            </w:pPr>
            <w:r>
              <w:rPr>
                <w:rFonts w:hint="eastAsia"/>
                <w:color w:val="auto"/>
              </w:rPr>
              <w:t>未建工程主要生产设备源强一览表</w:t>
            </w:r>
          </w:p>
          <w:p>
            <w:pPr>
              <w:pStyle w:val="25"/>
              <w:keepNext w:val="0"/>
              <w:keepLines w:val="0"/>
              <w:suppressLineNumbers w:val="0"/>
              <w:bidi w:val="0"/>
              <w:spacing w:before="0" w:beforeAutospacing="0" w:after="0" w:afterAutospacing="0"/>
              <w:ind w:left="0" w:right="0"/>
              <w:rPr>
                <w:rFonts w:hint="eastAsia"/>
                <w:color w:val="auto"/>
                <w:lang w:val="en-US" w:eastAsia="zh-CN"/>
              </w:rPr>
            </w:pPr>
          </w:p>
          <w:p>
            <w:pPr>
              <w:pStyle w:val="5"/>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固体废物</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未建工程固体废物主要有废桶、金属下脚料、废品、含油抹布及生活垃圾等。</w:t>
            </w:r>
          </w:p>
          <w:p>
            <w:pPr>
              <w:pStyle w:val="22"/>
              <w:keepNext w:val="0"/>
              <w:keepLines w:val="0"/>
              <w:suppressLineNumbers w:val="0"/>
              <w:bidi w:val="0"/>
              <w:spacing w:before="0" w:beforeAutospacing="0" w:after="0" w:afterAutospacing="0"/>
              <w:ind w:right="0"/>
              <w:rPr>
                <w:rFonts w:hint="default"/>
                <w:color w:val="auto"/>
              </w:rPr>
            </w:pPr>
            <w:r>
              <w:rPr>
                <w:rFonts w:hint="eastAsia"/>
                <w:color w:val="auto"/>
              </w:rPr>
              <w:t>未建工程固体废物产生情况一览表</w:t>
            </w:r>
          </w:p>
          <w:p>
            <w:pPr>
              <w:pStyle w:val="23"/>
              <w:keepNext w:val="0"/>
              <w:keepLines w:val="0"/>
              <w:suppressLineNumbers w:val="0"/>
              <w:spacing w:before="0" w:beforeAutospacing="0" w:after="0" w:afterAutospacing="0"/>
              <w:ind w:right="0"/>
              <w:rPr>
                <w:rFonts w:hint="default"/>
                <w:color w:val="auto"/>
              </w:rPr>
            </w:pPr>
          </w:p>
          <w:p>
            <w:pPr>
              <w:pStyle w:val="40"/>
              <w:keepNext w:val="0"/>
              <w:keepLines w:val="0"/>
              <w:suppressLineNumbers w:val="0"/>
              <w:spacing w:before="0" w:beforeAutospacing="0" w:after="0" w:afterAutospacing="0"/>
              <w:ind w:left="0" w:right="0"/>
              <w:rPr>
                <w:rFonts w:hint="default"/>
                <w:color w:val="auto"/>
                <w:lang w:val="en-US" w:eastAsia="zh-CN"/>
              </w:rPr>
            </w:pPr>
          </w:p>
          <w:p>
            <w:pPr>
              <w:pStyle w:val="4"/>
              <w:keepNext w:val="0"/>
              <w:keepLines w:val="0"/>
              <w:suppressLineNumbers w:val="0"/>
              <w:bidi w:val="0"/>
              <w:spacing w:before="0" w:beforeAutospacing="0" w:after="0" w:afterAutospacing="0"/>
              <w:ind w:left="0" w:right="0"/>
              <w:rPr>
                <w:rFonts w:hint="default"/>
                <w:color w:val="auto"/>
              </w:rPr>
            </w:pPr>
            <w:r>
              <w:rPr>
                <w:rFonts w:hint="eastAsia"/>
                <w:color w:val="auto"/>
                <w:lang w:val="en-US" w:eastAsia="zh-CN"/>
              </w:rPr>
              <w:t>现有项目污染物统计</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现有项目含已批已建工程及已批未建工程，其污染物排放情况如下表所示。</w:t>
            </w:r>
          </w:p>
          <w:p>
            <w:pPr>
              <w:pStyle w:val="22"/>
              <w:keepNext w:val="0"/>
              <w:keepLines w:val="0"/>
              <w:suppressLineNumbers w:val="0"/>
              <w:bidi w:val="0"/>
              <w:spacing w:before="0" w:beforeAutospacing="0" w:after="0" w:afterAutospacing="0"/>
              <w:ind w:right="0"/>
              <w:rPr>
                <w:rFonts w:hint="eastAsia"/>
                <w:color w:val="auto"/>
                <w:lang w:val="en-US" w:eastAsia="zh-CN"/>
              </w:rPr>
            </w:pPr>
            <w:r>
              <w:rPr>
                <w:rFonts w:hint="eastAsia"/>
                <w:color w:val="auto"/>
                <w:lang w:val="en-US" w:eastAsia="zh-CN"/>
              </w:rPr>
              <w:t>现有工程污染物排放量汇总   单位：t/a</w:t>
            </w:r>
          </w:p>
          <w:p>
            <w:pPr>
              <w:pStyle w:val="25"/>
              <w:keepNext w:val="0"/>
              <w:keepLines w:val="0"/>
              <w:suppressLineNumbers w:val="0"/>
              <w:bidi w:val="0"/>
              <w:spacing w:before="0" w:beforeAutospacing="0" w:after="0" w:afterAutospacing="0"/>
              <w:ind w:left="0" w:right="0"/>
              <w:rPr>
                <w:rFonts w:hint="default"/>
                <w:color w:val="auto"/>
              </w:rPr>
            </w:pPr>
          </w:p>
          <w:p>
            <w:pPr>
              <w:pStyle w:val="4"/>
              <w:keepNext w:val="0"/>
              <w:keepLines w:val="0"/>
              <w:suppressLineNumbers w:val="0"/>
              <w:bidi w:val="0"/>
              <w:spacing w:before="0" w:beforeAutospacing="0" w:after="0" w:afterAutospacing="0"/>
              <w:ind w:left="0" w:right="0"/>
              <w:rPr>
                <w:rFonts w:hint="default"/>
                <w:color w:val="auto"/>
              </w:rPr>
            </w:pPr>
            <w:r>
              <w:rPr>
                <w:rFonts w:hint="default"/>
                <w:color w:val="auto"/>
              </w:rPr>
              <w:t>风险防范措施</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根据现场调查，建设单位已采取的风险防范措施情况如下表所示。</w:t>
            </w:r>
          </w:p>
          <w:p>
            <w:pPr>
              <w:pStyle w:val="22"/>
              <w:keepNext w:val="0"/>
              <w:keepLines w:val="0"/>
              <w:suppressLineNumbers w:val="0"/>
              <w:bidi w:val="0"/>
              <w:spacing w:before="0" w:beforeAutospacing="0" w:after="0" w:afterAutospacing="0"/>
              <w:ind w:right="0"/>
              <w:rPr>
                <w:rFonts w:hint="eastAsia"/>
                <w:color w:val="auto"/>
                <w:lang w:val="en-US" w:eastAsia="zh-CN"/>
              </w:rPr>
            </w:pPr>
            <w:r>
              <w:rPr>
                <w:rFonts w:hint="eastAsia"/>
                <w:color w:val="auto"/>
                <w:lang w:val="en-US" w:eastAsia="zh-CN"/>
              </w:rPr>
              <w:t>释放环境风险物质的扩散途径、涉及环境风险防控与应急措施、应急资源情况分析</w:t>
            </w:r>
          </w:p>
          <w:p>
            <w:pPr>
              <w:pStyle w:val="22"/>
              <w:keepNext w:val="0"/>
              <w:keepLines w:val="0"/>
              <w:suppressLineNumbers w:val="0"/>
              <w:bidi w:val="0"/>
              <w:spacing w:before="0" w:beforeAutospacing="0" w:after="0" w:afterAutospacing="0"/>
              <w:ind w:right="0"/>
              <w:rPr>
                <w:rFonts w:hint="default"/>
                <w:color w:val="auto"/>
                <w:lang w:val="en-US" w:eastAsia="zh-CN"/>
              </w:rPr>
            </w:pPr>
            <w:r>
              <w:rPr>
                <w:rFonts w:hint="default"/>
                <w:color w:val="auto"/>
              </w:rPr>
              <w:t>风险防控措施及落实情况</w:t>
            </w:r>
          </w:p>
          <w:p>
            <w:pPr>
              <w:keepNext w:val="0"/>
              <w:keepLines w:val="0"/>
              <w:suppressLineNumbers w:val="0"/>
              <w:spacing w:before="0" w:beforeAutospacing="0" w:after="0" w:afterAutospacing="0"/>
              <w:ind w:left="0" w:right="0"/>
              <w:rPr>
                <w:rFonts w:hint="eastAsia"/>
                <w:color w:val="auto"/>
                <w:lang w:val="en-US" w:eastAsia="zh-CN"/>
              </w:rPr>
            </w:pPr>
          </w:p>
          <w:p>
            <w:pPr>
              <w:pStyle w:val="4"/>
              <w:keepNext w:val="0"/>
              <w:keepLines w:val="0"/>
              <w:suppressLineNumbers w:val="0"/>
              <w:bidi w:val="0"/>
              <w:spacing w:before="0" w:beforeAutospacing="0" w:after="0" w:afterAutospacing="0"/>
              <w:ind w:left="0" w:right="0"/>
              <w:rPr>
                <w:rFonts w:hint="default"/>
                <w:color w:val="auto"/>
                <w:lang w:val="en-US" w:eastAsia="zh-CN"/>
              </w:rPr>
            </w:pPr>
            <w:r>
              <w:rPr>
                <w:rFonts w:hint="default"/>
                <w:color w:val="auto"/>
              </w:rPr>
              <w:t>现有工程存在的主要环境问题和整改措施</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现有工程基本按照环评报告及批复中的相关要求落实了各项环保措施，在后续的生产运营过程中应继续加强各项环保管理制度，加强各环保处理设施的运行管理，保证各环保设施正常有效的运行，保证各类污染物稳定达标排放。根据现场勘查，现有工程存在的环保问题及整改措施详见下表。</w:t>
            </w:r>
          </w:p>
          <w:p>
            <w:pPr>
              <w:pStyle w:val="22"/>
              <w:keepNext w:val="0"/>
              <w:keepLines w:val="0"/>
              <w:suppressLineNumbers w:val="0"/>
              <w:spacing w:before="0" w:beforeAutospacing="0" w:after="0" w:afterAutospacing="0"/>
              <w:ind w:left="0" w:right="0"/>
              <w:rPr>
                <w:rFonts w:hint="default"/>
                <w:color w:val="auto"/>
              </w:rPr>
            </w:pPr>
            <w:r>
              <w:rPr>
                <w:rFonts w:hint="default"/>
                <w:color w:val="auto"/>
              </w:rPr>
              <w:t xml:space="preserve"> 现有工程存在的问题及整改措施</w:t>
            </w:r>
          </w:p>
          <w:p>
            <w:pPr>
              <w:pStyle w:val="25"/>
              <w:keepNext w:val="0"/>
              <w:keepLines w:val="0"/>
              <w:suppressLineNumbers w:val="0"/>
              <w:bidi w:val="0"/>
              <w:spacing w:before="0" w:beforeAutospacing="0" w:after="0" w:afterAutospacing="0"/>
              <w:ind w:left="0" w:right="0"/>
              <w:rPr>
                <w:rFonts w:hint="default"/>
                <w:color w:val="auto"/>
              </w:rPr>
            </w:pPr>
          </w:p>
          <w:p>
            <w:pPr>
              <w:pStyle w:val="5"/>
              <w:suppressLineNumbers w:val="0"/>
              <w:bidi w:val="0"/>
              <w:spacing w:before="0" w:beforeAutospacing="0" w:after="0" w:afterAutospacing="0"/>
              <w:ind w:right="0"/>
              <w:rPr>
                <w:rFonts w:hint="default"/>
                <w:color w:val="auto"/>
                <w:lang w:val="en-US" w:eastAsia="zh-CN"/>
              </w:rPr>
            </w:pPr>
            <w:r>
              <w:rPr>
                <w:rFonts w:hint="default"/>
                <w:color w:val="auto"/>
              </w:rPr>
              <w:t>三本账核算</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本次改扩建项目建成后全厂污染物排放三本章统计情况如下表所示。</w:t>
            </w:r>
          </w:p>
          <w:p>
            <w:pPr>
              <w:pStyle w:val="22"/>
              <w:keepNext w:val="0"/>
              <w:keepLines w:val="0"/>
              <w:suppressLineNumbers w:val="0"/>
              <w:bidi w:val="0"/>
              <w:spacing w:before="0" w:beforeAutospacing="0" w:after="0" w:afterAutospacing="0"/>
              <w:ind w:right="0"/>
              <w:rPr>
                <w:rFonts w:hint="default"/>
                <w:color w:val="auto"/>
              </w:rPr>
            </w:pPr>
            <w:r>
              <w:rPr>
                <w:rFonts w:hint="default"/>
                <w:color w:val="auto"/>
              </w:rPr>
              <w:t>项目完成后全厂污染物“三本帐”核算   单位：t/a</w:t>
            </w:r>
          </w:p>
          <w:p>
            <w:pPr>
              <w:pStyle w:val="25"/>
              <w:keepNext w:val="0"/>
              <w:keepLines w:val="0"/>
              <w:suppressLineNumbers w:val="0"/>
              <w:bidi w:val="0"/>
              <w:spacing w:before="0" w:beforeAutospacing="0" w:after="0" w:afterAutospacing="0"/>
              <w:ind w:left="0" w:right="0"/>
              <w:rPr>
                <w:rFonts w:hint="default"/>
                <w:color w:val="auto"/>
                <w:lang w:val="en-US" w:eastAsia="zh-CN"/>
              </w:rPr>
            </w:pPr>
          </w:p>
          <w:p>
            <w:pPr>
              <w:pStyle w:val="25"/>
              <w:keepNext w:val="0"/>
              <w:keepLines w:val="0"/>
              <w:suppressLineNumbers w:val="0"/>
              <w:bidi w:val="0"/>
              <w:spacing w:before="0" w:beforeAutospacing="0" w:after="0" w:afterAutospacing="0"/>
              <w:ind w:left="0" w:right="0"/>
              <w:rPr>
                <w:rFonts w:hint="default"/>
                <w:color w:val="auto"/>
                <w:lang w:val="en-US" w:eastAsia="zh-CN"/>
              </w:rPr>
            </w:pPr>
          </w:p>
          <w:p>
            <w:pPr>
              <w:pStyle w:val="25"/>
              <w:keepNext w:val="0"/>
              <w:keepLines w:val="0"/>
              <w:suppressLineNumbers w:val="0"/>
              <w:bidi w:val="0"/>
              <w:spacing w:before="0" w:beforeAutospacing="0" w:after="0" w:afterAutospacing="0"/>
              <w:ind w:left="0" w:right="0"/>
              <w:rPr>
                <w:rFonts w:hint="default"/>
                <w:color w:val="auto"/>
                <w:lang w:val="en-US" w:eastAsia="zh-CN"/>
              </w:rPr>
            </w:pPr>
          </w:p>
        </w:tc>
      </w:tr>
    </w:tbl>
    <w:p>
      <w:pPr>
        <w:jc w:val="center"/>
        <w:rPr>
          <w:rFonts w:ascii="黑体" w:hAnsi="黑体" w:eastAsia="黑体"/>
          <w:snapToGrid w:val="0"/>
          <w:color w:val="auto"/>
          <w:sz w:val="36"/>
          <w:szCs w:val="36"/>
          <w:highlight w:val="yellow"/>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3"/>
        <w:numPr>
          <w:ilvl w:val="0"/>
          <w:numId w:val="6"/>
        </w:numPr>
        <w:rPr>
          <w:color w:val="auto"/>
          <w:highlight w:val="none"/>
        </w:rPr>
      </w:pPr>
      <w:r>
        <w:rPr>
          <w:rFonts w:hint="eastAsia"/>
          <w:color w:val="auto"/>
          <w:highlight w:val="none"/>
          <w:lang w:val="en-US" w:eastAsia="zh-CN"/>
        </w:rPr>
        <w:t>·</w:t>
      </w:r>
      <w:r>
        <w:rPr>
          <w:rFonts w:hint="eastAsia"/>
          <w:color w:val="auto"/>
          <w:highlight w:val="none"/>
        </w:rPr>
        <w:t>区域环境质量现状、环境保护目标及评价标准</w:t>
      </w:r>
    </w:p>
    <w:tbl>
      <w:tblPr>
        <w:tblStyle w:val="18"/>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4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8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区域</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环境</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质量</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yellow"/>
              </w:rPr>
            </w:pPr>
            <w:r>
              <w:rPr>
                <w:rFonts w:hint="eastAsia" w:ascii="宋体" w:hAnsi="宋体" w:cs="宋体"/>
                <w:color w:val="auto"/>
                <w:kern w:val="0"/>
                <w:szCs w:val="21"/>
                <w:highlight w:val="none"/>
              </w:rPr>
              <w:t>现状</w:t>
            </w:r>
          </w:p>
        </w:tc>
        <w:tc>
          <w:tcPr>
            <w:tcW w:w="8461" w:type="dxa"/>
            <w:vAlign w:val="center"/>
          </w:tcPr>
          <w:p>
            <w:pPr>
              <w:pStyle w:val="4"/>
              <w:keepNext w:val="0"/>
              <w:keepLines w:val="0"/>
              <w:numPr>
                <w:ilvl w:val="1"/>
                <w:numId w:val="6"/>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大气环境质量现状</w:t>
            </w:r>
          </w:p>
          <w:p>
            <w:pPr>
              <w:pStyle w:val="25"/>
              <w:keepNext w:val="0"/>
              <w:keepLines w:val="0"/>
              <w:suppressLineNumbers w:val="0"/>
              <w:spacing w:before="0" w:beforeAutospacing="0" w:after="0" w:afterAutospacing="0"/>
              <w:ind w:left="0" w:right="0" w:firstLine="480"/>
              <w:rPr>
                <w:rFonts w:hint="default"/>
                <w:color w:val="auto"/>
                <w:highlight w:val="none"/>
              </w:rPr>
            </w:pPr>
            <w:bookmarkStart w:id="19" w:name="_Ref18834"/>
            <w:r>
              <w:rPr>
                <w:rFonts w:hint="eastAsia"/>
                <w:color w:val="auto"/>
                <w:highlight w:val="none"/>
              </w:rPr>
              <w:t>本项目位于福鼎市，根据《宁德市环境质量现状</w:t>
            </w:r>
            <w:r>
              <w:rPr>
                <w:rFonts w:hint="default"/>
                <w:color w:val="auto"/>
                <w:highlight w:val="none"/>
              </w:rPr>
              <w:t>2020</w:t>
            </w:r>
            <w:r>
              <w:rPr>
                <w:rFonts w:hint="eastAsia"/>
                <w:color w:val="auto"/>
                <w:highlight w:val="none"/>
              </w:rPr>
              <w:t>年》有关数据，</w:t>
            </w:r>
            <w:r>
              <w:rPr>
                <w:rFonts w:hint="default"/>
                <w:color w:val="auto"/>
                <w:highlight w:val="none"/>
              </w:rPr>
              <w:t>2020</w:t>
            </w:r>
            <w:r>
              <w:rPr>
                <w:rFonts w:hint="eastAsia"/>
                <w:color w:val="auto"/>
                <w:highlight w:val="none"/>
              </w:rPr>
              <w:t>年项目区域空气质量现状详见下表。</w:t>
            </w:r>
            <w:r>
              <w:rPr>
                <w:rFonts w:hint="default"/>
                <w:color w:val="auto"/>
                <w:highlight w:val="none"/>
              </w:rPr>
              <w:t>由</w:t>
            </w:r>
            <w:r>
              <w:rPr>
                <w:rFonts w:hint="eastAsia"/>
                <w:color w:val="auto"/>
                <w:highlight w:val="none"/>
                <w:lang w:val="en-US" w:eastAsia="zh-CN"/>
              </w:rPr>
              <w:t>下表</w:t>
            </w:r>
            <w:r>
              <w:rPr>
                <w:rFonts w:hint="default"/>
                <w:color w:val="auto"/>
                <w:highlight w:val="none"/>
              </w:rPr>
              <w:t>可知，项目区域SO</w:t>
            </w:r>
            <w:r>
              <w:rPr>
                <w:rFonts w:hint="default"/>
                <w:color w:val="auto"/>
                <w:highlight w:val="none"/>
                <w:vertAlign w:val="subscript"/>
              </w:rPr>
              <w:t>2</w:t>
            </w:r>
            <w:r>
              <w:rPr>
                <w:rFonts w:hint="default"/>
                <w:color w:val="auto"/>
                <w:highlight w:val="none"/>
              </w:rPr>
              <w:t>、NO</w:t>
            </w:r>
            <w:r>
              <w:rPr>
                <w:rFonts w:hint="default"/>
                <w:color w:val="auto"/>
                <w:highlight w:val="none"/>
                <w:vertAlign w:val="subscript"/>
              </w:rPr>
              <w:t>2</w:t>
            </w:r>
            <w:r>
              <w:rPr>
                <w:rFonts w:hint="default"/>
                <w:color w:val="auto"/>
                <w:highlight w:val="none"/>
              </w:rPr>
              <w:t>、PM</w:t>
            </w:r>
            <w:r>
              <w:rPr>
                <w:rFonts w:hint="default"/>
                <w:color w:val="auto"/>
                <w:highlight w:val="none"/>
                <w:vertAlign w:val="subscript"/>
              </w:rPr>
              <w:t>10</w:t>
            </w:r>
            <w:r>
              <w:rPr>
                <w:rFonts w:hint="default"/>
                <w:color w:val="auto"/>
                <w:highlight w:val="none"/>
              </w:rPr>
              <w:t>、PM</w:t>
            </w:r>
            <w:r>
              <w:rPr>
                <w:rFonts w:hint="default"/>
                <w:color w:val="auto"/>
                <w:highlight w:val="none"/>
                <w:vertAlign w:val="subscript"/>
              </w:rPr>
              <w:t>2.5</w:t>
            </w:r>
            <w:r>
              <w:rPr>
                <w:rFonts w:hint="default"/>
                <w:color w:val="auto"/>
                <w:highlight w:val="none"/>
              </w:rPr>
              <w:t>、CO、O</w:t>
            </w:r>
            <w:r>
              <w:rPr>
                <w:rFonts w:hint="default"/>
                <w:color w:val="auto"/>
                <w:highlight w:val="none"/>
                <w:vertAlign w:val="subscript"/>
              </w:rPr>
              <w:t>3</w:t>
            </w:r>
            <w:r>
              <w:rPr>
                <w:rFonts w:hint="default"/>
                <w:color w:val="auto"/>
                <w:highlight w:val="none"/>
              </w:rPr>
              <w:t>六项污染物全部</w:t>
            </w:r>
            <w:r>
              <w:rPr>
                <w:rFonts w:hint="eastAsia"/>
                <w:color w:val="auto"/>
                <w:highlight w:val="none"/>
              </w:rPr>
              <w:t>满足</w:t>
            </w:r>
            <w:r>
              <w:rPr>
                <w:rFonts w:hint="default"/>
                <w:color w:val="auto"/>
                <w:highlight w:val="none"/>
              </w:rPr>
              <w:t>《环境空气质量标准》(GB3095-2012)中的二级标准要求，项目所在区域环境空气质量属于达标区。</w:t>
            </w:r>
          </w:p>
          <w:p>
            <w:pPr>
              <w:pStyle w:val="22"/>
              <w:keepNext w:val="0"/>
              <w:keepLines w:val="0"/>
              <w:numPr>
                <w:ilvl w:val="7"/>
                <w:numId w:val="6"/>
              </w:numPr>
              <w:suppressLineNumbers w:val="0"/>
              <w:spacing w:before="0" w:beforeAutospacing="0" w:after="0" w:afterAutospacing="0"/>
              <w:ind w:right="0"/>
              <w:rPr>
                <w:rFonts w:hint="default"/>
                <w:color w:val="auto"/>
                <w:highlight w:val="none"/>
              </w:rPr>
            </w:pPr>
            <w:r>
              <w:rPr>
                <w:rFonts w:hint="default"/>
                <w:color w:val="auto"/>
                <w:highlight w:val="none"/>
              </w:rPr>
              <w:t>福鼎市区域空气质量现状评价表</w:t>
            </w:r>
            <w:bookmarkEnd w:id="19"/>
          </w:p>
          <w:tbl>
            <w:tblPr>
              <w:tblStyle w:val="18"/>
              <w:tblW w:w="82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606"/>
              <w:gridCol w:w="1374"/>
              <w:gridCol w:w="1374"/>
              <w:gridCol w:w="1376"/>
              <w:gridCol w:w="13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dxa"/>
                  <w:tcBorders>
                    <w:top w:val="single" w:color="auto" w:sz="12"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污染物</w:t>
                  </w:r>
                </w:p>
              </w:tc>
              <w:tc>
                <w:tcPr>
                  <w:tcW w:w="1606" w:type="dxa"/>
                  <w:tcBorders>
                    <w:top w:val="single" w:color="auto" w:sz="12"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年评价指标</w:t>
                  </w:r>
                </w:p>
              </w:tc>
              <w:tc>
                <w:tcPr>
                  <w:tcW w:w="1374" w:type="dxa"/>
                  <w:tcBorders>
                    <w:top w:val="single" w:color="auto" w:sz="12"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现状浓度(μg/m³)</w:t>
                  </w:r>
                </w:p>
              </w:tc>
              <w:tc>
                <w:tcPr>
                  <w:tcW w:w="1374" w:type="dxa"/>
                  <w:tcBorders>
                    <w:top w:val="single" w:color="auto" w:sz="12"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标准值(μg/m³)</w:t>
                  </w:r>
                </w:p>
              </w:tc>
              <w:tc>
                <w:tcPr>
                  <w:tcW w:w="1376" w:type="dxa"/>
                  <w:tcBorders>
                    <w:top w:val="single" w:color="auto" w:sz="12"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占标率(%)</w:t>
                  </w:r>
                </w:p>
              </w:tc>
              <w:tc>
                <w:tcPr>
                  <w:tcW w:w="1374" w:type="dxa"/>
                  <w:tcBorders>
                    <w:top w:val="single" w:color="auto" w:sz="12" w:space="0"/>
                    <w:left w:val="single" w:color="auto" w:sz="4" w:space="0"/>
                    <w:bottom w:val="single" w:color="auto" w:sz="4" w:space="0"/>
                    <w:right w:val="nil"/>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dxa"/>
                  <w:tcBorders>
                    <w:top w:val="single" w:color="auto" w:sz="4"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SO</w:t>
                  </w:r>
                  <w:r>
                    <w:rPr>
                      <w:rFonts w:hint="default" w:ascii="Times New Roman" w:hAnsi="Times New Roman" w:cs="Times New Roman"/>
                      <w:color w:val="auto"/>
                      <w:highlight w:val="none"/>
                      <w:vertAlign w:val="subscript"/>
                    </w:rPr>
                    <w:t>2</w:t>
                  </w:r>
                </w:p>
              </w:tc>
              <w:tc>
                <w:tcPr>
                  <w:tcW w:w="1606"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年均质量浓度</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w:t>
                  </w:r>
                </w:p>
              </w:tc>
              <w:tc>
                <w:tcPr>
                  <w:tcW w:w="137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tabs>
                      <w:tab w:val="left" w:pos="648"/>
                    </w:tabs>
                    <w:spacing w:before="0" w:beforeAutospacing="0" w:after="0" w:afterAutospacing="0"/>
                    <w:ind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60</w:t>
                  </w:r>
                </w:p>
              </w:tc>
              <w:tc>
                <w:tcPr>
                  <w:tcW w:w="13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w:t>
                  </w:r>
                </w:p>
              </w:tc>
              <w:tc>
                <w:tcPr>
                  <w:tcW w:w="1374" w:type="dxa"/>
                  <w:tcBorders>
                    <w:top w:val="single" w:color="auto" w:sz="4" w:space="0"/>
                    <w:left w:val="single" w:color="auto" w:sz="4" w:space="0"/>
                    <w:bottom w:val="single" w:color="auto" w:sz="4" w:space="0"/>
                    <w:right w:val="nil"/>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dxa"/>
                  <w:tcBorders>
                    <w:top w:val="single" w:color="auto" w:sz="4"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NO</w:t>
                  </w:r>
                  <w:r>
                    <w:rPr>
                      <w:rFonts w:hint="default" w:ascii="Times New Roman" w:hAnsi="Times New Roman" w:cs="Times New Roman"/>
                      <w:color w:val="auto"/>
                      <w:highlight w:val="none"/>
                      <w:vertAlign w:val="subscript"/>
                    </w:rPr>
                    <w:t>2</w:t>
                  </w:r>
                </w:p>
              </w:tc>
              <w:tc>
                <w:tcPr>
                  <w:tcW w:w="1606"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年均质量浓度</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137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tabs>
                      <w:tab w:val="left" w:pos="648"/>
                    </w:tabs>
                    <w:spacing w:before="0" w:beforeAutospacing="0" w:after="0" w:afterAutospacing="0"/>
                    <w:ind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40</w:t>
                  </w:r>
                </w:p>
              </w:tc>
              <w:tc>
                <w:tcPr>
                  <w:tcW w:w="13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12.5</w:t>
                  </w:r>
                </w:p>
              </w:tc>
              <w:tc>
                <w:tcPr>
                  <w:tcW w:w="1374" w:type="dxa"/>
                  <w:tcBorders>
                    <w:top w:val="single" w:color="auto" w:sz="4" w:space="0"/>
                    <w:left w:val="single" w:color="auto" w:sz="4" w:space="0"/>
                    <w:bottom w:val="single" w:color="auto" w:sz="4" w:space="0"/>
                    <w:right w:val="nil"/>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dxa"/>
                  <w:tcBorders>
                    <w:top w:val="single" w:color="auto" w:sz="4"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PM</w:t>
                  </w:r>
                  <w:r>
                    <w:rPr>
                      <w:rFonts w:hint="default" w:ascii="Times New Roman" w:hAnsi="Times New Roman" w:cs="Times New Roman"/>
                      <w:color w:val="auto"/>
                      <w:highlight w:val="none"/>
                      <w:vertAlign w:val="subscript"/>
                    </w:rPr>
                    <w:t>10</w:t>
                  </w:r>
                </w:p>
              </w:tc>
              <w:tc>
                <w:tcPr>
                  <w:tcW w:w="1606"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年均质量浓度</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w:t>
                  </w:r>
                </w:p>
              </w:tc>
              <w:tc>
                <w:tcPr>
                  <w:tcW w:w="137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tabs>
                      <w:tab w:val="left" w:pos="648"/>
                    </w:tabs>
                    <w:spacing w:before="0" w:beforeAutospacing="0" w:after="0" w:afterAutospacing="0"/>
                    <w:ind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70</w:t>
                  </w:r>
                </w:p>
              </w:tc>
              <w:tc>
                <w:tcPr>
                  <w:tcW w:w="13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44.3</w:t>
                  </w:r>
                </w:p>
              </w:tc>
              <w:tc>
                <w:tcPr>
                  <w:tcW w:w="1374" w:type="dxa"/>
                  <w:tcBorders>
                    <w:top w:val="single" w:color="auto" w:sz="4" w:space="0"/>
                    <w:left w:val="single" w:color="auto" w:sz="4" w:space="0"/>
                    <w:bottom w:val="single" w:color="auto" w:sz="4" w:space="0"/>
                    <w:right w:val="nil"/>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dxa"/>
                  <w:tcBorders>
                    <w:top w:val="single" w:color="auto" w:sz="4"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PM</w:t>
                  </w:r>
                  <w:r>
                    <w:rPr>
                      <w:rFonts w:hint="default" w:ascii="Times New Roman" w:hAnsi="Times New Roman" w:cs="Times New Roman"/>
                      <w:color w:val="auto"/>
                      <w:highlight w:val="none"/>
                      <w:vertAlign w:val="subscript"/>
                    </w:rPr>
                    <w:t>2.5</w:t>
                  </w:r>
                </w:p>
              </w:tc>
              <w:tc>
                <w:tcPr>
                  <w:tcW w:w="1606"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年均质量浓度</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w:t>
                  </w:r>
                </w:p>
              </w:tc>
              <w:tc>
                <w:tcPr>
                  <w:tcW w:w="137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tabs>
                      <w:tab w:val="left" w:pos="648"/>
                    </w:tabs>
                    <w:spacing w:before="0" w:beforeAutospacing="0" w:after="0" w:afterAutospacing="0"/>
                    <w:ind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35</w:t>
                  </w:r>
                </w:p>
              </w:tc>
              <w:tc>
                <w:tcPr>
                  <w:tcW w:w="13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34.3</w:t>
                  </w:r>
                </w:p>
              </w:tc>
              <w:tc>
                <w:tcPr>
                  <w:tcW w:w="1374" w:type="dxa"/>
                  <w:tcBorders>
                    <w:top w:val="single" w:color="auto" w:sz="4" w:space="0"/>
                    <w:left w:val="single" w:color="auto" w:sz="4" w:space="0"/>
                    <w:bottom w:val="single" w:color="auto" w:sz="4" w:space="0"/>
                    <w:right w:val="nil"/>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dxa"/>
                  <w:tcBorders>
                    <w:top w:val="single" w:color="auto" w:sz="4"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CO</w:t>
                  </w:r>
                </w:p>
              </w:tc>
              <w:tc>
                <w:tcPr>
                  <w:tcW w:w="1606"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日均质量浓度</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w:t>
                  </w:r>
                </w:p>
              </w:tc>
              <w:tc>
                <w:tcPr>
                  <w:tcW w:w="137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tabs>
                      <w:tab w:val="left" w:pos="648"/>
                    </w:tabs>
                    <w:spacing w:before="0" w:beforeAutospacing="0" w:after="0" w:afterAutospacing="0"/>
                    <w:ind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4000</w:t>
                  </w:r>
                </w:p>
              </w:tc>
              <w:tc>
                <w:tcPr>
                  <w:tcW w:w="13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35</w:t>
                  </w:r>
                </w:p>
              </w:tc>
              <w:tc>
                <w:tcPr>
                  <w:tcW w:w="1374" w:type="dxa"/>
                  <w:tcBorders>
                    <w:top w:val="single" w:color="auto" w:sz="4" w:space="0"/>
                    <w:left w:val="single" w:color="auto" w:sz="4" w:space="0"/>
                    <w:bottom w:val="single" w:color="auto" w:sz="4" w:space="0"/>
                    <w:right w:val="nil"/>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dxa"/>
                  <w:tcBorders>
                    <w:top w:val="single" w:color="auto" w:sz="4" w:space="0"/>
                    <w:left w:val="nil"/>
                    <w:bottom w:val="single" w:color="auto" w:sz="12"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O</w:t>
                  </w:r>
                  <w:r>
                    <w:rPr>
                      <w:rFonts w:hint="default" w:ascii="Times New Roman" w:hAnsi="Times New Roman" w:cs="Times New Roman"/>
                      <w:color w:val="auto"/>
                      <w:highlight w:val="none"/>
                      <w:vertAlign w:val="subscript"/>
                    </w:rPr>
                    <w:t>3</w:t>
                  </w:r>
                </w:p>
              </w:tc>
              <w:tc>
                <w:tcPr>
                  <w:tcW w:w="1606" w:type="dxa"/>
                  <w:tcBorders>
                    <w:top w:val="single" w:color="auto" w:sz="4" w:space="0"/>
                    <w:left w:val="single" w:color="auto" w:sz="4" w:space="0"/>
                    <w:bottom w:val="single" w:color="auto" w:sz="12" w:space="0"/>
                    <w:right w:val="single" w:color="auto" w:sz="4" w:space="0"/>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日最大8小时平均质量浓度</w:t>
                  </w:r>
                </w:p>
              </w:tc>
              <w:tc>
                <w:tcPr>
                  <w:tcW w:w="1374"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86</w:t>
                  </w:r>
                </w:p>
              </w:tc>
              <w:tc>
                <w:tcPr>
                  <w:tcW w:w="1374" w:type="dxa"/>
                  <w:tcBorders>
                    <w:top w:val="single" w:color="auto" w:sz="4" w:space="0"/>
                    <w:left w:val="single" w:color="auto" w:sz="4" w:space="0"/>
                    <w:bottom w:val="single" w:color="auto" w:sz="12" w:space="0"/>
                    <w:right w:val="single" w:color="auto" w:sz="4" w:space="0"/>
                  </w:tcBorders>
                  <w:vAlign w:val="center"/>
                </w:tcPr>
                <w:p>
                  <w:pPr>
                    <w:pStyle w:val="23"/>
                    <w:keepNext w:val="0"/>
                    <w:keepLines w:val="0"/>
                    <w:suppressLineNumbers w:val="0"/>
                    <w:tabs>
                      <w:tab w:val="left" w:pos="648"/>
                    </w:tabs>
                    <w:spacing w:before="0" w:beforeAutospacing="0" w:after="0" w:afterAutospacing="0"/>
                    <w:ind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160</w:t>
                  </w:r>
                </w:p>
              </w:tc>
              <w:tc>
                <w:tcPr>
                  <w:tcW w:w="1376"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52.1</w:t>
                  </w:r>
                </w:p>
              </w:tc>
              <w:tc>
                <w:tcPr>
                  <w:tcW w:w="1374" w:type="dxa"/>
                  <w:tcBorders>
                    <w:top w:val="single" w:color="auto" w:sz="4" w:space="0"/>
                    <w:left w:val="single" w:color="auto" w:sz="4" w:space="0"/>
                    <w:bottom w:val="single" w:color="auto" w:sz="12" w:space="0"/>
                    <w:right w:val="nil"/>
                  </w:tcBorders>
                  <w:vAlign w:val="center"/>
                </w:tcPr>
                <w:p>
                  <w:pPr>
                    <w:pStyle w:val="23"/>
                    <w:keepNext w:val="0"/>
                    <w:keepLines w:val="0"/>
                    <w:suppressLineNumbers w:val="0"/>
                    <w:spacing w:before="0" w:beforeAutospacing="0" w:after="0" w:afterAutospacing="0"/>
                    <w:ind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r>
          </w:tbl>
          <w:p>
            <w:pPr>
              <w:pStyle w:val="4"/>
              <w:keepNext w:val="0"/>
              <w:keepLines w:val="0"/>
              <w:numPr>
                <w:ilvl w:val="1"/>
                <w:numId w:val="6"/>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地表</w:t>
            </w:r>
            <w:r>
              <w:rPr>
                <w:rFonts w:hint="default"/>
                <w:color w:val="auto"/>
                <w:highlight w:val="none"/>
              </w:rPr>
              <w:t>水环境质量现状</w:t>
            </w:r>
          </w:p>
          <w:p>
            <w:pPr>
              <w:pStyle w:val="25"/>
              <w:keepNext w:val="0"/>
              <w:keepLines w:val="0"/>
              <w:suppressLineNumbers w:val="0"/>
              <w:spacing w:before="0" w:beforeAutospacing="0" w:after="0" w:afterAutospacing="0"/>
              <w:ind w:left="0" w:right="0" w:firstLine="480"/>
              <w:rPr>
                <w:rFonts w:hint="default"/>
                <w:color w:val="auto"/>
                <w:highlight w:val="none"/>
              </w:rPr>
            </w:pPr>
            <w:bookmarkStart w:id="20" w:name="_Ref12330"/>
            <w:r>
              <w:rPr>
                <w:rFonts w:hint="default"/>
                <w:color w:val="auto"/>
                <w:highlight w:val="none"/>
              </w:rPr>
              <w:t>本项目</w:t>
            </w:r>
            <w:r>
              <w:rPr>
                <w:rFonts w:hint="eastAsia"/>
                <w:color w:val="auto"/>
                <w:highlight w:val="none"/>
              </w:rPr>
              <w:t>生活污水</w:t>
            </w:r>
            <w:r>
              <w:rPr>
                <w:rFonts w:hint="eastAsia"/>
                <w:color w:val="auto"/>
                <w:highlight w:val="none"/>
                <w:lang w:val="en-US" w:eastAsia="zh-CN"/>
              </w:rPr>
              <w:t>经化粪池处理</w:t>
            </w:r>
            <w:r>
              <w:rPr>
                <w:rFonts w:hint="eastAsia"/>
                <w:color w:val="auto"/>
                <w:highlight w:val="none"/>
              </w:rPr>
              <w:t>达标后纳入</w:t>
            </w:r>
            <w:r>
              <w:rPr>
                <w:rFonts w:hint="default"/>
                <w:color w:val="auto"/>
                <w:highlight w:val="none"/>
              </w:rPr>
              <w:t>文渡污水处理厂处理后排放至滞洪区，本次引用《福鼎市文渡污水处理有限公司日处理8000吨污水改扩建工程项目环境影响报告书》</w:t>
            </w:r>
            <w:r>
              <w:rPr>
                <w:rFonts w:hint="eastAsia"/>
                <w:color w:val="auto"/>
                <w:highlight w:val="none"/>
              </w:rPr>
              <w:t>中</w:t>
            </w:r>
            <w:r>
              <w:rPr>
                <w:rFonts w:hint="default"/>
                <w:color w:val="auto"/>
                <w:highlight w:val="none"/>
              </w:rPr>
              <w:t>2019年5月24日对滞洪区的水质监测结果。</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(1)监测断面与监测因子</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监测断面具体位置分布见</w:t>
            </w:r>
            <w:r>
              <w:rPr>
                <w:rFonts w:hint="eastAsia"/>
                <w:color w:val="auto"/>
                <w:highlight w:val="none"/>
              </w:rPr>
              <w:t>下表</w:t>
            </w:r>
            <w:r>
              <w:rPr>
                <w:rFonts w:hint="default"/>
                <w:color w:val="auto"/>
                <w:highlight w:val="none"/>
              </w:rPr>
              <w:t>，监测因子见</w:t>
            </w:r>
            <w:r>
              <w:rPr>
                <w:rFonts w:hint="eastAsia"/>
                <w:color w:val="auto"/>
                <w:highlight w:val="none"/>
              </w:rPr>
              <w:t>下表</w:t>
            </w:r>
            <w:r>
              <w:rPr>
                <w:rFonts w:hint="default"/>
                <w:color w:val="auto"/>
                <w:highlight w:val="none"/>
              </w:rPr>
              <w:t>。</w:t>
            </w:r>
          </w:p>
          <w:p>
            <w:pPr>
              <w:pStyle w:val="22"/>
              <w:keepNext w:val="0"/>
              <w:keepLines w:val="0"/>
              <w:numPr>
                <w:ilvl w:val="7"/>
                <w:numId w:val="6"/>
              </w:numPr>
              <w:suppressLineNumbers w:val="0"/>
              <w:spacing w:before="0" w:beforeAutospacing="0" w:after="0" w:afterAutospacing="0"/>
              <w:ind w:right="0"/>
              <w:rPr>
                <w:rFonts w:hint="default"/>
                <w:color w:val="auto"/>
                <w:highlight w:val="none"/>
              </w:rPr>
            </w:pPr>
            <w:r>
              <w:rPr>
                <w:rFonts w:hint="default"/>
                <w:color w:val="auto"/>
                <w:highlight w:val="none"/>
              </w:rPr>
              <w:t>地表水监测点位</w:t>
            </w:r>
            <w:bookmarkEnd w:id="20"/>
          </w:p>
          <w:tbl>
            <w:tblPr>
              <w:tblStyle w:val="18"/>
              <w:tblW w:w="82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598"/>
              <w:gridCol w:w="2782"/>
              <w:gridCol w:w="38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98" w:type="dxa"/>
                  <w:tcBorders>
                    <w:top w:val="single" w:color="auto" w:sz="12"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监测点位号</w:t>
                  </w:r>
                </w:p>
              </w:tc>
              <w:tc>
                <w:tcPr>
                  <w:tcW w:w="2782" w:type="dxa"/>
                  <w:tcBorders>
                    <w:top w:val="single" w:color="auto" w:sz="12"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具体位置</w:t>
                  </w:r>
                </w:p>
              </w:tc>
              <w:tc>
                <w:tcPr>
                  <w:tcW w:w="3862" w:type="dxa"/>
                  <w:tcBorders>
                    <w:top w:val="single" w:color="auto" w:sz="12" w:space="0"/>
                    <w:left w:val="single" w:color="auto" w:sz="4" w:space="0"/>
                    <w:bottom w:val="single" w:color="auto" w:sz="4" w:space="0"/>
                    <w:right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eastAsia"/>
                      <w:color w:val="auto"/>
                      <w:highlight w:val="none"/>
                    </w:rPr>
                    <w:t>监测因子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98" w:type="dxa"/>
                  <w:tcBorders>
                    <w:top w:val="single" w:color="auto" w:sz="4"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W1</w:t>
                  </w:r>
                </w:p>
              </w:tc>
              <w:tc>
                <w:tcPr>
                  <w:tcW w:w="27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三孔闸内侧</w:t>
                  </w:r>
                </w:p>
              </w:tc>
              <w:tc>
                <w:tcPr>
                  <w:tcW w:w="3862" w:type="dxa"/>
                  <w:vMerge w:val="restart"/>
                  <w:tcBorders>
                    <w:top w:val="single" w:color="auto" w:sz="4" w:space="0"/>
                    <w:left w:val="single" w:color="auto" w:sz="4" w:space="0"/>
                    <w:bottom w:val="single" w:color="auto" w:sz="12" w:space="0"/>
                    <w:right w:val="nil"/>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pH、COD、BOD</w:t>
                  </w:r>
                  <w:r>
                    <w:rPr>
                      <w:rFonts w:hint="default"/>
                      <w:color w:val="auto"/>
                      <w:highlight w:val="none"/>
                      <w:vertAlign w:val="subscript"/>
                    </w:rPr>
                    <w:t>5</w:t>
                  </w:r>
                  <w:r>
                    <w:rPr>
                      <w:rFonts w:hint="default"/>
                      <w:color w:val="auto"/>
                      <w:highlight w:val="none"/>
                    </w:rPr>
                    <w:t>、氨氮、SS、TN、TP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98" w:type="dxa"/>
                  <w:tcBorders>
                    <w:top w:val="single" w:color="auto" w:sz="4" w:space="0"/>
                    <w:left w:val="nil"/>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W2</w:t>
                  </w:r>
                </w:p>
              </w:tc>
              <w:tc>
                <w:tcPr>
                  <w:tcW w:w="27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单孔闸内侧</w:t>
                  </w:r>
                </w:p>
              </w:tc>
              <w:tc>
                <w:tcPr>
                  <w:tcW w:w="3862" w:type="dxa"/>
                  <w:vMerge w:val="continue"/>
                  <w:tcBorders>
                    <w:top w:val="single" w:color="auto" w:sz="4" w:space="0"/>
                    <w:left w:val="single" w:color="auto" w:sz="4" w:space="0"/>
                    <w:bottom w:val="single" w:color="auto" w:sz="12" w:space="0"/>
                    <w:right w:val="nil"/>
                  </w:tcBorders>
                  <w:vAlign w:val="center"/>
                </w:tcPr>
                <w:p>
                  <w:pPr>
                    <w:pStyle w:val="23"/>
                    <w:keepNext w:val="0"/>
                    <w:keepLines w:val="0"/>
                    <w:suppressLineNumbers w:val="0"/>
                    <w:spacing w:before="0" w:beforeAutospacing="0" w:after="0" w:afterAutospacing="0"/>
                    <w:ind w:right="0"/>
                    <w:rPr>
                      <w:rFonts w:hint="default"/>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98" w:type="dxa"/>
                  <w:tcBorders>
                    <w:top w:val="single" w:color="auto" w:sz="4" w:space="0"/>
                    <w:left w:val="nil"/>
                    <w:bottom w:val="single" w:color="auto" w:sz="12" w:space="0"/>
                    <w:right w:val="single" w:color="auto" w:sz="4" w:space="0"/>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W3</w:t>
                  </w:r>
                </w:p>
              </w:tc>
              <w:tc>
                <w:tcPr>
                  <w:tcW w:w="2782" w:type="dxa"/>
                  <w:tcBorders>
                    <w:top w:val="single" w:color="auto" w:sz="4" w:space="0"/>
                    <w:left w:val="single" w:color="auto" w:sz="4" w:space="0"/>
                    <w:bottom w:val="single" w:color="auto" w:sz="12" w:space="0"/>
                    <w:right w:val="single" w:color="auto" w:sz="4" w:space="0"/>
                  </w:tcBorders>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滞洪区中部</w:t>
                  </w:r>
                </w:p>
              </w:tc>
              <w:tc>
                <w:tcPr>
                  <w:tcW w:w="3862" w:type="dxa"/>
                  <w:vMerge w:val="continue"/>
                  <w:tcBorders>
                    <w:top w:val="single" w:color="auto" w:sz="4" w:space="0"/>
                    <w:left w:val="single" w:color="auto" w:sz="4" w:space="0"/>
                    <w:bottom w:val="single" w:color="auto" w:sz="12" w:space="0"/>
                    <w:right w:val="nil"/>
                  </w:tcBorders>
                  <w:vAlign w:val="center"/>
                </w:tcPr>
                <w:p>
                  <w:pPr>
                    <w:pStyle w:val="23"/>
                    <w:keepNext w:val="0"/>
                    <w:keepLines w:val="0"/>
                    <w:suppressLineNumbers w:val="0"/>
                    <w:spacing w:before="0" w:beforeAutospacing="0" w:after="0" w:afterAutospacing="0"/>
                    <w:ind w:right="0"/>
                    <w:rPr>
                      <w:rFonts w:hint="default"/>
                      <w:color w:val="auto"/>
                      <w:highlight w:val="none"/>
                    </w:rPr>
                  </w:pPr>
                </w:p>
              </w:tc>
            </w:tr>
          </w:tbl>
          <w:p>
            <w:pPr>
              <w:pStyle w:val="23"/>
              <w:keepNext w:val="0"/>
              <w:keepLines w:val="0"/>
              <w:suppressLineNumbers w:val="0"/>
              <w:bidi w:val="0"/>
              <w:spacing w:before="0" w:beforeAutospacing="0" w:after="0" w:afterAutospacing="0"/>
              <w:ind w:right="0"/>
              <w:rPr>
                <w:rFonts w:hint="default"/>
                <w:color w:val="auto"/>
              </w:rPr>
            </w:pPr>
            <w:r>
              <w:rPr>
                <w:rFonts w:hint="default"/>
                <w:color w:val="auto"/>
              </w:rPr>
              <w:drawing>
                <wp:inline distT="0" distB="0" distL="114300" distR="114300">
                  <wp:extent cx="5228590" cy="4601210"/>
                  <wp:effectExtent l="0" t="0" r="10160" b="889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pic:cNvPicPr>
                        </pic:nvPicPr>
                        <pic:blipFill>
                          <a:blip r:embed="rId10"/>
                          <a:stretch>
                            <a:fillRect/>
                          </a:stretch>
                        </pic:blipFill>
                        <pic:spPr>
                          <a:xfrm>
                            <a:off x="0" y="0"/>
                            <a:ext cx="5228590" cy="4601210"/>
                          </a:xfrm>
                          <a:prstGeom prst="rect">
                            <a:avLst/>
                          </a:prstGeom>
                          <a:noFill/>
                          <a:ln>
                            <a:noFill/>
                          </a:ln>
                        </pic:spPr>
                      </pic:pic>
                    </a:graphicData>
                  </a:graphic>
                </wp:inline>
              </w:drawing>
            </w:r>
          </w:p>
          <w:p>
            <w:pPr>
              <w:pStyle w:val="24"/>
              <w:keepNext w:val="0"/>
              <w:keepLines w:val="0"/>
              <w:suppressLineNumbers w:val="0"/>
              <w:bidi w:val="0"/>
              <w:spacing w:before="0" w:beforeAutospacing="0" w:after="0" w:afterAutospacing="0"/>
              <w:ind w:left="0" w:right="0"/>
              <w:rPr>
                <w:rFonts w:hint="default"/>
                <w:color w:val="auto"/>
              </w:rPr>
            </w:pPr>
            <w:r>
              <w:rPr>
                <w:rFonts w:hint="eastAsia"/>
                <w:color w:val="auto"/>
                <w:lang w:val="en-US" w:eastAsia="zh-CN"/>
              </w:rPr>
              <w:t>地表水监测点位图</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w:t>
            </w:r>
            <w:r>
              <w:rPr>
                <w:rFonts w:hint="eastAsia"/>
                <w:color w:val="auto"/>
                <w:highlight w:val="none"/>
              </w:rPr>
              <w:t>2</w:t>
            </w:r>
            <w:r>
              <w:rPr>
                <w:rFonts w:hint="default"/>
                <w:color w:val="auto"/>
                <w:highlight w:val="none"/>
              </w:rPr>
              <w:t>)监测结果及评价</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地表水监测结果及水质评价结果见</w:t>
            </w:r>
            <w:r>
              <w:rPr>
                <w:rFonts w:hint="eastAsia"/>
                <w:color w:val="auto"/>
                <w:highlight w:val="none"/>
                <w:lang w:val="en-US" w:eastAsia="zh-CN"/>
              </w:rPr>
              <w:t>下表</w:t>
            </w:r>
            <w:r>
              <w:rPr>
                <w:rFonts w:hint="default"/>
                <w:color w:val="auto"/>
                <w:highlight w:val="none"/>
              </w:rPr>
              <w:t>。</w:t>
            </w:r>
          </w:p>
          <w:p>
            <w:pPr>
              <w:pStyle w:val="22"/>
              <w:keepNext w:val="0"/>
              <w:keepLines w:val="0"/>
              <w:numPr>
                <w:ilvl w:val="7"/>
                <w:numId w:val="6"/>
              </w:numPr>
              <w:suppressLineNumbers w:val="0"/>
              <w:spacing w:before="0" w:beforeAutospacing="0" w:after="0" w:afterAutospacing="0"/>
              <w:ind w:right="0"/>
              <w:rPr>
                <w:rFonts w:hint="default"/>
                <w:color w:val="auto"/>
                <w:highlight w:val="none"/>
              </w:rPr>
            </w:pPr>
            <w:bookmarkStart w:id="21" w:name="_Ref12806"/>
            <w:r>
              <w:rPr>
                <w:rFonts w:hint="default"/>
                <w:color w:val="auto"/>
                <w:highlight w:val="none"/>
              </w:rPr>
              <w:t>地表水水质现状监测及评价结果一览表   单位：mg/L(pH无量纲)</w:t>
            </w:r>
            <w:bookmarkEnd w:id="21"/>
          </w:p>
          <w:tbl>
            <w:tblPr>
              <w:tblStyle w:val="19"/>
              <w:tblpPr w:leftFromText="180" w:rightFromText="180" w:vertAnchor="text" w:horzAnchor="page" w:tblpX="236" w:tblpY="67"/>
              <w:tblOverlap w:val="never"/>
              <w:tblW w:w="8240" w:type="dxa"/>
              <w:tblInd w:w="0" w:type="dxa"/>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1405"/>
              <w:gridCol w:w="775"/>
              <w:gridCol w:w="872"/>
              <w:gridCol w:w="967"/>
              <w:gridCol w:w="915"/>
              <w:gridCol w:w="775"/>
              <w:gridCol w:w="915"/>
              <w:gridCol w:w="771"/>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断面</w:t>
                  </w: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项目</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pH</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COD</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BOD5</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氨氮</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SS</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TN</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TP</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250" w:type="dxa"/>
                  <w:gridSpan w:val="2"/>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Ⅲ类水质标准</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6-9</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20</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4</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1.0</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30</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1.0</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0.2</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restart"/>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W1</w:t>
                  </w: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2019.5.24</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7.34</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13</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3</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0.698</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27</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0.763</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0.04</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continue"/>
                  <w:vAlign w:val="center"/>
                </w:tcPr>
                <w:p>
                  <w:pPr>
                    <w:pStyle w:val="23"/>
                    <w:keepNext w:val="0"/>
                    <w:keepLines w:val="0"/>
                    <w:suppressLineNumbers w:val="0"/>
                    <w:spacing w:before="0" w:beforeAutospacing="0" w:after="0" w:afterAutospacing="0"/>
                    <w:ind w:right="0"/>
                    <w:rPr>
                      <w:rFonts w:hint="default"/>
                      <w:color w:val="auto"/>
                      <w:highlight w:val="none"/>
                    </w:rPr>
                  </w:pP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污染指数</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0.17</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0.65</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0.75</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0.698</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0.9</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0.763</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0.2</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continue"/>
                  <w:vAlign w:val="center"/>
                </w:tcPr>
                <w:p>
                  <w:pPr>
                    <w:pStyle w:val="23"/>
                    <w:keepNext w:val="0"/>
                    <w:keepLines w:val="0"/>
                    <w:suppressLineNumbers w:val="0"/>
                    <w:spacing w:before="0" w:beforeAutospacing="0" w:after="0" w:afterAutospacing="0"/>
                    <w:ind w:right="0"/>
                    <w:rPr>
                      <w:rFonts w:hint="default"/>
                      <w:color w:val="auto"/>
                      <w:highlight w:val="none"/>
                    </w:rPr>
                  </w:pP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超标率</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restart"/>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W2</w:t>
                  </w: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2019.5.24</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7.92</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16</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3.4</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0.725</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22</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0.848</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0.04</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continue"/>
                  <w:vAlign w:val="center"/>
                </w:tcPr>
                <w:p>
                  <w:pPr>
                    <w:pStyle w:val="23"/>
                    <w:keepNext w:val="0"/>
                    <w:keepLines w:val="0"/>
                    <w:suppressLineNumbers w:val="0"/>
                    <w:spacing w:before="0" w:beforeAutospacing="0" w:after="0" w:afterAutospacing="0"/>
                    <w:ind w:right="0"/>
                    <w:rPr>
                      <w:rFonts w:hint="default"/>
                      <w:color w:val="auto"/>
                      <w:highlight w:val="none"/>
                    </w:rPr>
                  </w:pP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污染指数</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0.46</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0.8</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0.85</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0.725</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0.73</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0.848</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0.2</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continue"/>
                  <w:vAlign w:val="center"/>
                </w:tcPr>
                <w:p>
                  <w:pPr>
                    <w:pStyle w:val="23"/>
                    <w:keepNext w:val="0"/>
                    <w:keepLines w:val="0"/>
                    <w:suppressLineNumbers w:val="0"/>
                    <w:spacing w:before="0" w:beforeAutospacing="0" w:after="0" w:afterAutospacing="0"/>
                    <w:ind w:right="0"/>
                    <w:rPr>
                      <w:rFonts w:hint="default"/>
                      <w:color w:val="auto"/>
                      <w:highlight w:val="none"/>
                    </w:rPr>
                  </w:pP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超标率</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restart"/>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W3</w:t>
                  </w: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2019.5.24</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7.28</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15</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3.2</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0.677</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28</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0.717</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0.04</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continue"/>
                  <w:vAlign w:val="center"/>
                </w:tcPr>
                <w:p>
                  <w:pPr>
                    <w:pStyle w:val="23"/>
                    <w:keepNext w:val="0"/>
                    <w:keepLines w:val="0"/>
                    <w:suppressLineNumbers w:val="0"/>
                    <w:spacing w:before="0" w:beforeAutospacing="0" w:after="0" w:afterAutospacing="0"/>
                    <w:ind w:right="0"/>
                    <w:rPr>
                      <w:rFonts w:hint="default"/>
                      <w:color w:val="auto"/>
                      <w:highlight w:val="none"/>
                    </w:rPr>
                  </w:pP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污染指数</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0.14</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0.75</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0.8</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0.677</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0.93</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0.717</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0.2</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845" w:type="dxa"/>
                  <w:vMerge w:val="continue"/>
                  <w:vAlign w:val="center"/>
                </w:tcPr>
                <w:p>
                  <w:pPr>
                    <w:pStyle w:val="23"/>
                    <w:keepNext w:val="0"/>
                    <w:keepLines w:val="0"/>
                    <w:suppressLineNumbers w:val="0"/>
                    <w:spacing w:before="0" w:beforeAutospacing="0" w:after="0" w:afterAutospacing="0"/>
                    <w:ind w:right="0"/>
                    <w:rPr>
                      <w:rFonts w:hint="default"/>
                      <w:color w:val="auto"/>
                      <w:highlight w:val="none"/>
                    </w:rPr>
                  </w:pPr>
                </w:p>
              </w:tc>
              <w:tc>
                <w:tcPr>
                  <w:tcW w:w="140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超标率</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872"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67"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77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915"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c>
                <w:tcPr>
                  <w:tcW w:w="771"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color w:val="auto"/>
                      <w:highlight w:val="none"/>
                    </w:rPr>
                    <w:t>0</w:t>
                  </w:r>
                </w:p>
              </w:tc>
            </w:tr>
          </w:tbl>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根据地表水监测调查结果，滞洪区各监测点位的各项监测指标均可达《地表水环境质量标准》(GB3838-2002)Ⅲ类标准。</w:t>
            </w:r>
          </w:p>
          <w:p>
            <w:pPr>
              <w:pStyle w:val="4"/>
              <w:keepNext w:val="0"/>
              <w:keepLines w:val="0"/>
              <w:numPr>
                <w:ilvl w:val="1"/>
                <w:numId w:val="6"/>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声环境质量现状</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eastAsia"/>
                <w:color w:val="auto"/>
                <w:highlight w:val="none"/>
              </w:rPr>
              <w:t>本项目50m范围内无声环境保护目标，因此本评价不用监测声环境质量现状。</w:t>
            </w:r>
          </w:p>
          <w:p>
            <w:pPr>
              <w:pStyle w:val="4"/>
              <w:keepNext w:val="0"/>
              <w:keepLines w:val="0"/>
              <w:numPr>
                <w:ilvl w:val="1"/>
                <w:numId w:val="6"/>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生态环境</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eastAsia"/>
                <w:color w:val="auto"/>
                <w:highlight w:val="none"/>
              </w:rPr>
              <w:t>本项目</w:t>
            </w:r>
            <w:r>
              <w:rPr>
                <w:rFonts w:hint="eastAsia"/>
                <w:color w:val="auto"/>
                <w:highlight w:val="none"/>
                <w:lang w:val="en-US" w:eastAsia="zh-CN"/>
              </w:rPr>
              <w:t>在现有车间内进行改扩建生产</w:t>
            </w:r>
            <w:r>
              <w:rPr>
                <w:rFonts w:hint="eastAsia"/>
                <w:color w:val="auto"/>
                <w:highlight w:val="none"/>
              </w:rPr>
              <w:t>，不新增用地，根据《建设项目环境影响报告表编制技术指南（污染影响类）》（试行），本项目无需进行进行生态环境现状调查。</w:t>
            </w:r>
          </w:p>
          <w:p>
            <w:pPr>
              <w:pStyle w:val="4"/>
              <w:keepNext w:val="0"/>
              <w:keepLines w:val="0"/>
              <w:numPr>
                <w:ilvl w:val="1"/>
                <w:numId w:val="6"/>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lang w:val="en-US" w:eastAsia="zh-CN"/>
              </w:rPr>
              <w:t>地下水、土壤环境</w:t>
            </w:r>
          </w:p>
          <w:p>
            <w:pPr>
              <w:pStyle w:val="25"/>
              <w:keepNext w:val="0"/>
              <w:keepLines w:val="0"/>
              <w:suppressLineNumbers w:val="0"/>
              <w:spacing w:before="0" w:beforeAutospacing="0" w:after="0" w:afterAutospacing="0"/>
              <w:ind w:left="0" w:right="0"/>
              <w:rPr>
                <w:rFonts w:hint="default"/>
                <w:color w:val="auto"/>
                <w:highlight w:val="yellow"/>
              </w:rPr>
            </w:pPr>
            <w:r>
              <w:rPr>
                <w:rFonts w:hint="default"/>
                <w:color w:val="auto"/>
                <w:highlight w:val="none"/>
              </w:rPr>
              <w:t>根据</w:t>
            </w:r>
            <w:r>
              <w:rPr>
                <w:rFonts w:hint="eastAsia"/>
                <w:color w:val="auto"/>
                <w:highlight w:val="none"/>
              </w:rPr>
              <w:t>《建设项目环境影响报告表编制技术指南（污染影响类）》（试行）</w:t>
            </w:r>
            <w:r>
              <w:rPr>
                <w:rFonts w:hint="default"/>
                <w:color w:val="auto"/>
                <w:highlight w:val="none"/>
              </w:rPr>
              <w:t>中表明：原则上不开展地下水、土壤环境质量现状调查</w:t>
            </w:r>
            <w:r>
              <w:rPr>
                <w:rFonts w:hint="eastAsia"/>
                <w:color w:val="auto"/>
                <w:highlight w:val="none"/>
                <w:lang w:eastAsia="zh-CN"/>
              </w:rPr>
              <w:t>。</w:t>
            </w:r>
            <w:r>
              <w:rPr>
                <w:rFonts w:hint="eastAsia"/>
                <w:color w:val="auto"/>
                <w:highlight w:val="none"/>
                <w:lang w:val="en-US" w:eastAsia="zh-CN"/>
              </w:rPr>
              <w:t>本项目厂区车间经分区防渗后，项目基本不会对土壤、地下水产生影响。且项目</w:t>
            </w:r>
            <w:r>
              <w:rPr>
                <w:rFonts w:hint="default"/>
                <w:color w:val="auto"/>
                <w:highlight w:val="none"/>
              </w:rPr>
              <w:t>厂界外500</w:t>
            </w:r>
            <w:r>
              <w:rPr>
                <w:rFonts w:hint="eastAsia"/>
                <w:color w:val="auto"/>
                <w:highlight w:val="none"/>
                <w:lang w:val="en-US" w:eastAsia="zh-CN"/>
              </w:rPr>
              <w:t>m</w:t>
            </w:r>
            <w:r>
              <w:rPr>
                <w:rFonts w:hint="default"/>
                <w:color w:val="auto"/>
                <w:highlight w:val="none"/>
              </w:rPr>
              <w:t>范围内无地下水集中式饮用水水源和热水、矿泉水、泉水等特殊地下水资源。因此，本项目不</w:t>
            </w:r>
            <w:r>
              <w:rPr>
                <w:rFonts w:hint="eastAsia"/>
                <w:color w:val="auto"/>
                <w:highlight w:val="none"/>
                <w:lang w:val="en-US" w:eastAsia="zh-CN"/>
              </w:rPr>
              <w:t>开展</w:t>
            </w:r>
            <w:r>
              <w:rPr>
                <w:rFonts w:hint="default"/>
                <w:color w:val="auto"/>
                <w:highlight w:val="none"/>
              </w:rPr>
              <w:t>地下水、土壤环境质量现状</w:t>
            </w:r>
            <w:r>
              <w:rPr>
                <w:rFonts w:hint="eastAsia"/>
                <w:color w:val="auto"/>
                <w:highlight w:val="none"/>
                <w:lang w:val="en-US" w:eastAsia="zh-CN"/>
              </w:rPr>
              <w:t>调查</w:t>
            </w:r>
            <w:r>
              <w:rPr>
                <w:rFonts w:hint="default"/>
                <w:color w:val="auto"/>
                <w:highlight w:val="none"/>
              </w:rPr>
              <w:t>。</w:t>
            </w:r>
          </w:p>
        </w:tc>
      </w:tr>
    </w:tbl>
    <w:p>
      <w:pPr>
        <w:rPr>
          <w:color w:val="auto"/>
          <w:highlight w:val="yellow"/>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tbl>
      <w:tblPr>
        <w:tblStyle w:val="18"/>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00" w:hRule="atLeast"/>
          <w:jc w:val="center"/>
        </w:trPr>
        <w:tc>
          <w:tcPr>
            <w:tcW w:w="80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环境</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保护</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yellow"/>
              </w:rPr>
            </w:pPr>
            <w:r>
              <w:rPr>
                <w:rFonts w:hint="eastAsia" w:ascii="宋体" w:hAnsi="宋体" w:cs="宋体"/>
                <w:color w:val="auto"/>
                <w:kern w:val="0"/>
                <w:szCs w:val="21"/>
                <w:highlight w:val="none"/>
              </w:rPr>
              <w:t>目标</w:t>
            </w:r>
          </w:p>
        </w:tc>
        <w:tc>
          <w:tcPr>
            <w:tcW w:w="8190" w:type="dxa"/>
            <w:vAlign w:val="center"/>
          </w:tcPr>
          <w:p>
            <w:pPr>
              <w:pStyle w:val="4"/>
              <w:keepNext w:val="0"/>
              <w:keepLines w:val="0"/>
              <w:numPr>
                <w:ilvl w:val="1"/>
                <w:numId w:val="8"/>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大气环境</w:t>
            </w:r>
          </w:p>
          <w:p>
            <w:pPr>
              <w:pStyle w:val="27"/>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w:t>
            </w:r>
            <w:r>
              <w:rPr>
                <w:rFonts w:hint="eastAsia"/>
                <w:color w:val="auto"/>
                <w:highlight w:val="none"/>
                <w:lang w:val="en-US" w:eastAsia="zh-CN"/>
              </w:rPr>
              <w:t>周边500m范围内无</w:t>
            </w:r>
            <w:r>
              <w:rPr>
                <w:rFonts w:hint="eastAsia"/>
                <w:color w:val="auto"/>
                <w:highlight w:val="none"/>
              </w:rPr>
              <w:t>大气环境保护目标</w:t>
            </w:r>
            <w:r>
              <w:rPr>
                <w:rFonts w:hint="default"/>
                <w:color w:val="auto"/>
                <w:highlight w:val="none"/>
              </w:rPr>
              <w:t>。</w:t>
            </w:r>
          </w:p>
          <w:p>
            <w:pPr>
              <w:pStyle w:val="4"/>
              <w:keepNext w:val="0"/>
              <w:keepLines w:val="0"/>
              <w:numPr>
                <w:ilvl w:val="1"/>
                <w:numId w:val="8"/>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环声环境</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本项目厂界外50米范围内无声环境保护目标。</w:t>
            </w:r>
          </w:p>
          <w:p>
            <w:pPr>
              <w:pStyle w:val="4"/>
              <w:keepNext w:val="0"/>
              <w:keepLines w:val="0"/>
              <w:numPr>
                <w:ilvl w:val="1"/>
                <w:numId w:val="8"/>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地下水</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厂界外500米范围内无地下水集中式饮用水水源和热水、矿泉水、泉水等特殊地下水资源。</w:t>
            </w:r>
          </w:p>
          <w:p>
            <w:pPr>
              <w:pStyle w:val="4"/>
              <w:keepNext w:val="0"/>
              <w:keepLines w:val="0"/>
              <w:numPr>
                <w:ilvl w:val="1"/>
                <w:numId w:val="8"/>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生态环境</w:t>
            </w:r>
          </w:p>
          <w:p>
            <w:pPr>
              <w:pStyle w:val="27"/>
              <w:keepNext w:val="0"/>
              <w:keepLines w:val="0"/>
              <w:suppressLineNumbers w:val="0"/>
              <w:spacing w:before="0" w:beforeAutospacing="0" w:after="0" w:afterAutospacing="0"/>
              <w:ind w:left="0" w:right="0" w:firstLine="480"/>
              <w:rPr>
                <w:rFonts w:hint="default" w:ascii="宋体" w:hAnsi="宋体" w:cs="宋体"/>
                <w:color w:val="auto"/>
                <w:kern w:val="0"/>
                <w:szCs w:val="21"/>
                <w:highlight w:val="yellow"/>
              </w:rPr>
            </w:pPr>
            <w:r>
              <w:rPr>
                <w:rFonts w:hint="default"/>
                <w:color w:val="auto"/>
                <w:highlight w:val="none"/>
              </w:rPr>
              <w:t>本项目</w:t>
            </w:r>
            <w:r>
              <w:rPr>
                <w:rFonts w:hint="eastAsia"/>
                <w:color w:val="auto"/>
                <w:highlight w:val="none"/>
              </w:rPr>
              <w:t>位于福鼎市文渡工业区，</w:t>
            </w:r>
            <w:r>
              <w:rPr>
                <w:rFonts w:hint="default"/>
                <w:color w:val="auto"/>
                <w:highlight w:val="none"/>
              </w:rPr>
              <w:t>用地性质属于工业</w:t>
            </w:r>
            <w:r>
              <w:rPr>
                <w:rFonts w:hint="eastAsia"/>
                <w:color w:val="auto"/>
                <w:highlight w:val="none"/>
              </w:rPr>
              <w:t>用地</w:t>
            </w:r>
            <w:r>
              <w:rPr>
                <w:rFonts w:hint="default"/>
                <w:color w:val="auto"/>
                <w:highlight w:val="none"/>
              </w:rPr>
              <w:t>，</w:t>
            </w:r>
            <w:r>
              <w:rPr>
                <w:rFonts w:hint="eastAsia"/>
                <w:color w:val="auto"/>
                <w:highlight w:val="none"/>
              </w:rPr>
              <w:t>在</w:t>
            </w:r>
            <w:r>
              <w:rPr>
                <w:rFonts w:hint="eastAsia"/>
                <w:color w:val="auto"/>
                <w:highlight w:val="none"/>
                <w:lang w:val="en-US" w:eastAsia="zh-CN"/>
              </w:rPr>
              <w:t>工</w:t>
            </w:r>
            <w:r>
              <w:rPr>
                <w:rFonts w:hint="eastAsia"/>
                <w:color w:val="auto"/>
                <w:highlight w:val="none"/>
              </w:rPr>
              <w:t>业园区内</w:t>
            </w:r>
            <w:r>
              <w:rPr>
                <w:rFonts w:hint="default"/>
                <w:color w:val="auto"/>
                <w:highlight w:val="none"/>
              </w:rPr>
              <w:t>，无生态环境保护目标。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污染</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物排</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放控</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制标</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yellow"/>
              </w:rPr>
            </w:pPr>
            <w:r>
              <w:rPr>
                <w:rFonts w:hint="eastAsia" w:ascii="宋体" w:hAnsi="宋体" w:cs="宋体"/>
                <w:color w:val="auto"/>
                <w:kern w:val="0"/>
                <w:szCs w:val="21"/>
                <w:highlight w:val="none"/>
              </w:rPr>
              <w:t>准</w:t>
            </w:r>
          </w:p>
        </w:tc>
        <w:tc>
          <w:tcPr>
            <w:tcW w:w="8190" w:type="dxa"/>
            <w:vAlign w:val="center"/>
          </w:tcPr>
          <w:p>
            <w:pPr>
              <w:pStyle w:val="4"/>
              <w:keepNext w:val="0"/>
              <w:keepLines w:val="0"/>
              <w:numPr>
                <w:ilvl w:val="1"/>
                <w:numId w:val="9"/>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废气排放标准</w:t>
            </w:r>
          </w:p>
          <w:p>
            <w:pPr>
              <w:pStyle w:val="25"/>
              <w:keepNext w:val="0"/>
              <w:keepLines w:val="0"/>
              <w:suppressLineNumbers w:val="0"/>
              <w:spacing w:before="0" w:beforeAutospacing="0" w:after="0" w:afterAutospacing="0"/>
              <w:ind w:left="0" w:right="0" w:firstLine="480"/>
              <w:rPr>
                <w:rFonts w:hint="eastAsia"/>
                <w:color w:val="auto"/>
                <w:highlight w:val="none"/>
                <w:lang w:val="en-US" w:eastAsia="zh-CN"/>
              </w:rPr>
            </w:pPr>
            <w:r>
              <w:rPr>
                <w:rFonts w:hint="eastAsia"/>
                <w:color w:val="auto"/>
                <w:highlight w:val="none"/>
                <w:lang w:val="en-US" w:eastAsia="zh-CN"/>
              </w:rPr>
              <w:t>项目有组织颗粒物及厂界无组织颗粒物执行《大气污染物综合排放标》（GB16297-1996）表</w:t>
            </w:r>
            <w:r>
              <w:rPr>
                <w:rFonts w:hint="default"/>
                <w:color w:val="auto"/>
                <w:highlight w:val="none"/>
                <w:lang w:val="en-US" w:eastAsia="zh-CN"/>
              </w:rPr>
              <w:t>2</w:t>
            </w:r>
            <w:r>
              <w:rPr>
                <w:rFonts w:hint="eastAsia"/>
                <w:color w:val="auto"/>
                <w:highlight w:val="none"/>
                <w:lang w:val="en-US" w:eastAsia="zh-CN"/>
              </w:rPr>
              <w:t>标准限值要求。</w:t>
            </w:r>
          </w:p>
          <w:p>
            <w:pPr>
              <w:pStyle w:val="22"/>
              <w:keepNext w:val="0"/>
              <w:keepLines w:val="0"/>
              <w:suppressLineNumbers w:val="0"/>
              <w:spacing w:before="0" w:beforeAutospacing="0" w:after="0" w:afterAutospacing="0"/>
              <w:ind w:right="0"/>
              <w:rPr>
                <w:rFonts w:hint="default"/>
                <w:color w:val="auto"/>
              </w:rPr>
            </w:pPr>
            <w:r>
              <w:rPr>
                <w:rFonts w:hint="eastAsia"/>
                <w:color w:val="auto"/>
                <w:highlight w:val="none"/>
                <w:lang w:val="en-US" w:eastAsia="zh-CN"/>
              </w:rPr>
              <w:t xml:space="preserve"> </w:t>
            </w:r>
            <w:r>
              <w:rPr>
                <w:rFonts w:hint="default"/>
                <w:color w:val="auto"/>
              </w:rPr>
              <w:t>大气污染物排放限值</w:t>
            </w:r>
          </w:p>
          <w:tbl>
            <w:tblPr>
              <w:tblStyle w:val="18"/>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56"/>
              <w:gridCol w:w="1349"/>
              <w:gridCol w:w="1010"/>
              <w:gridCol w:w="916"/>
              <w:gridCol w:w="35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default"/>
                      <w:color w:val="auto"/>
                    </w:rPr>
                    <w:t>序号</w:t>
                  </w:r>
                </w:p>
              </w:tc>
              <w:tc>
                <w:tcPr>
                  <w:tcW w:w="756"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default"/>
                      <w:color w:val="auto"/>
                    </w:rPr>
                    <w:t>控制项目</w:t>
                  </w:r>
                </w:p>
              </w:tc>
              <w:tc>
                <w:tcPr>
                  <w:tcW w:w="1349"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default"/>
                      <w:color w:val="auto"/>
                    </w:rPr>
                    <w:t>浓度(mg/m</w:t>
                  </w:r>
                  <w:r>
                    <w:rPr>
                      <w:rFonts w:hint="default"/>
                      <w:color w:val="auto"/>
                      <w:vertAlign w:val="superscript"/>
                    </w:rPr>
                    <w:t>3</w:t>
                  </w:r>
                  <w:r>
                    <w:rPr>
                      <w:rFonts w:hint="default"/>
                      <w:color w:val="auto"/>
                    </w:rPr>
                    <w:t>)</w:t>
                  </w:r>
                </w:p>
              </w:tc>
              <w:tc>
                <w:tcPr>
                  <w:tcW w:w="1010" w:type="dxa"/>
                  <w:noWrap w:val="0"/>
                  <w:vAlign w:val="center"/>
                </w:tcPr>
                <w:p>
                  <w:pPr>
                    <w:pStyle w:val="23"/>
                    <w:keepNext w:val="0"/>
                    <w:keepLines w:val="0"/>
                    <w:suppressLineNumbers w:val="0"/>
                    <w:spacing w:before="0" w:beforeAutospacing="0" w:after="0" w:afterAutospacing="0"/>
                    <w:ind w:right="0"/>
                    <w:rPr>
                      <w:rFonts w:hint="eastAsia" w:eastAsia="宋体"/>
                      <w:color w:val="auto"/>
                      <w:lang w:val="en-US" w:eastAsia="zh-CN"/>
                    </w:rPr>
                  </w:pPr>
                  <w:r>
                    <w:rPr>
                      <w:rFonts w:hint="eastAsia"/>
                      <w:color w:val="auto"/>
                      <w:lang w:val="en-US" w:eastAsia="zh-CN"/>
                    </w:rPr>
                    <w:t>速率（kg/h）</w:t>
                  </w:r>
                </w:p>
              </w:tc>
              <w:tc>
                <w:tcPr>
                  <w:tcW w:w="916"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default"/>
                      <w:color w:val="auto"/>
                    </w:rPr>
                    <w:t>监控点</w:t>
                  </w:r>
                </w:p>
              </w:tc>
              <w:tc>
                <w:tcPr>
                  <w:tcW w:w="3517"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default"/>
                      <w:color w:val="auto"/>
                    </w:rPr>
                    <w:t>标准名称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26"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default"/>
                      <w:color w:val="auto"/>
                    </w:rPr>
                    <w:t>1</w:t>
                  </w:r>
                </w:p>
              </w:tc>
              <w:tc>
                <w:tcPr>
                  <w:tcW w:w="756" w:type="dxa"/>
                  <w:noWrap w:val="0"/>
                  <w:vAlign w:val="center"/>
                </w:tcPr>
                <w:p>
                  <w:pPr>
                    <w:pStyle w:val="23"/>
                    <w:keepNext w:val="0"/>
                    <w:keepLines w:val="0"/>
                    <w:suppressLineNumbers w:val="0"/>
                    <w:spacing w:before="0" w:beforeAutospacing="0" w:after="0" w:afterAutospacing="0"/>
                    <w:ind w:right="0"/>
                    <w:rPr>
                      <w:rFonts w:hint="eastAsia" w:eastAsia="宋体"/>
                      <w:color w:val="auto"/>
                      <w:lang w:eastAsia="zh-CN"/>
                    </w:rPr>
                  </w:pPr>
                  <w:r>
                    <w:rPr>
                      <w:rFonts w:hint="eastAsia"/>
                      <w:color w:val="auto"/>
                      <w:lang w:val="en-US" w:eastAsia="zh-CN"/>
                    </w:rPr>
                    <w:t>颗粒物</w:t>
                  </w:r>
                </w:p>
              </w:tc>
              <w:tc>
                <w:tcPr>
                  <w:tcW w:w="1349" w:type="dxa"/>
                  <w:noWrap w:val="0"/>
                  <w:vAlign w:val="center"/>
                </w:tcPr>
                <w:p>
                  <w:pPr>
                    <w:pStyle w:val="23"/>
                    <w:keepNext w:val="0"/>
                    <w:keepLines w:val="0"/>
                    <w:suppressLineNumbers w:val="0"/>
                    <w:spacing w:before="0" w:beforeAutospacing="0" w:after="0" w:afterAutospacing="0"/>
                    <w:ind w:right="0"/>
                    <w:rPr>
                      <w:rFonts w:hint="default" w:eastAsia="宋体"/>
                      <w:color w:val="auto"/>
                      <w:lang w:val="en-US" w:eastAsia="zh-CN"/>
                    </w:rPr>
                  </w:pPr>
                  <w:r>
                    <w:rPr>
                      <w:rFonts w:hint="eastAsia"/>
                      <w:color w:val="auto"/>
                      <w:lang w:val="en-US" w:eastAsia="zh-CN"/>
                    </w:rPr>
                    <w:t>120</w:t>
                  </w:r>
                </w:p>
              </w:tc>
              <w:tc>
                <w:tcPr>
                  <w:tcW w:w="1010" w:type="dxa"/>
                  <w:noWrap w:val="0"/>
                  <w:vAlign w:val="center"/>
                </w:tcPr>
                <w:p>
                  <w:pPr>
                    <w:pStyle w:val="23"/>
                    <w:keepNext w:val="0"/>
                    <w:keepLines w:val="0"/>
                    <w:suppressLineNumbers w:val="0"/>
                    <w:spacing w:before="0" w:beforeAutospacing="0" w:after="0" w:afterAutospacing="0"/>
                    <w:ind w:right="0"/>
                    <w:rPr>
                      <w:rFonts w:hint="default"/>
                      <w:color w:val="auto"/>
                      <w:lang w:val="en-US" w:eastAsia="zh-CN"/>
                    </w:rPr>
                  </w:pPr>
                  <w:r>
                    <w:rPr>
                      <w:rFonts w:hint="eastAsia"/>
                      <w:color w:val="auto"/>
                      <w:lang w:val="en-US" w:eastAsia="zh-CN"/>
                    </w:rPr>
                    <w:t>3.5（15m排气筒）</w:t>
                  </w:r>
                </w:p>
              </w:tc>
              <w:tc>
                <w:tcPr>
                  <w:tcW w:w="916" w:type="dxa"/>
                  <w:noWrap w:val="0"/>
                  <w:vAlign w:val="center"/>
                </w:tcPr>
                <w:p>
                  <w:pPr>
                    <w:pStyle w:val="23"/>
                    <w:keepNext w:val="0"/>
                    <w:keepLines w:val="0"/>
                    <w:suppressLineNumbers w:val="0"/>
                    <w:spacing w:before="0" w:beforeAutospacing="0" w:after="0" w:afterAutospacing="0"/>
                    <w:ind w:right="0"/>
                    <w:rPr>
                      <w:rFonts w:hint="default" w:eastAsia="宋体"/>
                      <w:color w:val="auto"/>
                      <w:lang w:val="en-US" w:eastAsia="zh-CN"/>
                    </w:rPr>
                  </w:pPr>
                  <w:r>
                    <w:rPr>
                      <w:rFonts w:hint="eastAsia"/>
                      <w:color w:val="auto"/>
                      <w:lang w:val="en-US" w:eastAsia="zh-CN"/>
                    </w:rPr>
                    <w:t>5#抛丸废气排气筒</w:t>
                  </w:r>
                </w:p>
              </w:tc>
              <w:tc>
                <w:tcPr>
                  <w:tcW w:w="3517" w:type="dxa"/>
                  <w:vMerge w:val="restart"/>
                  <w:noWrap w:val="0"/>
                  <w:vAlign w:val="center"/>
                </w:tcPr>
                <w:p>
                  <w:pPr>
                    <w:pStyle w:val="23"/>
                    <w:keepNext w:val="0"/>
                    <w:keepLines w:val="0"/>
                    <w:suppressLineNumbers w:val="0"/>
                    <w:spacing w:before="0" w:beforeAutospacing="0" w:after="0" w:afterAutospacing="0"/>
                    <w:ind w:right="0"/>
                    <w:rPr>
                      <w:rFonts w:hint="default"/>
                      <w:color w:val="auto"/>
                    </w:rPr>
                  </w:pPr>
                  <w:r>
                    <w:rPr>
                      <w:rFonts w:hint="eastAsia"/>
                      <w:color w:val="auto"/>
                      <w:lang w:val="en-US" w:eastAsia="zh-CN"/>
                    </w:rPr>
                    <w:t>《大气污染物综合排放标》（GB16297-1996）表</w:t>
                  </w:r>
                  <w:r>
                    <w:rPr>
                      <w:rFonts w:hint="default"/>
                      <w:color w:val="auto"/>
                      <w:lang w:val="en-US" w:eastAsia="zh-CN"/>
                    </w:rPr>
                    <w:t>2</w:t>
                  </w:r>
                  <w:r>
                    <w:rPr>
                      <w:rFonts w:hint="eastAsia"/>
                      <w:color w:val="auto"/>
                      <w:lang w:val="en-US" w:eastAsia="zh-CN"/>
                    </w:rPr>
                    <w:t>标准限值要求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default"/>
                      <w:color w:val="auto"/>
                    </w:rPr>
                    <w:t>3</w:t>
                  </w:r>
                </w:p>
              </w:tc>
              <w:tc>
                <w:tcPr>
                  <w:tcW w:w="756"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eastAsia"/>
                      <w:color w:val="auto"/>
                      <w:lang w:val="en-US" w:eastAsia="zh-CN"/>
                    </w:rPr>
                    <w:t>颗粒物</w:t>
                  </w:r>
                </w:p>
              </w:tc>
              <w:tc>
                <w:tcPr>
                  <w:tcW w:w="1349" w:type="dxa"/>
                  <w:noWrap w:val="0"/>
                  <w:vAlign w:val="center"/>
                </w:tcPr>
                <w:p>
                  <w:pPr>
                    <w:pStyle w:val="23"/>
                    <w:keepNext w:val="0"/>
                    <w:keepLines w:val="0"/>
                    <w:suppressLineNumbers w:val="0"/>
                    <w:spacing w:before="0" w:beforeAutospacing="0" w:after="0" w:afterAutospacing="0"/>
                    <w:ind w:right="0"/>
                    <w:rPr>
                      <w:rFonts w:hint="default"/>
                      <w:color w:val="auto"/>
                    </w:rPr>
                  </w:pPr>
                  <w:r>
                    <w:rPr>
                      <w:rFonts w:hint="eastAsia"/>
                      <w:color w:val="auto"/>
                      <w:lang w:val="en-US" w:eastAsia="zh-CN"/>
                    </w:rPr>
                    <w:t>1.0</w:t>
                  </w:r>
                  <w:r>
                    <w:rPr>
                      <w:rFonts w:hint="default"/>
                      <w:color w:val="auto"/>
                    </w:rPr>
                    <w:t>(监控点处任意一次浓度值)</w:t>
                  </w:r>
                </w:p>
              </w:tc>
              <w:tc>
                <w:tcPr>
                  <w:tcW w:w="1010" w:type="dxa"/>
                  <w:noWrap w:val="0"/>
                  <w:vAlign w:val="center"/>
                </w:tcPr>
                <w:p>
                  <w:pPr>
                    <w:pStyle w:val="23"/>
                    <w:keepNext w:val="0"/>
                    <w:keepLines w:val="0"/>
                    <w:suppressLineNumbers w:val="0"/>
                    <w:spacing w:before="0" w:beforeAutospacing="0" w:after="0" w:afterAutospacing="0"/>
                    <w:ind w:right="0"/>
                    <w:rPr>
                      <w:rFonts w:hint="default"/>
                      <w:color w:val="auto"/>
                      <w:lang w:val="en-US" w:eastAsia="zh-CN"/>
                    </w:rPr>
                  </w:pPr>
                  <w:r>
                    <w:rPr>
                      <w:rFonts w:hint="eastAsia"/>
                      <w:color w:val="auto"/>
                      <w:lang w:val="en-US" w:eastAsia="zh-CN"/>
                    </w:rPr>
                    <w:t>/</w:t>
                  </w:r>
                </w:p>
              </w:tc>
              <w:tc>
                <w:tcPr>
                  <w:tcW w:w="916" w:type="dxa"/>
                  <w:noWrap w:val="0"/>
                  <w:vAlign w:val="center"/>
                </w:tcPr>
                <w:p>
                  <w:pPr>
                    <w:pStyle w:val="23"/>
                    <w:keepNext w:val="0"/>
                    <w:keepLines w:val="0"/>
                    <w:suppressLineNumbers w:val="0"/>
                    <w:spacing w:before="0" w:beforeAutospacing="0" w:after="0" w:afterAutospacing="0"/>
                    <w:ind w:right="0"/>
                    <w:rPr>
                      <w:rFonts w:hint="eastAsia" w:eastAsia="宋体"/>
                      <w:color w:val="auto"/>
                      <w:lang w:eastAsia="zh-CN"/>
                    </w:rPr>
                  </w:pPr>
                  <w:r>
                    <w:rPr>
                      <w:rFonts w:hint="eastAsia"/>
                      <w:color w:val="auto"/>
                      <w:lang w:val="en-US" w:eastAsia="zh-CN"/>
                    </w:rPr>
                    <w:t>厂界</w:t>
                  </w:r>
                </w:p>
              </w:tc>
              <w:tc>
                <w:tcPr>
                  <w:tcW w:w="3517" w:type="dxa"/>
                  <w:vMerge w:val="continue"/>
                  <w:noWrap w:val="0"/>
                  <w:vAlign w:val="center"/>
                </w:tcPr>
                <w:p>
                  <w:pPr>
                    <w:pStyle w:val="23"/>
                    <w:keepNext w:val="0"/>
                    <w:keepLines w:val="0"/>
                    <w:suppressLineNumbers w:val="0"/>
                    <w:spacing w:before="0" w:beforeAutospacing="0" w:after="0" w:afterAutospacing="0"/>
                    <w:ind w:right="0"/>
                    <w:rPr>
                      <w:rFonts w:hint="default"/>
                      <w:color w:val="auto"/>
                    </w:rPr>
                  </w:pPr>
                </w:p>
              </w:tc>
            </w:tr>
          </w:tbl>
          <w:p>
            <w:pPr>
              <w:keepNext w:val="0"/>
              <w:keepLines w:val="0"/>
              <w:suppressLineNumbers w:val="0"/>
              <w:bidi w:val="0"/>
              <w:spacing w:before="0" w:beforeAutospacing="0" w:after="0" w:afterAutospacing="0"/>
              <w:ind w:left="0" w:right="0"/>
              <w:rPr>
                <w:rFonts w:hint="default"/>
              </w:rPr>
            </w:pPr>
          </w:p>
          <w:p>
            <w:pPr>
              <w:pStyle w:val="4"/>
              <w:keepNext w:val="0"/>
              <w:keepLines w:val="0"/>
              <w:numPr>
                <w:ilvl w:val="1"/>
                <w:numId w:val="9"/>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废水排放标准</w:t>
            </w:r>
          </w:p>
          <w:p>
            <w:pPr>
              <w:pStyle w:val="25"/>
              <w:keepNext w:val="0"/>
              <w:keepLines w:val="0"/>
              <w:suppressLineNumbers w:val="0"/>
              <w:spacing w:before="0" w:beforeAutospacing="0" w:after="0" w:afterAutospacing="0"/>
              <w:ind w:left="0" w:right="0" w:firstLine="480"/>
              <w:rPr>
                <w:rFonts w:hint="eastAsia" w:cs="Times New Roman"/>
                <w:color w:val="auto"/>
                <w:highlight w:val="none"/>
                <w:lang w:val="en-US" w:eastAsia="zh-CN"/>
              </w:rPr>
            </w:pPr>
            <w:bookmarkStart w:id="22" w:name="_Ref11232"/>
            <w:r>
              <w:rPr>
                <w:rFonts w:hint="eastAsia"/>
                <w:color w:val="auto"/>
                <w:highlight w:val="none"/>
                <w:lang w:val="en-US" w:eastAsia="zh-CN"/>
              </w:rPr>
              <w:t>项目运营期外排废水主要为生活污水。</w:t>
            </w:r>
            <w:r>
              <w:rPr>
                <w:rFonts w:hint="eastAsia" w:ascii="宋体" w:hAnsi="宋体" w:eastAsia="宋体" w:cs="宋体"/>
                <w:color w:val="auto"/>
                <w:kern w:val="0"/>
                <w:sz w:val="24"/>
                <w:szCs w:val="24"/>
                <w:highlight w:val="none"/>
                <w:lang w:val="en-US" w:eastAsia="zh-CN" w:bidi="ar"/>
              </w:rPr>
              <w:t>生活污水经化粪池处理后</w:t>
            </w:r>
            <w:r>
              <w:rPr>
                <w:rFonts w:hint="eastAsia" w:ascii="宋体" w:hAnsi="宋体" w:cs="宋体"/>
                <w:color w:val="auto"/>
                <w:kern w:val="0"/>
                <w:sz w:val="24"/>
                <w:szCs w:val="24"/>
                <w:highlight w:val="none"/>
                <w:lang w:val="en-US" w:eastAsia="zh-CN" w:bidi="ar"/>
              </w:rPr>
              <w:t>排入福鼎市</w:t>
            </w:r>
            <w:r>
              <w:rPr>
                <w:rFonts w:hint="eastAsia" w:ascii="宋体" w:hAnsi="宋体" w:eastAsia="宋体" w:cs="宋体"/>
                <w:color w:val="auto"/>
                <w:kern w:val="0"/>
                <w:sz w:val="24"/>
                <w:szCs w:val="24"/>
                <w:highlight w:val="none"/>
                <w:lang w:val="en-US" w:eastAsia="zh-CN" w:bidi="ar"/>
              </w:rPr>
              <w:t>文渡污水处理厂进行处理</w:t>
            </w:r>
            <w:r>
              <w:rPr>
                <w:rFonts w:hint="eastAsia" w:ascii="宋体" w:hAnsi="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在厂区排放口</w:t>
            </w:r>
            <w:r>
              <w:rPr>
                <w:rFonts w:hint="default" w:ascii="Times New Roman" w:hAnsi="Times New Roman" w:eastAsia="宋体" w:cs="Times New Roman"/>
                <w:color w:val="auto"/>
                <w:highlight w:val="none"/>
              </w:rPr>
              <w:t>水质执行《污水综合排放标准》</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GB8978-1996</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表4中的三级标准（NH</w:t>
            </w:r>
            <w:r>
              <w:rPr>
                <w:rFonts w:hint="default" w:ascii="Times New Roman" w:hAnsi="Times New Roman" w:eastAsia="宋体" w:cs="Times New Roman"/>
                <w:color w:val="auto"/>
                <w:highlight w:val="none"/>
                <w:vertAlign w:val="subscript"/>
              </w:rPr>
              <w:t>3</w:t>
            </w:r>
            <w:r>
              <w:rPr>
                <w:rFonts w:hint="default" w:ascii="Times New Roman" w:hAnsi="Times New Roman" w:eastAsia="宋体" w:cs="Times New Roman"/>
                <w:color w:val="auto"/>
                <w:highlight w:val="none"/>
              </w:rPr>
              <w:t>-N</w:t>
            </w:r>
            <w:r>
              <w:rPr>
                <w:rFonts w:hint="eastAsia" w:cs="Times New Roman"/>
                <w:color w:val="auto"/>
                <w:highlight w:val="none"/>
                <w:lang w:eastAsia="zh-CN"/>
              </w:rPr>
              <w:t>、</w:t>
            </w:r>
            <w:r>
              <w:rPr>
                <w:rFonts w:hint="eastAsia" w:cs="Times New Roman"/>
                <w:color w:val="auto"/>
                <w:highlight w:val="none"/>
                <w:lang w:val="en-US" w:eastAsia="zh-CN"/>
              </w:rPr>
              <w:t>总氮参照</w:t>
            </w:r>
            <w:r>
              <w:rPr>
                <w:rFonts w:hint="default" w:ascii="Times New Roman" w:hAnsi="Times New Roman" w:eastAsia="宋体" w:cs="Times New Roman"/>
                <w:color w:val="auto"/>
                <w:highlight w:val="none"/>
              </w:rPr>
              <w:t>执行《污水排入城镇下水道水质标准》</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GB/T31962-2015</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表1中的B等级标准</w:t>
            </w:r>
            <w:r>
              <w:rPr>
                <w:rFonts w:hint="eastAsia" w:cs="Times New Roman"/>
                <w:color w:val="auto"/>
                <w:highlight w:val="none"/>
                <w:lang w:eastAsia="zh-CN"/>
              </w:rPr>
              <w:t>）。</w:t>
            </w:r>
          </w:p>
          <w:p>
            <w:pPr>
              <w:pStyle w:val="25"/>
              <w:keepNext w:val="0"/>
              <w:keepLines w:val="0"/>
              <w:suppressLineNumbers w:val="0"/>
              <w:spacing w:before="0" w:beforeAutospacing="0" w:after="0" w:afterAutospacing="0"/>
              <w:ind w:left="0" w:right="0" w:firstLine="480"/>
              <w:rPr>
                <w:rFonts w:hint="eastAsia" w:ascii="Times New Roman" w:hAnsi="Times New Roman" w:eastAsia="宋体" w:cs="Times New Roman"/>
                <w:color w:val="auto"/>
                <w:kern w:val="2"/>
                <w:sz w:val="24"/>
                <w:szCs w:val="28"/>
                <w:highlight w:val="none"/>
                <w:lang w:val="en-US" w:eastAsia="zh-CN" w:bidi="ar"/>
              </w:rPr>
            </w:pPr>
            <w:r>
              <w:rPr>
                <w:rFonts w:hint="eastAsia" w:ascii="Times New Roman" w:hAnsi="Times New Roman" w:eastAsia="宋体" w:cs="Times New Roman"/>
                <w:color w:val="auto"/>
                <w:kern w:val="2"/>
                <w:sz w:val="24"/>
                <w:szCs w:val="24"/>
                <w:highlight w:val="none"/>
                <w:lang w:val="en-US" w:eastAsia="zh-CN" w:bidi="ar"/>
              </w:rPr>
              <w:t>福鼎市文渡污水处理厂近期出水水质执行《</w:t>
            </w:r>
            <w:r>
              <w:rPr>
                <w:rFonts w:hint="eastAsia" w:ascii="Times New Roman" w:hAnsi="Times New Roman" w:eastAsia="宋体" w:cs="Times New Roman"/>
                <w:color w:val="auto"/>
                <w:kern w:val="2"/>
                <w:sz w:val="24"/>
                <w:szCs w:val="28"/>
                <w:highlight w:val="none"/>
                <w:lang w:val="en-US" w:eastAsia="zh-CN" w:bidi="ar"/>
              </w:rPr>
              <w:t>污水综合排放标准》（</w:t>
            </w:r>
            <w:r>
              <w:rPr>
                <w:rFonts w:hint="default" w:ascii="Times New Roman" w:hAnsi="Times New Roman" w:eastAsia="宋体" w:cs="Times New Roman"/>
                <w:color w:val="auto"/>
                <w:kern w:val="2"/>
                <w:sz w:val="24"/>
                <w:szCs w:val="28"/>
                <w:highlight w:val="none"/>
                <w:lang w:val="en-US" w:eastAsia="zh-CN" w:bidi="ar"/>
              </w:rPr>
              <w:t>GB8978-1996</w:t>
            </w:r>
            <w:r>
              <w:rPr>
                <w:rFonts w:hint="eastAsia" w:ascii="Times New Roman" w:hAnsi="Times New Roman" w:eastAsia="宋体" w:cs="Times New Roman"/>
                <w:color w:val="auto"/>
                <w:kern w:val="2"/>
                <w:sz w:val="24"/>
                <w:szCs w:val="28"/>
                <w:highlight w:val="none"/>
                <w:lang w:val="en-US" w:eastAsia="zh-CN" w:bidi="ar"/>
              </w:rPr>
              <w:t>）表</w:t>
            </w:r>
            <w:r>
              <w:rPr>
                <w:rFonts w:hint="default" w:ascii="Times New Roman" w:hAnsi="Times New Roman" w:eastAsia="宋体" w:cs="Times New Roman"/>
                <w:color w:val="auto"/>
                <w:kern w:val="2"/>
                <w:sz w:val="24"/>
                <w:szCs w:val="28"/>
                <w:highlight w:val="none"/>
                <w:lang w:val="en-US" w:eastAsia="zh-CN" w:bidi="ar"/>
              </w:rPr>
              <w:t>4</w:t>
            </w:r>
            <w:r>
              <w:rPr>
                <w:rFonts w:hint="eastAsia" w:ascii="Times New Roman" w:hAnsi="Times New Roman" w:eastAsia="宋体" w:cs="Times New Roman"/>
                <w:color w:val="auto"/>
                <w:kern w:val="2"/>
                <w:sz w:val="24"/>
                <w:szCs w:val="28"/>
                <w:highlight w:val="none"/>
                <w:lang w:val="en-US" w:eastAsia="zh-CN" w:bidi="ar"/>
              </w:rPr>
              <w:t>中的一级标准限值</w:t>
            </w:r>
            <w:r>
              <w:rPr>
                <w:rFonts w:hint="eastAsia" w:ascii="Times New Roman" w:hAnsi="Times New Roman" w:eastAsia="宋体" w:cs="Times New Roman"/>
                <w:color w:val="auto"/>
                <w:kern w:val="2"/>
                <w:sz w:val="24"/>
                <w:szCs w:val="24"/>
                <w:highlight w:val="none"/>
                <w:lang w:val="en-US" w:eastAsia="zh-CN" w:bidi="ar"/>
              </w:rPr>
              <w:t>。远期</w:t>
            </w:r>
            <w:r>
              <w:rPr>
                <w:rFonts w:hint="default" w:ascii="Times New Roman" w:hAnsi="Times New Roman" w:eastAsia="宋体" w:cs="Times New Roman"/>
                <w:color w:val="auto"/>
                <w:kern w:val="2"/>
                <w:sz w:val="24"/>
                <w:szCs w:val="28"/>
                <w:highlight w:val="none"/>
                <w:lang w:val="en-US" w:eastAsia="zh-CN" w:bidi="ar"/>
              </w:rPr>
              <w:t>COD</w:t>
            </w:r>
            <w:r>
              <w:rPr>
                <w:rFonts w:hint="eastAsia" w:ascii="Times New Roman" w:hAnsi="Times New Roman" w:eastAsia="宋体" w:cs="Times New Roman"/>
                <w:color w:val="auto"/>
                <w:kern w:val="2"/>
                <w:sz w:val="24"/>
                <w:szCs w:val="28"/>
                <w:highlight w:val="none"/>
                <w:lang w:val="en-US" w:eastAsia="zh-CN" w:bidi="ar"/>
              </w:rPr>
              <w:t>、</w:t>
            </w:r>
            <w:bookmarkStart w:id="23" w:name="OLE_LINK16"/>
            <w:bookmarkStart w:id="24" w:name="OLE_LINK19"/>
            <w:r>
              <w:rPr>
                <w:rFonts w:hint="default" w:ascii="Times New Roman" w:hAnsi="Times New Roman" w:eastAsia="宋体" w:cs="Times New Roman"/>
                <w:color w:val="auto"/>
                <w:kern w:val="2"/>
                <w:sz w:val="24"/>
                <w:szCs w:val="28"/>
                <w:highlight w:val="none"/>
                <w:lang w:val="en-US" w:eastAsia="zh-CN" w:bidi="ar"/>
              </w:rPr>
              <w:t>NH</w:t>
            </w:r>
            <w:r>
              <w:rPr>
                <w:rFonts w:hint="default" w:ascii="Times New Roman" w:hAnsi="Times New Roman" w:eastAsia="宋体" w:cs="Times New Roman"/>
                <w:color w:val="auto"/>
                <w:kern w:val="2"/>
                <w:sz w:val="24"/>
                <w:szCs w:val="28"/>
                <w:highlight w:val="none"/>
                <w:vertAlign w:val="subscript"/>
                <w:lang w:val="en-US" w:eastAsia="zh-CN" w:bidi="ar"/>
              </w:rPr>
              <w:t>3</w:t>
            </w:r>
            <w:r>
              <w:rPr>
                <w:rFonts w:hint="default" w:ascii="Times New Roman" w:hAnsi="Times New Roman" w:eastAsia="宋体" w:cs="Times New Roman"/>
                <w:color w:val="auto"/>
                <w:kern w:val="2"/>
                <w:sz w:val="24"/>
                <w:szCs w:val="28"/>
                <w:highlight w:val="none"/>
                <w:lang w:val="en-US" w:eastAsia="zh-CN" w:bidi="ar"/>
              </w:rPr>
              <w:t>-N</w:t>
            </w:r>
            <w:r>
              <w:rPr>
                <w:rFonts w:hint="eastAsia" w:ascii="Times New Roman" w:hAnsi="Times New Roman" w:eastAsia="宋体" w:cs="Times New Roman"/>
                <w:color w:val="auto"/>
                <w:kern w:val="2"/>
                <w:sz w:val="24"/>
                <w:szCs w:val="28"/>
                <w:highlight w:val="none"/>
                <w:lang w:val="en-US" w:eastAsia="zh-CN" w:bidi="ar"/>
              </w:rPr>
              <w:t>、</w:t>
            </w:r>
            <w:bookmarkEnd w:id="23"/>
            <w:bookmarkEnd w:id="24"/>
            <w:r>
              <w:rPr>
                <w:rFonts w:hint="default" w:ascii="Times New Roman" w:hAnsi="Times New Roman" w:eastAsia="宋体" w:cs="Times New Roman"/>
                <w:color w:val="auto"/>
                <w:kern w:val="2"/>
                <w:sz w:val="24"/>
                <w:szCs w:val="28"/>
                <w:highlight w:val="none"/>
                <w:lang w:val="en-US" w:eastAsia="zh-CN" w:bidi="ar"/>
              </w:rPr>
              <w:t>SS</w:t>
            </w:r>
            <w:r>
              <w:rPr>
                <w:rFonts w:hint="eastAsia" w:ascii="Times New Roman" w:hAnsi="Times New Roman" w:eastAsia="宋体" w:cs="Times New Roman"/>
                <w:color w:val="auto"/>
                <w:kern w:val="2"/>
                <w:sz w:val="24"/>
                <w:szCs w:val="28"/>
                <w:highlight w:val="none"/>
                <w:lang w:val="en-US" w:eastAsia="zh-CN" w:bidi="ar"/>
              </w:rPr>
              <w:t>出水参照《城镇污水处理厂污染物排放标准》（</w:t>
            </w:r>
            <w:r>
              <w:rPr>
                <w:rFonts w:hint="default" w:ascii="Times New Roman" w:hAnsi="Times New Roman" w:eastAsia="宋体" w:cs="Times New Roman"/>
                <w:color w:val="auto"/>
                <w:kern w:val="2"/>
                <w:sz w:val="24"/>
                <w:szCs w:val="28"/>
                <w:highlight w:val="none"/>
                <w:lang w:val="en-US" w:eastAsia="zh-CN" w:bidi="ar"/>
              </w:rPr>
              <w:t>GB18918-2002</w:t>
            </w:r>
            <w:r>
              <w:rPr>
                <w:rFonts w:hint="eastAsia" w:ascii="Times New Roman" w:hAnsi="Times New Roman" w:eastAsia="宋体" w:cs="Times New Roman"/>
                <w:color w:val="auto"/>
                <w:kern w:val="2"/>
                <w:sz w:val="24"/>
                <w:szCs w:val="28"/>
                <w:highlight w:val="none"/>
                <w:lang w:val="en-US" w:eastAsia="zh-CN" w:bidi="ar"/>
              </w:rPr>
              <w:t>）中的一级</w:t>
            </w:r>
            <w:r>
              <w:rPr>
                <w:rFonts w:hint="default" w:ascii="Times New Roman" w:hAnsi="Times New Roman" w:eastAsia="宋体" w:cs="Times New Roman"/>
                <w:color w:val="auto"/>
                <w:kern w:val="2"/>
                <w:sz w:val="24"/>
                <w:szCs w:val="28"/>
                <w:highlight w:val="none"/>
                <w:lang w:val="en-US" w:eastAsia="zh-CN" w:bidi="ar"/>
              </w:rPr>
              <w:t>B</w:t>
            </w:r>
            <w:r>
              <w:rPr>
                <w:rFonts w:hint="eastAsia" w:ascii="Times New Roman" w:hAnsi="Times New Roman" w:eastAsia="宋体" w:cs="Times New Roman"/>
                <w:color w:val="auto"/>
                <w:kern w:val="2"/>
                <w:sz w:val="24"/>
                <w:szCs w:val="28"/>
                <w:highlight w:val="none"/>
                <w:lang w:val="en-US" w:eastAsia="zh-CN" w:bidi="ar"/>
              </w:rPr>
              <w:t>标准执行。</w:t>
            </w:r>
          </w:p>
          <w:p>
            <w:pPr>
              <w:pStyle w:val="25"/>
              <w:keepNext w:val="0"/>
              <w:keepLines w:val="0"/>
              <w:suppressLineNumbers w:val="0"/>
              <w:spacing w:before="0" w:beforeAutospacing="0" w:after="0" w:afterAutospacing="0"/>
              <w:ind w:left="0" w:right="0" w:firstLine="480"/>
              <w:rPr>
                <w:rFonts w:hint="eastAsia" w:ascii="Times New Roman" w:hAnsi="Times New Roman" w:eastAsia="宋体" w:cs="Times New Roman"/>
                <w:color w:val="auto"/>
                <w:kern w:val="2"/>
                <w:sz w:val="24"/>
                <w:szCs w:val="28"/>
                <w:highlight w:val="none"/>
                <w:lang w:val="en-US" w:eastAsia="zh-CN" w:bidi="ar"/>
              </w:rPr>
            </w:pPr>
          </w:p>
          <w:p>
            <w:pPr>
              <w:pStyle w:val="25"/>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kern w:val="2"/>
                <w:sz w:val="24"/>
                <w:szCs w:val="28"/>
                <w:highlight w:val="none"/>
                <w:lang w:val="en-US" w:eastAsia="zh-CN" w:bidi="ar"/>
              </w:rPr>
            </w:pPr>
          </w:p>
          <w:bookmarkEnd w:id="22"/>
          <w:p>
            <w:pPr>
              <w:pStyle w:val="22"/>
              <w:keepNext w:val="0"/>
              <w:keepLines w:val="0"/>
              <w:suppressLineNumbers w:val="0"/>
              <w:bidi w:val="0"/>
              <w:spacing w:before="0" w:beforeAutospacing="0" w:after="0" w:afterAutospacing="0"/>
              <w:ind w:right="0"/>
              <w:rPr>
                <w:rFonts w:hint="default"/>
                <w:color w:val="auto"/>
              </w:rPr>
            </w:pPr>
            <w:bookmarkStart w:id="25" w:name="_Ref11605"/>
            <w:r>
              <w:rPr>
                <w:rFonts w:hint="default"/>
                <w:color w:val="auto"/>
                <w:lang w:val="en-US" w:eastAsia="zh-CN"/>
              </w:rPr>
              <w:t>《污水综合排放标准</w:t>
            </w:r>
            <w:r>
              <w:rPr>
                <w:rFonts w:hint="default"/>
                <w:color w:val="auto"/>
              </w:rPr>
              <w:t>》</w:t>
            </w:r>
            <w:r>
              <w:rPr>
                <w:rFonts w:hint="default"/>
                <w:color w:val="auto"/>
                <w:lang w:eastAsia="zh-CN"/>
              </w:rPr>
              <w:t>（</w:t>
            </w:r>
            <w:r>
              <w:rPr>
                <w:rFonts w:hint="default"/>
                <w:color w:val="auto"/>
              </w:rPr>
              <w:t>GB8978-1996</w:t>
            </w:r>
            <w:r>
              <w:rPr>
                <w:rFonts w:hint="default"/>
                <w:color w:val="auto"/>
                <w:lang w:eastAsia="zh-CN"/>
              </w:rPr>
              <w:t>）（</w:t>
            </w:r>
            <w:r>
              <w:rPr>
                <w:rFonts w:hint="default"/>
                <w:color w:val="auto"/>
                <w:lang w:val="en-US" w:eastAsia="zh-CN"/>
              </w:rPr>
              <w:t>摘录</w:t>
            </w:r>
            <w:r>
              <w:rPr>
                <w:rFonts w:hint="default"/>
                <w:color w:val="auto"/>
                <w:lang w:eastAsia="zh-CN"/>
              </w:rPr>
              <w:t>）</w:t>
            </w:r>
            <w:r>
              <w:rPr>
                <w:rFonts w:hint="default"/>
                <w:color w:val="auto"/>
              </w:rPr>
              <w:t>单位：mg/L（pH</w:t>
            </w:r>
            <w:r>
              <w:rPr>
                <w:rFonts w:hint="default"/>
                <w:color w:val="auto"/>
                <w:lang w:val="en-US" w:eastAsia="zh-CN"/>
              </w:rPr>
              <w:t>无量纲</w:t>
            </w:r>
            <w:r>
              <w:rPr>
                <w:rFonts w:hint="default"/>
                <w:color w:val="auto"/>
              </w:rPr>
              <w:t>）</w:t>
            </w:r>
            <w:bookmarkEnd w:id="25"/>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626"/>
              <w:gridCol w:w="2362"/>
              <w:gridCol w:w="1245"/>
              <w:gridCol w:w="373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3"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序号</w:t>
                  </w:r>
                </w:p>
              </w:tc>
              <w:tc>
                <w:tcPr>
                  <w:tcW w:w="14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污染物</w:t>
                  </w:r>
                </w:p>
              </w:tc>
              <w:tc>
                <w:tcPr>
                  <w:tcW w:w="7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排放限值</w:t>
                  </w:r>
                </w:p>
              </w:tc>
              <w:tc>
                <w:tcPr>
                  <w:tcW w:w="2344"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3"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1</w:t>
                  </w:r>
                </w:p>
              </w:tc>
              <w:tc>
                <w:tcPr>
                  <w:tcW w:w="14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pH</w:t>
                  </w:r>
                </w:p>
              </w:tc>
              <w:tc>
                <w:tcPr>
                  <w:tcW w:w="7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6～9</w:t>
                  </w:r>
                </w:p>
              </w:tc>
              <w:tc>
                <w:tcPr>
                  <w:tcW w:w="2344" w:type="pct"/>
                  <w:vMerge w:val="restar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《污水综合排放标准》</w:t>
                  </w:r>
                  <w:r>
                    <w:rPr>
                      <w:rFonts w:hint="default"/>
                      <w:color w:val="auto"/>
                      <w:szCs w:val="20"/>
                      <w:highlight w:val="none"/>
                    </w:rPr>
                    <w:t>(</w:t>
                  </w:r>
                  <w:r>
                    <w:rPr>
                      <w:rFonts w:hint="default"/>
                      <w:color w:val="auto"/>
                      <w:szCs w:val="20"/>
                    </w:rPr>
                    <w:t>GB8978-1996</w:t>
                  </w:r>
                  <w:r>
                    <w:rPr>
                      <w:rFonts w:hint="default"/>
                      <w:color w:val="auto"/>
                      <w:szCs w:val="20"/>
                      <w:highlight w:val="none"/>
                    </w:rPr>
                    <w:t>)</w:t>
                  </w:r>
                  <w:r>
                    <w:rPr>
                      <w:rFonts w:hint="default"/>
                      <w:color w:val="auto"/>
                      <w:szCs w:val="20"/>
                    </w:rPr>
                    <w:t>表4三级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3"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2</w:t>
                  </w:r>
                </w:p>
              </w:tc>
              <w:tc>
                <w:tcPr>
                  <w:tcW w:w="14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COD</w:t>
                  </w:r>
                </w:p>
              </w:tc>
              <w:tc>
                <w:tcPr>
                  <w:tcW w:w="7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≤500</w:t>
                  </w:r>
                </w:p>
              </w:tc>
              <w:tc>
                <w:tcPr>
                  <w:tcW w:w="2344" w:type="pct"/>
                  <w:vMerge w:val="continue"/>
                  <w:vAlign w:val="center"/>
                </w:tcPr>
                <w:p>
                  <w:pPr>
                    <w:pStyle w:val="23"/>
                    <w:keepNext w:val="0"/>
                    <w:keepLines w:val="0"/>
                    <w:widowControl/>
                    <w:suppressLineNumbers w:val="0"/>
                    <w:spacing w:before="0" w:beforeAutospacing="0" w:after="0" w:afterAutospacing="0"/>
                    <w:ind w:right="0"/>
                    <w:rPr>
                      <w:rFonts w:hint="default"/>
                      <w:color w:val="auto"/>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3"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3</w:t>
                  </w:r>
                </w:p>
              </w:tc>
              <w:tc>
                <w:tcPr>
                  <w:tcW w:w="14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BOD</w:t>
                  </w:r>
                  <w:r>
                    <w:rPr>
                      <w:rFonts w:hint="default"/>
                      <w:color w:val="auto"/>
                      <w:szCs w:val="20"/>
                      <w:vertAlign w:val="subscript"/>
                    </w:rPr>
                    <w:t>5</w:t>
                  </w:r>
                </w:p>
              </w:tc>
              <w:tc>
                <w:tcPr>
                  <w:tcW w:w="7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≤300</w:t>
                  </w:r>
                </w:p>
              </w:tc>
              <w:tc>
                <w:tcPr>
                  <w:tcW w:w="2344" w:type="pct"/>
                  <w:vMerge w:val="continue"/>
                  <w:vAlign w:val="center"/>
                </w:tcPr>
                <w:p>
                  <w:pPr>
                    <w:pStyle w:val="23"/>
                    <w:keepNext w:val="0"/>
                    <w:keepLines w:val="0"/>
                    <w:widowControl/>
                    <w:suppressLineNumbers w:val="0"/>
                    <w:spacing w:before="0" w:beforeAutospacing="0" w:after="0" w:afterAutospacing="0"/>
                    <w:ind w:right="0"/>
                    <w:rPr>
                      <w:rFonts w:hint="default"/>
                      <w:color w:val="auto"/>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3"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4</w:t>
                  </w:r>
                </w:p>
              </w:tc>
              <w:tc>
                <w:tcPr>
                  <w:tcW w:w="14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悬浮物</w:t>
                  </w:r>
                </w:p>
              </w:tc>
              <w:tc>
                <w:tcPr>
                  <w:tcW w:w="7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≤400</w:t>
                  </w:r>
                </w:p>
              </w:tc>
              <w:tc>
                <w:tcPr>
                  <w:tcW w:w="2344" w:type="pct"/>
                  <w:vMerge w:val="continue"/>
                  <w:vAlign w:val="center"/>
                </w:tcPr>
                <w:p>
                  <w:pPr>
                    <w:pStyle w:val="23"/>
                    <w:keepNext w:val="0"/>
                    <w:keepLines w:val="0"/>
                    <w:widowControl/>
                    <w:suppressLineNumbers w:val="0"/>
                    <w:spacing w:before="0" w:beforeAutospacing="0" w:after="0" w:afterAutospacing="0"/>
                    <w:ind w:right="0"/>
                    <w:rPr>
                      <w:rFonts w:hint="default"/>
                      <w:color w:val="auto"/>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3"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5</w:t>
                  </w:r>
                </w:p>
              </w:tc>
              <w:tc>
                <w:tcPr>
                  <w:tcW w:w="14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氨氮</w:t>
                  </w:r>
                </w:p>
              </w:tc>
              <w:tc>
                <w:tcPr>
                  <w:tcW w:w="781" w:type="pct"/>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≤45</w:t>
                  </w:r>
                </w:p>
              </w:tc>
              <w:tc>
                <w:tcPr>
                  <w:tcW w:w="2344" w:type="pct"/>
                  <w:tcBorders>
                    <w:top w:val="single" w:color="auto" w:sz="4" w:space="0"/>
                  </w:tcBorders>
                  <w:vAlign w:val="center"/>
                </w:tcPr>
                <w:p>
                  <w:pPr>
                    <w:pStyle w:val="23"/>
                    <w:keepNext w:val="0"/>
                    <w:keepLines w:val="0"/>
                    <w:widowControl/>
                    <w:suppressLineNumbers w:val="0"/>
                    <w:spacing w:before="0" w:beforeAutospacing="0" w:after="0" w:afterAutospacing="0"/>
                    <w:ind w:right="0"/>
                    <w:rPr>
                      <w:rFonts w:hint="default"/>
                      <w:color w:val="auto"/>
                      <w:szCs w:val="20"/>
                    </w:rPr>
                  </w:pPr>
                  <w:r>
                    <w:rPr>
                      <w:rFonts w:hint="default"/>
                      <w:color w:val="auto"/>
                      <w:szCs w:val="20"/>
                    </w:rPr>
                    <w:t>《污水排入城镇下水道水质标准》</w:t>
                  </w:r>
                  <w:r>
                    <w:rPr>
                      <w:rFonts w:hint="default"/>
                      <w:color w:val="auto"/>
                      <w:szCs w:val="20"/>
                      <w:highlight w:val="none"/>
                    </w:rPr>
                    <w:t>(</w:t>
                  </w:r>
                  <w:r>
                    <w:rPr>
                      <w:rFonts w:hint="default"/>
                      <w:color w:val="auto"/>
                      <w:szCs w:val="20"/>
                    </w:rPr>
                    <w:t>GBT319622015</w:t>
                  </w:r>
                  <w:r>
                    <w:rPr>
                      <w:rFonts w:hint="default"/>
                      <w:color w:val="auto"/>
                      <w:szCs w:val="20"/>
                      <w:highlight w:val="none"/>
                    </w:rPr>
                    <w:t>)</w:t>
                  </w:r>
                </w:p>
              </w:tc>
            </w:tr>
          </w:tbl>
          <w:p>
            <w:pPr>
              <w:pStyle w:val="23"/>
              <w:keepNext w:val="0"/>
              <w:keepLines w:val="0"/>
              <w:suppressLineNumbers w:val="0"/>
              <w:spacing w:before="0" w:beforeAutospacing="0" w:after="0" w:afterAutospacing="0"/>
              <w:ind w:right="0"/>
              <w:rPr>
                <w:rFonts w:hint="default"/>
                <w:color w:val="auto"/>
              </w:rPr>
            </w:pPr>
          </w:p>
          <w:p>
            <w:pPr>
              <w:pStyle w:val="22"/>
              <w:keepNext w:val="0"/>
              <w:keepLines w:val="0"/>
              <w:suppressLineNumbers w:val="0"/>
              <w:bidi w:val="0"/>
              <w:spacing w:before="0" w:beforeAutospacing="0" w:after="0" w:afterAutospacing="0"/>
              <w:ind w:right="0"/>
              <w:rPr>
                <w:rFonts w:hint="default"/>
                <w:color w:val="auto"/>
              </w:rPr>
            </w:pPr>
            <w:r>
              <w:rPr>
                <w:rFonts w:hint="eastAsia"/>
                <w:color w:val="auto"/>
                <w:lang w:val="en-US" w:eastAsia="zh-CN"/>
              </w:rPr>
              <w:t xml:space="preserve">文渡污水处理厂废水排放标准限值   </w:t>
            </w:r>
            <w:r>
              <w:rPr>
                <w:rFonts w:hint="default"/>
                <w:color w:val="auto"/>
              </w:rPr>
              <w:t>单位：mg/L（pH</w:t>
            </w:r>
            <w:r>
              <w:rPr>
                <w:rFonts w:hint="default"/>
                <w:color w:val="auto"/>
                <w:lang w:val="en-US" w:eastAsia="zh-CN"/>
              </w:rPr>
              <w:t>无量纲</w:t>
            </w:r>
            <w:r>
              <w:rPr>
                <w:rFonts w:hint="default"/>
                <w:color w:val="auto"/>
              </w:rPr>
              <w:t>）</w:t>
            </w:r>
          </w:p>
          <w:tbl>
            <w:tblPr>
              <w:tblStyle w:val="18"/>
              <w:tblW w:w="4999" w:type="pct"/>
              <w:jc w:val="center"/>
              <w:tblBorders>
                <w:top w:val="single" w:color="000000" w:sz="12" w:space="0"/>
                <w:left w:val="single" w:color="000000" w:sz="12" w:space="0"/>
                <w:bottom w:val="single" w:color="auto"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315"/>
              <w:gridCol w:w="1319"/>
              <w:gridCol w:w="1327"/>
              <w:gridCol w:w="1327"/>
              <w:gridCol w:w="1327"/>
              <w:gridCol w:w="1327"/>
            </w:tblGrid>
            <w:tr>
              <w:tblPrEx>
                <w:tblBorders>
                  <w:top w:val="single" w:color="000000" w:sz="12" w:space="0"/>
                  <w:left w:val="single" w:color="000000" w:sz="12" w:space="0"/>
                  <w:bottom w:val="single" w:color="auto"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828" w:type="pct"/>
                  <w:tcBorders>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w:t>
                  </w:r>
                </w:p>
              </w:tc>
              <w:tc>
                <w:tcPr>
                  <w:tcW w:w="830"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pH</w:t>
                  </w:r>
                </w:p>
              </w:tc>
              <w:tc>
                <w:tcPr>
                  <w:tcW w:w="835"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SS</w:t>
                  </w:r>
                </w:p>
              </w:tc>
              <w:tc>
                <w:tcPr>
                  <w:tcW w:w="835"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BOD</w:t>
                  </w:r>
                  <w:r>
                    <w:rPr>
                      <w:rFonts w:hint="default" w:ascii="Times New Roman" w:hAnsi="Times New Roman" w:eastAsia="宋体" w:cs="Times New Roman"/>
                      <w:color w:val="auto"/>
                      <w:sz w:val="21"/>
                      <w:szCs w:val="21"/>
                      <w:highlight w:val="none"/>
                      <w:vertAlign w:val="subscript"/>
                    </w:rPr>
                    <w:t>5</w:t>
                  </w:r>
                </w:p>
              </w:tc>
              <w:tc>
                <w:tcPr>
                  <w:tcW w:w="835"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COD</w:t>
                  </w:r>
                  <w:r>
                    <w:rPr>
                      <w:rFonts w:hint="default" w:ascii="Times New Roman" w:hAnsi="Times New Roman" w:eastAsia="宋体" w:cs="Times New Roman"/>
                      <w:color w:val="auto"/>
                      <w:sz w:val="21"/>
                      <w:szCs w:val="21"/>
                      <w:highlight w:val="none"/>
                      <w:lang w:val="en-US" w:eastAsia="zh-CN"/>
                    </w:rPr>
                    <w:t>cr</w:t>
                  </w:r>
                </w:p>
              </w:tc>
              <w:tc>
                <w:tcPr>
                  <w:tcW w:w="835"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NH</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lang w:val="en-US" w:eastAsia="zh-CN"/>
                    </w:rPr>
                    <w:t>-N</w:t>
                  </w:r>
                </w:p>
              </w:tc>
            </w:tr>
            <w:tr>
              <w:tblPrEx>
                <w:tblBorders>
                  <w:top w:val="single" w:color="000000" w:sz="12" w:space="0"/>
                  <w:left w:val="single" w:color="000000" w:sz="12" w:space="0"/>
                  <w:bottom w:val="single" w:color="auto"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828" w:type="pct"/>
                  <w:tcBorders>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近期</w:t>
                  </w:r>
                </w:p>
              </w:tc>
              <w:tc>
                <w:tcPr>
                  <w:tcW w:w="830"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6~9</w:t>
                  </w:r>
                </w:p>
              </w:tc>
              <w:tc>
                <w:tcPr>
                  <w:tcW w:w="835"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70</w:t>
                  </w:r>
                </w:p>
              </w:tc>
              <w:tc>
                <w:tcPr>
                  <w:tcW w:w="835"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20</w:t>
                  </w:r>
                </w:p>
              </w:tc>
              <w:tc>
                <w:tcPr>
                  <w:tcW w:w="835"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100</w:t>
                  </w:r>
                </w:p>
              </w:tc>
              <w:tc>
                <w:tcPr>
                  <w:tcW w:w="835" w:type="pct"/>
                  <w:tcBorders>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15</w:t>
                  </w:r>
                </w:p>
              </w:tc>
            </w:tr>
            <w:tr>
              <w:tblPrEx>
                <w:tblBorders>
                  <w:top w:val="single" w:color="000000" w:sz="12" w:space="0"/>
                  <w:left w:val="single" w:color="000000" w:sz="12" w:space="0"/>
                  <w:bottom w:val="single" w:color="auto"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828" w:type="pct"/>
                  <w:tcBorders>
                    <w:top w:val="single" w:color="000000" w:sz="4" w:space="0"/>
                    <w:left w:val="nil"/>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远期</w:t>
                  </w:r>
                </w:p>
              </w:tc>
              <w:tc>
                <w:tcPr>
                  <w:tcW w:w="830" w:type="pct"/>
                  <w:tcBorders>
                    <w:top w:val="single" w:color="000000" w:sz="4" w:space="0"/>
                    <w:left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6~9</w:t>
                  </w:r>
                </w:p>
              </w:tc>
              <w:tc>
                <w:tcPr>
                  <w:tcW w:w="835" w:type="pct"/>
                  <w:tcBorders>
                    <w:top w:val="single" w:color="000000" w:sz="4" w:space="0"/>
                    <w:left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835" w:type="pct"/>
                  <w:tcBorders>
                    <w:top w:val="single" w:color="000000" w:sz="4" w:space="0"/>
                    <w:left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835" w:type="pct"/>
                  <w:tcBorders>
                    <w:top w:val="single" w:color="000000" w:sz="4" w:space="0"/>
                    <w:left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tc>
              <w:tc>
                <w:tcPr>
                  <w:tcW w:w="835" w:type="pct"/>
                  <w:tcBorders>
                    <w:top w:val="single" w:color="000000" w:sz="4" w:space="0"/>
                    <w:left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8</w:t>
                  </w:r>
                </w:p>
              </w:tc>
            </w:tr>
          </w:tbl>
          <w:p>
            <w:pPr>
              <w:keepNext w:val="0"/>
              <w:keepLines w:val="0"/>
              <w:numPr>
                <w:ilvl w:val="0"/>
                <w:numId w:val="0"/>
              </w:numPr>
              <w:suppressLineNumbers w:val="0"/>
              <w:tabs>
                <w:tab w:val="left" w:pos="420"/>
              </w:tabs>
              <w:bidi w:val="0"/>
              <w:spacing w:before="0" w:beforeAutospacing="0" w:after="0" w:afterAutospacing="0"/>
              <w:ind w:left="0" w:leftChars="0" w:right="0"/>
              <w:rPr>
                <w:rFonts w:hint="default"/>
              </w:rPr>
            </w:pPr>
          </w:p>
          <w:p>
            <w:pPr>
              <w:pStyle w:val="4"/>
              <w:keepNext w:val="0"/>
              <w:keepLines w:val="0"/>
              <w:numPr>
                <w:ilvl w:val="1"/>
                <w:numId w:val="9"/>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噪声排放标准</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本项目厂界噪声执行《工业企业厂界环境噪声排放标准》(GB12348-2008)中的3类标准。</w:t>
            </w:r>
          </w:p>
          <w:p>
            <w:pPr>
              <w:pStyle w:val="22"/>
              <w:keepNext w:val="0"/>
              <w:keepLines w:val="0"/>
              <w:suppressLineNumbers w:val="0"/>
              <w:bidi w:val="0"/>
              <w:spacing w:before="0" w:beforeAutospacing="0" w:after="0" w:afterAutospacing="0"/>
              <w:ind w:right="0"/>
              <w:rPr>
                <w:rFonts w:hint="default"/>
                <w:color w:val="auto"/>
              </w:rPr>
            </w:pPr>
            <w:r>
              <w:rPr>
                <w:rFonts w:hint="default"/>
                <w:color w:val="auto"/>
              </w:rPr>
              <w:t>《工业企业厂界环境噪声标准值》(GB12348-2008)</w:t>
            </w:r>
            <w:r>
              <w:rPr>
                <w:rFonts w:hint="eastAsia"/>
                <w:color w:val="auto"/>
                <w:lang w:val="en-US" w:eastAsia="zh-CN"/>
              </w:rPr>
              <w:t xml:space="preserve">  </w:t>
            </w:r>
            <w:r>
              <w:rPr>
                <w:rFonts w:hint="default"/>
                <w:color w:val="auto"/>
              </w:rPr>
              <w:t xml:space="preserve"> 单位：dB(A)</w:t>
            </w:r>
          </w:p>
          <w:tbl>
            <w:tblPr>
              <w:tblStyle w:val="18"/>
              <w:tblW w:w="79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658"/>
              <w:gridCol w:w="2658"/>
              <w:gridCol w:w="2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658" w:type="dxa"/>
                  <w:vAlign w:val="center"/>
                </w:tcPr>
                <w:p>
                  <w:pPr>
                    <w:keepNext w:val="0"/>
                    <w:keepLines w:val="0"/>
                    <w:suppressLineNumbers w:val="0"/>
                    <w:adjustRightInd w:val="0"/>
                    <w:snapToGrid w:val="0"/>
                    <w:spacing w:before="0" w:beforeAutospacing="0" w:after="0" w:afterAutospacing="0"/>
                    <w:ind w:left="0" w:right="0"/>
                    <w:jc w:val="center"/>
                    <w:rPr>
                      <w:rFonts w:hint="default"/>
                      <w:bCs/>
                      <w:color w:val="auto"/>
                      <w:szCs w:val="21"/>
                      <w:highlight w:val="none"/>
                    </w:rPr>
                  </w:pPr>
                  <w:r>
                    <w:rPr>
                      <w:rFonts w:hint="default"/>
                      <w:bCs/>
                      <w:color w:val="auto"/>
                      <w:szCs w:val="21"/>
                      <w:highlight w:val="none"/>
                    </w:rPr>
                    <w:t>类 别</w:t>
                  </w:r>
                </w:p>
              </w:tc>
              <w:tc>
                <w:tcPr>
                  <w:tcW w:w="2658" w:type="dxa"/>
                  <w:vAlign w:val="center"/>
                </w:tcPr>
                <w:p>
                  <w:pPr>
                    <w:keepNext w:val="0"/>
                    <w:keepLines w:val="0"/>
                    <w:suppressLineNumbers w:val="0"/>
                    <w:adjustRightInd w:val="0"/>
                    <w:snapToGrid w:val="0"/>
                    <w:spacing w:before="0" w:beforeAutospacing="0" w:after="0" w:afterAutospacing="0"/>
                    <w:ind w:left="0" w:right="0"/>
                    <w:jc w:val="center"/>
                    <w:rPr>
                      <w:rFonts w:hint="default"/>
                      <w:bCs/>
                      <w:color w:val="auto"/>
                      <w:szCs w:val="21"/>
                      <w:highlight w:val="none"/>
                    </w:rPr>
                  </w:pPr>
                  <w:r>
                    <w:rPr>
                      <w:rFonts w:hint="default"/>
                      <w:bCs/>
                      <w:color w:val="auto"/>
                      <w:szCs w:val="21"/>
                      <w:highlight w:val="none"/>
                    </w:rPr>
                    <w:t>昼 间</w:t>
                  </w:r>
                </w:p>
              </w:tc>
              <w:tc>
                <w:tcPr>
                  <w:tcW w:w="2655" w:type="dxa"/>
                  <w:vAlign w:val="center"/>
                </w:tcPr>
                <w:p>
                  <w:pPr>
                    <w:keepNext w:val="0"/>
                    <w:keepLines w:val="0"/>
                    <w:suppressLineNumbers w:val="0"/>
                    <w:adjustRightInd w:val="0"/>
                    <w:snapToGrid w:val="0"/>
                    <w:spacing w:before="0" w:beforeAutospacing="0" w:after="0" w:afterAutospacing="0"/>
                    <w:ind w:left="0" w:right="0"/>
                    <w:jc w:val="center"/>
                    <w:rPr>
                      <w:rFonts w:hint="default"/>
                      <w:bCs/>
                      <w:color w:val="auto"/>
                      <w:szCs w:val="21"/>
                      <w:highlight w:val="none"/>
                    </w:rPr>
                  </w:pPr>
                  <w:r>
                    <w:rPr>
                      <w:rFonts w:hint="default"/>
                      <w:bCs/>
                      <w:color w:val="auto"/>
                      <w:szCs w:val="21"/>
                      <w:highlight w:val="none"/>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658" w:type="dxa"/>
                  <w:vAlign w:val="center"/>
                </w:tcPr>
                <w:p>
                  <w:pPr>
                    <w:keepNext w:val="0"/>
                    <w:keepLines w:val="0"/>
                    <w:suppressLineNumbers w:val="0"/>
                    <w:adjustRightInd w:val="0"/>
                    <w:snapToGrid w:val="0"/>
                    <w:spacing w:before="0" w:beforeAutospacing="0" w:after="0" w:afterAutospacing="0"/>
                    <w:ind w:left="0" w:right="0"/>
                    <w:jc w:val="center"/>
                    <w:rPr>
                      <w:rFonts w:hint="default"/>
                      <w:bCs/>
                      <w:color w:val="auto"/>
                      <w:szCs w:val="21"/>
                      <w:highlight w:val="none"/>
                    </w:rPr>
                  </w:pPr>
                  <w:r>
                    <w:rPr>
                      <w:rFonts w:hint="default"/>
                      <w:bCs/>
                      <w:color w:val="auto"/>
                      <w:szCs w:val="21"/>
                      <w:highlight w:val="none"/>
                    </w:rPr>
                    <w:t>3类</w:t>
                  </w:r>
                </w:p>
              </w:tc>
              <w:tc>
                <w:tcPr>
                  <w:tcW w:w="2658" w:type="dxa"/>
                  <w:vAlign w:val="center"/>
                </w:tcPr>
                <w:p>
                  <w:pPr>
                    <w:keepNext w:val="0"/>
                    <w:keepLines w:val="0"/>
                    <w:suppressLineNumbers w:val="0"/>
                    <w:adjustRightInd w:val="0"/>
                    <w:snapToGrid w:val="0"/>
                    <w:spacing w:before="0" w:beforeAutospacing="0" w:after="0" w:afterAutospacing="0"/>
                    <w:ind w:left="0" w:right="0"/>
                    <w:jc w:val="center"/>
                    <w:rPr>
                      <w:rFonts w:hint="default"/>
                      <w:bCs/>
                      <w:color w:val="auto"/>
                      <w:szCs w:val="21"/>
                      <w:highlight w:val="none"/>
                    </w:rPr>
                  </w:pPr>
                  <w:r>
                    <w:rPr>
                      <w:rFonts w:hint="default"/>
                      <w:bCs/>
                      <w:color w:val="auto"/>
                      <w:szCs w:val="21"/>
                      <w:highlight w:val="none"/>
                    </w:rPr>
                    <w:t>65</w:t>
                  </w:r>
                </w:p>
              </w:tc>
              <w:tc>
                <w:tcPr>
                  <w:tcW w:w="2655" w:type="dxa"/>
                  <w:vAlign w:val="center"/>
                </w:tcPr>
                <w:p>
                  <w:pPr>
                    <w:keepNext w:val="0"/>
                    <w:keepLines w:val="0"/>
                    <w:suppressLineNumbers w:val="0"/>
                    <w:adjustRightInd w:val="0"/>
                    <w:snapToGrid w:val="0"/>
                    <w:spacing w:before="0" w:beforeAutospacing="0" w:after="0" w:afterAutospacing="0"/>
                    <w:ind w:left="0" w:right="0"/>
                    <w:jc w:val="center"/>
                    <w:rPr>
                      <w:rFonts w:hint="default"/>
                      <w:bCs/>
                      <w:color w:val="auto"/>
                      <w:szCs w:val="21"/>
                      <w:highlight w:val="none"/>
                    </w:rPr>
                  </w:pPr>
                  <w:r>
                    <w:rPr>
                      <w:rFonts w:hint="default"/>
                      <w:bCs/>
                      <w:color w:val="auto"/>
                      <w:szCs w:val="21"/>
                      <w:highlight w:val="none"/>
                    </w:rPr>
                    <w:t>55</w:t>
                  </w:r>
                </w:p>
              </w:tc>
            </w:tr>
          </w:tbl>
          <w:p>
            <w:pPr>
              <w:keepNext w:val="0"/>
              <w:keepLines w:val="0"/>
              <w:numPr>
                <w:ilvl w:val="0"/>
                <w:numId w:val="0"/>
              </w:numPr>
              <w:suppressLineNumbers w:val="0"/>
              <w:tabs>
                <w:tab w:val="left" w:pos="420"/>
              </w:tabs>
              <w:bidi w:val="0"/>
              <w:spacing w:before="0" w:beforeAutospacing="0" w:after="0" w:afterAutospacing="0"/>
              <w:ind w:left="0" w:leftChars="0" w:right="0"/>
              <w:rPr>
                <w:rFonts w:hint="default"/>
              </w:rPr>
            </w:pPr>
          </w:p>
          <w:p>
            <w:pPr>
              <w:pStyle w:val="4"/>
              <w:keepNext w:val="0"/>
              <w:keepLines w:val="0"/>
              <w:numPr>
                <w:ilvl w:val="1"/>
                <w:numId w:val="9"/>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固体废物执行标准</w:t>
            </w:r>
          </w:p>
          <w:p>
            <w:pPr>
              <w:pStyle w:val="25"/>
              <w:keepNext w:val="0"/>
              <w:keepLines w:val="0"/>
              <w:suppressLineNumbers w:val="0"/>
              <w:spacing w:before="0" w:beforeAutospacing="0" w:after="0" w:afterAutospacing="0"/>
              <w:ind w:left="0" w:right="0" w:firstLine="480"/>
              <w:rPr>
                <w:rFonts w:hint="default" w:ascii="宋体" w:hAnsi="宋体" w:cs="宋体"/>
                <w:color w:val="auto"/>
                <w:kern w:val="0"/>
                <w:szCs w:val="21"/>
                <w:highlight w:val="yellow"/>
              </w:rPr>
            </w:pPr>
            <w:r>
              <w:rPr>
                <w:rFonts w:hint="default"/>
                <w:color w:val="auto"/>
                <w:highlight w:val="none"/>
              </w:rPr>
              <w:t>生活垃圾处置执行《中华人民共和国固体废物污染环境防治法》(20</w:t>
            </w:r>
            <w:r>
              <w:rPr>
                <w:rFonts w:hint="eastAsia"/>
                <w:color w:val="auto"/>
                <w:highlight w:val="none"/>
              </w:rPr>
              <w:t>20</w:t>
            </w:r>
            <w:r>
              <w:rPr>
                <w:rFonts w:hint="default"/>
                <w:color w:val="auto"/>
                <w:highlight w:val="none"/>
              </w:rPr>
              <w:t>年</w:t>
            </w:r>
            <w:r>
              <w:rPr>
                <w:rFonts w:hint="eastAsia"/>
                <w:color w:val="auto"/>
                <w:highlight w:val="none"/>
              </w:rPr>
              <w:t>4</w:t>
            </w:r>
            <w:r>
              <w:rPr>
                <w:rFonts w:hint="default"/>
                <w:color w:val="auto"/>
                <w:highlight w:val="none"/>
              </w:rPr>
              <w:t>月</w:t>
            </w:r>
            <w:r>
              <w:rPr>
                <w:rFonts w:hint="eastAsia"/>
                <w:color w:val="auto"/>
                <w:highlight w:val="none"/>
              </w:rPr>
              <w:t>29</w:t>
            </w:r>
            <w:r>
              <w:rPr>
                <w:rFonts w:hint="default"/>
                <w:color w:val="auto"/>
                <w:highlight w:val="none"/>
              </w:rPr>
              <w:t>日修正版)的相关规定；本项目一般工业固体废物执行</w:t>
            </w:r>
            <w:r>
              <w:rPr>
                <w:rFonts w:hint="eastAsia"/>
                <w:color w:val="auto"/>
                <w:highlight w:val="none"/>
              </w:rPr>
              <w:t>《一般工业固体废物贮存和填埋污染控制标准》（GB18599-2020）；</w:t>
            </w:r>
            <w:r>
              <w:rPr>
                <w:rFonts w:hint="default"/>
                <w:color w:val="auto"/>
                <w:highlight w:val="none"/>
              </w:rPr>
              <w:t>危险废物执行《危险废物贮存污染控制标准》(GB18597-2001)及环保部2013年第36号公告修改单的要求。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总量</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控制</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yellow"/>
              </w:rPr>
            </w:pPr>
            <w:r>
              <w:rPr>
                <w:rFonts w:hint="eastAsia" w:ascii="宋体" w:hAnsi="宋体" w:cs="宋体"/>
                <w:color w:val="auto"/>
                <w:kern w:val="0"/>
                <w:szCs w:val="21"/>
                <w:highlight w:val="none"/>
              </w:rPr>
              <w:t>指标</w:t>
            </w:r>
          </w:p>
        </w:tc>
        <w:tc>
          <w:tcPr>
            <w:tcW w:w="8190" w:type="dxa"/>
            <w:vAlign w:val="center"/>
          </w:tcPr>
          <w:p>
            <w:pPr>
              <w:pStyle w:val="4"/>
              <w:keepNext w:val="0"/>
              <w:keepLines w:val="0"/>
              <w:numPr>
                <w:ilvl w:val="1"/>
                <w:numId w:val="10"/>
              </w:numPr>
              <w:suppressLineNumbers w:val="0"/>
              <w:tabs>
                <w:tab w:val="left" w:pos="420"/>
              </w:tabs>
              <w:spacing w:before="0" w:beforeAutospacing="0" w:after="0" w:afterAutospacing="0"/>
              <w:ind w:right="0"/>
              <w:rPr>
                <w:rFonts w:hint="default"/>
                <w:color w:val="auto"/>
                <w:highlight w:val="none"/>
              </w:rPr>
            </w:pPr>
            <w:bookmarkStart w:id="26" w:name="_Toc551"/>
            <w:bookmarkStart w:id="27" w:name="_Toc22536"/>
            <w:bookmarkStart w:id="28" w:name="_Toc24101"/>
            <w:bookmarkStart w:id="29" w:name="_Toc18142"/>
            <w:r>
              <w:rPr>
                <w:rFonts w:hint="default"/>
                <w:color w:val="auto"/>
                <w:highlight w:val="none"/>
              </w:rPr>
              <w:t>总量控制因子</w:t>
            </w:r>
            <w:bookmarkEnd w:id="26"/>
            <w:bookmarkEnd w:id="27"/>
            <w:bookmarkEnd w:id="28"/>
            <w:bookmarkEnd w:id="29"/>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根据《福建省“十三五”环境保护规划》(闽环保财〔2016〕51号)、《福建省人民政府关于印发福建省“十三五”节能减排综合性工作方案的通知》(闽政[2017]29号)有关主要污染物排放总量控制计划的要求。</w:t>
            </w:r>
          </w:p>
          <w:p>
            <w:pPr>
              <w:pStyle w:val="4"/>
              <w:keepNext w:val="0"/>
              <w:keepLines w:val="0"/>
              <w:numPr>
                <w:ilvl w:val="1"/>
                <w:numId w:val="10"/>
              </w:numPr>
              <w:suppressLineNumbers w:val="0"/>
              <w:tabs>
                <w:tab w:val="left" w:pos="420"/>
              </w:tabs>
              <w:spacing w:before="0" w:beforeAutospacing="0" w:after="0" w:afterAutospacing="0"/>
              <w:ind w:right="0"/>
              <w:rPr>
                <w:rFonts w:hint="default"/>
                <w:color w:val="auto"/>
                <w:highlight w:val="none"/>
              </w:rPr>
            </w:pPr>
            <w:bookmarkStart w:id="30" w:name="_Toc9744"/>
            <w:bookmarkStart w:id="31" w:name="_Toc32260"/>
            <w:bookmarkStart w:id="32" w:name="_Toc26157"/>
            <w:bookmarkStart w:id="33" w:name="_Toc17857"/>
            <w:r>
              <w:rPr>
                <w:rFonts w:hint="default"/>
                <w:color w:val="auto"/>
                <w:highlight w:val="none"/>
              </w:rPr>
              <w:t>污染物总量控制指标</w:t>
            </w:r>
            <w:bookmarkEnd w:id="30"/>
            <w:bookmarkEnd w:id="31"/>
            <w:bookmarkEnd w:id="32"/>
            <w:bookmarkEnd w:id="33"/>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根据《福建省环保厅关于进一步加快推进排污权有偿使用和交易工作的意见》（闽环发[2015]6号）中相关规定“对于水污染物，仅核定工业废水部分”，因此，本项目生活污水中COD、氨氮无需购买总量。</w:t>
            </w:r>
          </w:p>
          <w:p>
            <w:pPr>
              <w:pStyle w:val="25"/>
              <w:keepNext w:val="0"/>
              <w:keepLines w:val="0"/>
              <w:suppressLineNumbers w:val="0"/>
              <w:bidi w:val="0"/>
              <w:spacing w:before="0" w:beforeAutospacing="0" w:after="0" w:afterAutospacing="0"/>
              <w:ind w:left="0" w:right="0"/>
              <w:rPr>
                <w:rFonts w:hint="default" w:eastAsia="宋体"/>
                <w:color w:val="auto"/>
                <w:highlight w:val="none"/>
                <w:lang w:val="en-US" w:eastAsia="zh-CN"/>
              </w:rPr>
            </w:pPr>
            <w:r>
              <w:rPr>
                <w:rFonts w:hint="eastAsia"/>
                <w:color w:val="auto"/>
                <w:highlight w:val="none"/>
                <w:lang w:val="en-US" w:eastAsia="zh-CN"/>
              </w:rPr>
              <w:t>本项目不新增SO</w:t>
            </w:r>
            <w:r>
              <w:rPr>
                <w:rFonts w:hint="eastAsia"/>
                <w:color w:val="auto"/>
                <w:highlight w:val="none"/>
                <w:vertAlign w:val="subscript"/>
                <w:lang w:val="en-US" w:eastAsia="zh-CN"/>
              </w:rPr>
              <w:t>2</w:t>
            </w:r>
            <w:r>
              <w:rPr>
                <w:rFonts w:hint="eastAsia"/>
                <w:color w:val="auto"/>
                <w:highlight w:val="none"/>
                <w:lang w:val="en-US" w:eastAsia="zh-CN"/>
              </w:rPr>
              <w:t>、氮氧化物排放量。</w:t>
            </w:r>
          </w:p>
          <w:p>
            <w:pPr>
              <w:pStyle w:val="25"/>
              <w:keepNext w:val="0"/>
              <w:keepLines w:val="0"/>
              <w:suppressLineNumbers w:val="0"/>
              <w:spacing w:before="0" w:beforeAutospacing="0" w:after="0" w:afterAutospacing="0"/>
              <w:ind w:left="0" w:right="0" w:firstLine="480"/>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现有工程排放量超出购买总量，且于今年5月31日过期，建设单位应向海峡股权交易中心重新购买。根据现有工程核算，</w:t>
            </w:r>
            <w:r>
              <w:rPr>
                <w:rFonts w:hint="default"/>
                <w:color w:val="auto"/>
              </w:rPr>
              <w:t>二氧化硫排放总量为</w:t>
            </w:r>
            <w:r>
              <w:rPr>
                <w:rFonts w:hint="eastAsia"/>
                <w:color w:val="auto"/>
                <w:lang w:val="en-US" w:eastAsia="zh-CN"/>
              </w:rPr>
              <w:t>0.1327</w:t>
            </w:r>
            <w:r>
              <w:rPr>
                <w:rFonts w:hint="default"/>
                <w:color w:val="auto"/>
              </w:rPr>
              <w:t>t/a，氮氧化物排放总量为</w:t>
            </w:r>
            <w:r>
              <w:rPr>
                <w:rFonts w:hint="eastAsia"/>
                <w:color w:val="auto"/>
                <w:lang w:val="en-US" w:eastAsia="zh-CN"/>
              </w:rPr>
              <w:t>0.7698</w:t>
            </w:r>
            <w:r>
              <w:rPr>
                <w:rFonts w:hint="default"/>
                <w:color w:val="auto"/>
              </w:rPr>
              <w:t>t/a</w:t>
            </w:r>
            <w:r>
              <w:rPr>
                <w:rFonts w:hint="eastAsia"/>
                <w:color w:val="auto"/>
              </w:rPr>
              <w:t>，</w:t>
            </w:r>
            <w:r>
              <w:rPr>
                <w:rFonts w:hint="default"/>
                <w:color w:val="auto"/>
              </w:rPr>
              <w:t>二氧化硫、氮氧化物建设单位需向海峡股权交易中心申购并取得排污权指标。</w:t>
            </w:r>
          </w:p>
          <w:p>
            <w:pPr>
              <w:pStyle w:val="25"/>
              <w:keepNext w:val="0"/>
              <w:keepLines w:val="0"/>
              <w:suppressLineNumbers w:val="0"/>
              <w:spacing w:before="0" w:beforeAutospacing="0" w:after="0" w:afterAutospacing="0"/>
              <w:ind w:left="0" w:right="0" w:firstLine="480"/>
              <w:rPr>
                <w:rFonts w:hint="default" w:ascii="宋体" w:hAnsi="宋体" w:cs="宋体"/>
                <w:color w:val="auto"/>
                <w:kern w:val="0"/>
                <w:szCs w:val="21"/>
                <w:highlight w:val="none"/>
                <w:lang w:val="en-US" w:eastAsia="zh-CN"/>
              </w:rPr>
            </w:pPr>
          </w:p>
        </w:tc>
      </w:tr>
    </w:tbl>
    <w:p>
      <w:pPr>
        <w:pStyle w:val="3"/>
        <w:numPr>
          <w:ilvl w:val="0"/>
          <w:numId w:val="10"/>
        </w:numPr>
        <w:rPr>
          <w:rFonts w:ascii="黑体" w:hAnsi="黑体"/>
          <w:snapToGrid w:val="0"/>
          <w:color w:val="auto"/>
          <w:highlight w:val="none"/>
        </w:rPr>
      </w:pPr>
      <w:r>
        <w:rPr>
          <w:rFonts w:ascii="黑体" w:hAnsi="黑体"/>
          <w:snapToGrid w:val="0"/>
          <w:color w:val="auto"/>
          <w:sz w:val="36"/>
          <w:szCs w:val="36"/>
          <w:highlight w:val="yellow"/>
        </w:rPr>
        <w:br w:type="page"/>
      </w:r>
      <w:r>
        <w:rPr>
          <w:rFonts w:hint="eastAsia" w:ascii="黑体" w:hAnsi="黑体"/>
          <w:snapToGrid w:val="0"/>
          <w:color w:val="auto"/>
          <w:highlight w:val="none"/>
        </w:rPr>
        <w:t>主要环境影响和保护措施</w:t>
      </w:r>
    </w:p>
    <w:tbl>
      <w:tblPr>
        <w:tblStyle w:val="18"/>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84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41" w:hRule="atLeast"/>
          <w:jc w:val="center"/>
        </w:trPr>
        <w:tc>
          <w:tcPr>
            <w:tcW w:w="574"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kern w:val="2"/>
                <w:sz w:val="24"/>
                <w:szCs w:val="24"/>
                <w:highlight w:val="none"/>
              </w:rPr>
            </w:pPr>
            <w:r>
              <w:rPr>
                <w:rFonts w:hint="eastAsia" w:cs="宋体"/>
                <w:color w:val="auto"/>
                <w:kern w:val="2"/>
                <w:sz w:val="24"/>
                <w:szCs w:val="24"/>
                <w:highlight w:val="none"/>
              </w:rPr>
              <w:t>施工</w:t>
            </w:r>
          </w:p>
          <w:p>
            <w:pPr>
              <w:keepNext w:val="0"/>
              <w:keepLines w:val="0"/>
              <w:suppressLineNumbers w:val="0"/>
              <w:adjustRightInd w:val="0"/>
              <w:snapToGrid w:val="0"/>
              <w:spacing w:before="0" w:beforeAutospacing="0" w:after="0" w:afterAutospacing="0"/>
              <w:ind w:left="0" w:right="0"/>
              <w:jc w:val="center"/>
              <w:rPr>
                <w:rFonts w:hint="default" w:cs="宋体"/>
                <w:color w:val="auto"/>
                <w:kern w:val="2"/>
                <w:sz w:val="24"/>
                <w:szCs w:val="24"/>
                <w:highlight w:val="none"/>
              </w:rPr>
            </w:pPr>
            <w:r>
              <w:rPr>
                <w:rFonts w:hint="eastAsia" w:cs="宋体"/>
                <w:color w:val="auto"/>
                <w:kern w:val="2"/>
                <w:sz w:val="24"/>
                <w:szCs w:val="24"/>
                <w:highlight w:val="none"/>
              </w:rPr>
              <w:t>期环</w:t>
            </w:r>
          </w:p>
          <w:p>
            <w:pPr>
              <w:keepNext w:val="0"/>
              <w:keepLines w:val="0"/>
              <w:suppressLineNumbers w:val="0"/>
              <w:adjustRightInd w:val="0"/>
              <w:snapToGrid w:val="0"/>
              <w:spacing w:before="0" w:beforeAutospacing="0" w:after="0" w:afterAutospacing="0"/>
              <w:ind w:left="0" w:right="0"/>
              <w:jc w:val="center"/>
              <w:rPr>
                <w:rFonts w:hint="default" w:cs="宋体"/>
                <w:color w:val="auto"/>
                <w:kern w:val="2"/>
                <w:sz w:val="24"/>
                <w:szCs w:val="24"/>
                <w:highlight w:val="none"/>
              </w:rPr>
            </w:pPr>
            <w:r>
              <w:rPr>
                <w:rFonts w:hint="eastAsia" w:cs="宋体"/>
                <w:color w:val="auto"/>
                <w:kern w:val="2"/>
                <w:sz w:val="24"/>
                <w:szCs w:val="24"/>
                <w:highlight w:val="none"/>
              </w:rPr>
              <w:t>境保</w:t>
            </w:r>
          </w:p>
          <w:p>
            <w:pPr>
              <w:keepNext w:val="0"/>
              <w:keepLines w:val="0"/>
              <w:suppressLineNumbers w:val="0"/>
              <w:adjustRightInd w:val="0"/>
              <w:snapToGrid w:val="0"/>
              <w:spacing w:before="0" w:beforeAutospacing="0" w:after="0" w:afterAutospacing="0"/>
              <w:ind w:left="0" w:right="0"/>
              <w:jc w:val="center"/>
              <w:rPr>
                <w:rFonts w:hint="default" w:cs="宋体"/>
                <w:color w:val="auto"/>
                <w:kern w:val="2"/>
                <w:sz w:val="24"/>
                <w:szCs w:val="24"/>
                <w:highlight w:val="none"/>
              </w:rPr>
            </w:pPr>
            <w:r>
              <w:rPr>
                <w:rFonts w:hint="eastAsia" w:cs="宋体"/>
                <w:color w:val="auto"/>
                <w:kern w:val="2"/>
                <w:sz w:val="24"/>
                <w:szCs w:val="24"/>
                <w:highlight w:val="none"/>
              </w:rPr>
              <w:t>护措</w:t>
            </w:r>
          </w:p>
          <w:p>
            <w:pPr>
              <w:keepNext w:val="0"/>
              <w:keepLines w:val="0"/>
              <w:suppressLineNumbers w:val="0"/>
              <w:adjustRightInd w:val="0"/>
              <w:snapToGrid w:val="0"/>
              <w:spacing w:before="0" w:beforeAutospacing="0" w:after="0" w:afterAutospacing="0"/>
              <w:ind w:left="0" w:right="0"/>
              <w:jc w:val="center"/>
              <w:rPr>
                <w:rFonts w:hint="default" w:cs="宋体"/>
                <w:bCs/>
                <w:color w:val="auto"/>
                <w:kern w:val="2"/>
                <w:sz w:val="21"/>
                <w:szCs w:val="21"/>
                <w:highlight w:val="none"/>
              </w:rPr>
            </w:pPr>
            <w:r>
              <w:rPr>
                <w:rFonts w:hint="eastAsia" w:cs="宋体"/>
                <w:color w:val="auto"/>
                <w:kern w:val="2"/>
                <w:sz w:val="24"/>
                <w:szCs w:val="24"/>
                <w:highlight w:val="none"/>
              </w:rPr>
              <w:t>施</w:t>
            </w:r>
          </w:p>
        </w:tc>
        <w:tc>
          <w:tcPr>
            <w:tcW w:w="8407" w:type="dxa"/>
            <w:vAlign w:val="center"/>
          </w:tcPr>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w:t>
            </w:r>
            <w:r>
              <w:rPr>
                <w:rFonts w:hint="eastAsia"/>
                <w:color w:val="auto"/>
                <w:highlight w:val="none"/>
                <w:lang w:val="en-US" w:eastAsia="zh-CN"/>
              </w:rPr>
              <w:t>在现有</w:t>
            </w:r>
            <w:r>
              <w:rPr>
                <w:rFonts w:hint="default"/>
                <w:color w:val="auto"/>
                <w:highlight w:val="none"/>
              </w:rPr>
              <w:t>厂房</w:t>
            </w:r>
            <w:r>
              <w:rPr>
                <w:rFonts w:hint="eastAsia"/>
                <w:color w:val="auto"/>
                <w:highlight w:val="none"/>
                <w:lang w:val="en-US" w:eastAsia="zh-CN"/>
              </w:rPr>
              <w:t>内</w:t>
            </w:r>
            <w:r>
              <w:rPr>
                <w:rFonts w:hint="default"/>
                <w:color w:val="auto"/>
                <w:highlight w:val="none"/>
              </w:rPr>
              <w:t>进行</w:t>
            </w:r>
            <w:r>
              <w:rPr>
                <w:rFonts w:hint="eastAsia"/>
                <w:color w:val="auto"/>
                <w:highlight w:val="none"/>
                <w:lang w:val="en-US" w:eastAsia="zh-CN"/>
              </w:rPr>
              <w:t>改扩建</w:t>
            </w:r>
            <w:r>
              <w:rPr>
                <w:rFonts w:hint="default"/>
                <w:color w:val="auto"/>
                <w:highlight w:val="none"/>
              </w:rPr>
              <w:t>，</w:t>
            </w:r>
            <w:r>
              <w:rPr>
                <w:rFonts w:hint="default"/>
                <w:bCs/>
                <w:color w:val="auto"/>
                <w:highlight w:val="none"/>
              </w:rPr>
              <w:t>项目施工期主要为设备安装、调试阶段产生的环境问题</w:t>
            </w:r>
            <w:r>
              <w:rPr>
                <w:rFonts w:hint="eastAsia"/>
                <w:bCs/>
                <w:color w:val="auto"/>
                <w:highlight w:val="none"/>
                <w:lang w:eastAsia="zh-CN"/>
              </w:rPr>
              <w:t>。</w:t>
            </w:r>
            <w:r>
              <w:rPr>
                <w:rFonts w:hint="default"/>
                <w:bCs/>
                <w:color w:val="auto"/>
                <w:highlight w:val="none"/>
              </w:rPr>
              <w:t>设备安装、调试简单，且时间较短，因此，随着设备安装、调试完毕后，项目施工期也将结束，施工期环境影响也随着消失，对周边环境影响较小。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522" w:hRule="atLeast"/>
          <w:jc w:val="center"/>
        </w:trPr>
        <w:tc>
          <w:tcPr>
            <w:tcW w:w="574"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Cs/>
                <w:color w:val="auto"/>
                <w:sz w:val="24"/>
                <w:szCs w:val="24"/>
                <w:highlight w:val="none"/>
              </w:rPr>
            </w:pPr>
            <w:r>
              <w:rPr>
                <w:rFonts w:hint="eastAsia" w:ascii="宋体" w:hAnsi="宋体" w:cs="宋体"/>
                <w:bCs/>
                <w:color w:val="auto"/>
                <w:sz w:val="24"/>
                <w:szCs w:val="24"/>
                <w:highlight w:val="none"/>
              </w:rPr>
              <w:t>运营</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color w:val="auto"/>
                <w:sz w:val="24"/>
                <w:szCs w:val="24"/>
                <w:highlight w:val="none"/>
              </w:rPr>
            </w:pPr>
            <w:r>
              <w:rPr>
                <w:rFonts w:hint="eastAsia" w:ascii="宋体" w:hAnsi="宋体" w:cs="宋体"/>
                <w:bCs/>
                <w:color w:val="auto"/>
                <w:sz w:val="24"/>
                <w:szCs w:val="24"/>
                <w:highlight w:val="none"/>
              </w:rPr>
              <w:t>期环</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color w:val="auto"/>
                <w:sz w:val="24"/>
                <w:szCs w:val="24"/>
                <w:highlight w:val="none"/>
              </w:rPr>
            </w:pPr>
            <w:r>
              <w:rPr>
                <w:rFonts w:hint="eastAsia" w:ascii="宋体" w:hAnsi="宋体" w:cs="宋体"/>
                <w:bCs/>
                <w:color w:val="auto"/>
                <w:sz w:val="24"/>
                <w:szCs w:val="24"/>
                <w:highlight w:val="none"/>
              </w:rPr>
              <w:t>境影</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color w:val="auto"/>
                <w:sz w:val="24"/>
                <w:szCs w:val="24"/>
                <w:highlight w:val="none"/>
              </w:rPr>
            </w:pPr>
            <w:r>
              <w:rPr>
                <w:rFonts w:hint="eastAsia" w:ascii="宋体" w:hAnsi="宋体" w:cs="宋体"/>
                <w:bCs/>
                <w:color w:val="auto"/>
                <w:sz w:val="24"/>
                <w:szCs w:val="24"/>
                <w:highlight w:val="none"/>
              </w:rPr>
              <w:t>响和</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color w:val="auto"/>
                <w:sz w:val="24"/>
                <w:szCs w:val="24"/>
                <w:highlight w:val="none"/>
              </w:rPr>
            </w:pPr>
            <w:r>
              <w:rPr>
                <w:rFonts w:hint="eastAsia" w:ascii="宋体" w:hAnsi="宋体" w:cs="宋体"/>
                <w:bCs/>
                <w:color w:val="auto"/>
                <w:sz w:val="24"/>
                <w:szCs w:val="24"/>
                <w:highlight w:val="none"/>
              </w:rPr>
              <w:t>保护</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color w:val="auto"/>
                <w:szCs w:val="21"/>
                <w:highlight w:val="yellow"/>
              </w:rPr>
            </w:pPr>
            <w:r>
              <w:rPr>
                <w:rFonts w:hint="eastAsia" w:ascii="宋体" w:hAnsi="宋体" w:cs="宋体"/>
                <w:bCs/>
                <w:color w:val="auto"/>
                <w:sz w:val="24"/>
                <w:szCs w:val="24"/>
                <w:highlight w:val="none"/>
              </w:rPr>
              <w:t>措施</w:t>
            </w:r>
          </w:p>
        </w:tc>
        <w:tc>
          <w:tcPr>
            <w:tcW w:w="8407" w:type="dxa"/>
            <w:vAlign w:val="center"/>
          </w:tcPr>
          <w:p>
            <w:pPr>
              <w:pStyle w:val="4"/>
              <w:keepNext w:val="0"/>
              <w:keepLines w:val="0"/>
              <w:numPr>
                <w:ilvl w:val="1"/>
                <w:numId w:val="10"/>
              </w:numPr>
              <w:suppressLineNumbers w:val="0"/>
              <w:tabs>
                <w:tab w:val="left" w:pos="420"/>
              </w:tabs>
              <w:spacing w:before="0" w:beforeAutospacing="0" w:after="0" w:afterAutospacing="0"/>
              <w:ind w:right="0"/>
              <w:rPr>
                <w:rFonts w:hint="default"/>
                <w:color w:val="auto"/>
                <w:highlight w:val="none"/>
              </w:rPr>
            </w:pPr>
            <w:r>
              <w:rPr>
                <w:rFonts w:hint="default"/>
                <w:color w:val="auto"/>
                <w:highlight w:val="none"/>
              </w:rPr>
              <w:t>废气</w:t>
            </w:r>
          </w:p>
          <w:p>
            <w:pPr>
              <w:pStyle w:val="5"/>
              <w:numPr>
                <w:ilvl w:val="2"/>
                <w:numId w:val="10"/>
              </w:numPr>
              <w:suppressLineNumbers w:val="0"/>
              <w:spacing w:before="0" w:beforeAutospacing="0" w:after="0" w:afterAutospacing="0"/>
              <w:ind w:right="0"/>
              <w:rPr>
                <w:rFonts w:hint="default"/>
                <w:color w:val="auto"/>
                <w:highlight w:val="none"/>
              </w:rPr>
            </w:pPr>
            <w:r>
              <w:rPr>
                <w:rFonts w:hint="eastAsia"/>
                <w:color w:val="auto"/>
                <w:highlight w:val="none"/>
                <w:lang w:val="en-US" w:eastAsia="zh-CN"/>
              </w:rPr>
              <w:t>废气</w:t>
            </w:r>
            <w:r>
              <w:rPr>
                <w:rFonts w:hint="eastAsia"/>
                <w:color w:val="auto"/>
                <w:highlight w:val="none"/>
              </w:rPr>
              <w:t>污染源</w:t>
            </w:r>
            <w:r>
              <w:rPr>
                <w:rFonts w:hint="eastAsia"/>
                <w:color w:val="auto"/>
                <w:highlight w:val="none"/>
                <w:lang w:val="en-US" w:eastAsia="zh-CN"/>
              </w:rPr>
              <w:t>分析</w:t>
            </w:r>
          </w:p>
          <w:p>
            <w:pPr>
              <w:pStyle w:val="22"/>
              <w:keepNext w:val="0"/>
              <w:keepLines w:val="0"/>
              <w:suppressLineNumbers w:val="0"/>
              <w:bidi w:val="0"/>
              <w:spacing w:before="0" w:beforeAutospacing="0" w:after="0" w:afterAutospacing="0"/>
              <w:ind w:right="0"/>
              <w:rPr>
                <w:rFonts w:hint="eastAsia"/>
                <w:color w:val="auto"/>
                <w:lang w:val="en-US" w:eastAsia="zh-CN"/>
              </w:rPr>
            </w:pPr>
            <w:r>
              <w:rPr>
                <w:rFonts w:hint="eastAsia"/>
                <w:color w:val="auto"/>
                <w:lang w:val="en-US" w:eastAsia="zh-CN"/>
              </w:rPr>
              <w:t>项目废气治理设施一览表</w:t>
            </w:r>
          </w:p>
          <w:p>
            <w:pPr>
              <w:pStyle w:val="22"/>
              <w:keepNext w:val="0"/>
              <w:keepLines w:val="0"/>
              <w:suppressLineNumbers w:val="0"/>
              <w:bidi w:val="0"/>
              <w:spacing w:before="0" w:beforeAutospacing="0" w:after="0" w:afterAutospacing="0"/>
              <w:ind w:right="0"/>
              <w:rPr>
                <w:rFonts w:hint="eastAsia"/>
                <w:color w:val="auto"/>
                <w:lang w:val="en-US" w:eastAsia="zh-CN"/>
              </w:rPr>
            </w:pPr>
            <w:r>
              <w:rPr>
                <w:rFonts w:hint="eastAsia"/>
                <w:color w:val="auto"/>
                <w:lang w:val="en-US" w:eastAsia="zh-CN"/>
              </w:rPr>
              <w:t>项目废气污染物排放源一览表</w:t>
            </w:r>
          </w:p>
          <w:p>
            <w:pPr>
              <w:pStyle w:val="22"/>
              <w:keepNext w:val="0"/>
              <w:keepLines w:val="0"/>
              <w:suppressLineNumbers w:val="0"/>
              <w:bidi w:val="0"/>
              <w:spacing w:before="0" w:beforeAutospacing="0" w:after="0" w:afterAutospacing="0"/>
              <w:ind w:right="0"/>
              <w:rPr>
                <w:rFonts w:hint="eastAsia"/>
                <w:color w:val="auto"/>
                <w:lang w:val="en-US" w:eastAsia="zh-CN"/>
              </w:rPr>
            </w:pPr>
            <w:r>
              <w:rPr>
                <w:rFonts w:hint="eastAsia"/>
                <w:color w:val="auto"/>
                <w:lang w:val="en-US" w:eastAsia="zh-CN"/>
              </w:rPr>
              <w:t>项目排放口基本情况一览表</w:t>
            </w:r>
          </w:p>
          <w:p>
            <w:pPr>
              <w:pStyle w:val="39"/>
              <w:keepNext w:val="0"/>
              <w:keepLines w:val="0"/>
              <w:suppressLineNumbers w:val="0"/>
              <w:spacing w:before="0" w:beforeAutospacing="0" w:after="0" w:afterAutospacing="0"/>
              <w:ind w:left="0" w:right="0"/>
              <w:rPr>
                <w:rFonts w:hint="eastAsia"/>
                <w:color w:val="auto"/>
                <w:highlight w:val="none"/>
                <w:lang w:val="en-US" w:eastAsia="zh-CN"/>
              </w:rPr>
            </w:pPr>
          </w:p>
          <w:p>
            <w:pPr>
              <w:pStyle w:val="27"/>
              <w:keepNext w:val="0"/>
              <w:keepLines w:val="0"/>
              <w:suppressLineNumbers w:val="0"/>
              <w:bidi w:val="0"/>
              <w:spacing w:before="0" w:beforeAutospacing="0" w:after="0" w:afterAutospacing="0"/>
              <w:ind w:left="0" w:right="0"/>
              <w:rPr>
                <w:rFonts w:hint="default"/>
                <w:color w:val="auto"/>
              </w:rPr>
            </w:pPr>
            <w:r>
              <w:rPr>
                <w:rFonts w:hint="default"/>
                <w:color w:val="auto"/>
              </w:rPr>
              <w:t>废气源强核算过程如下：</w:t>
            </w:r>
          </w:p>
          <w:p>
            <w:pPr>
              <w:pStyle w:val="25"/>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（1）抛丸粉尘</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本项目抛丸工序依托现有抛丸机处理。</w:t>
            </w:r>
          </w:p>
          <w:p>
            <w:pPr>
              <w:pStyle w:val="25"/>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default"/>
                <w:color w:val="auto"/>
                <w:highlight w:val="none"/>
              </w:rPr>
              <w:t>抛丸工序均产生粉尘，类比</w:t>
            </w:r>
            <w:r>
              <w:rPr>
                <w:rFonts w:hint="eastAsia"/>
                <w:color w:val="auto"/>
                <w:highlight w:val="none"/>
                <w:lang w:val="en-US" w:eastAsia="zh-CN"/>
              </w:rPr>
              <w:t>现有工程</w:t>
            </w:r>
            <w:r>
              <w:rPr>
                <w:rFonts w:hint="default"/>
                <w:color w:val="auto"/>
                <w:highlight w:val="none"/>
              </w:rPr>
              <w:t>，</w:t>
            </w:r>
            <w:r>
              <w:rPr>
                <w:rFonts w:hint="eastAsia"/>
                <w:color w:val="auto"/>
                <w:highlight w:val="none"/>
                <w:lang w:val="en-US" w:eastAsia="zh-CN"/>
              </w:rPr>
              <w:t>粉尘产生量约为2.78g/kg-产品</w:t>
            </w:r>
            <w:r>
              <w:rPr>
                <w:rFonts w:hint="default"/>
                <w:color w:val="auto"/>
                <w:highlight w:val="none"/>
              </w:rPr>
              <w:t>。</w:t>
            </w:r>
            <w:r>
              <w:rPr>
                <w:rFonts w:hint="eastAsia"/>
                <w:color w:val="auto"/>
                <w:highlight w:val="none"/>
              </w:rPr>
              <w:t>本项目</w:t>
            </w:r>
            <w:r>
              <w:rPr>
                <w:rFonts w:hint="eastAsia"/>
                <w:color w:val="auto"/>
                <w:highlight w:val="none"/>
                <w:lang w:val="en-US" w:eastAsia="zh-CN"/>
              </w:rPr>
              <w:t>新增2000t/a产品，则粉尘产生量5.56t/a</w:t>
            </w:r>
            <w:r>
              <w:rPr>
                <w:rFonts w:hint="eastAsia"/>
                <w:color w:val="auto"/>
                <w:highlight w:val="none"/>
              </w:rPr>
              <w:t>。</w:t>
            </w:r>
          </w:p>
          <w:p>
            <w:pPr>
              <w:pStyle w:val="25"/>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default"/>
                <w:color w:val="auto"/>
                <w:highlight w:val="none"/>
              </w:rPr>
              <w:t>通过抛丸机自带的</w:t>
            </w:r>
            <w:r>
              <w:rPr>
                <w:rFonts w:hint="eastAsia"/>
                <w:color w:val="auto"/>
                <w:highlight w:val="none"/>
                <w:lang w:val="en-US" w:eastAsia="zh-CN"/>
              </w:rPr>
              <w:t>旋风</w:t>
            </w:r>
            <w:r>
              <w:rPr>
                <w:rFonts w:hint="default"/>
                <w:color w:val="auto"/>
                <w:highlight w:val="none"/>
              </w:rPr>
              <w:t>除尘器处理后（处理效率9</w:t>
            </w:r>
            <w:r>
              <w:rPr>
                <w:rFonts w:hint="eastAsia"/>
                <w:color w:val="auto"/>
                <w:highlight w:val="none"/>
                <w:lang w:val="en-US" w:eastAsia="zh-CN"/>
              </w:rPr>
              <w:t>0</w:t>
            </w:r>
            <w:r>
              <w:rPr>
                <w:rFonts w:hint="default"/>
                <w:color w:val="auto"/>
                <w:highlight w:val="none"/>
              </w:rPr>
              <w:t>%），</w:t>
            </w:r>
            <w:r>
              <w:rPr>
                <w:rFonts w:hint="eastAsia"/>
                <w:color w:val="auto"/>
                <w:highlight w:val="none"/>
                <w:lang w:val="en-US" w:eastAsia="zh-CN"/>
              </w:rPr>
              <w:t>处理后通过19.5m高排气筒排放，则抛丸粉尘有组织排放量为0.556t/a</w:t>
            </w:r>
            <w:r>
              <w:rPr>
                <w:rFonts w:hint="eastAsia"/>
                <w:color w:val="auto"/>
                <w:highlight w:val="none"/>
                <w:lang w:eastAsia="zh-CN"/>
              </w:rPr>
              <w:t>。</w:t>
            </w:r>
            <w:r>
              <w:rPr>
                <w:rFonts w:hint="default"/>
                <w:color w:val="auto"/>
                <w:highlight w:val="none"/>
              </w:rPr>
              <w:t>被</w:t>
            </w:r>
            <w:r>
              <w:rPr>
                <w:rFonts w:hint="eastAsia"/>
                <w:color w:val="auto"/>
                <w:highlight w:val="none"/>
                <w:lang w:val="en-US" w:eastAsia="zh-CN"/>
              </w:rPr>
              <w:t>旋风</w:t>
            </w:r>
            <w:r>
              <w:rPr>
                <w:rFonts w:hint="default"/>
                <w:color w:val="auto"/>
                <w:highlight w:val="none"/>
              </w:rPr>
              <w:t>除尘器阻留沉降下来的粉尘由原料供应商回收利用。</w:t>
            </w:r>
            <w:r>
              <w:rPr>
                <w:rFonts w:hint="eastAsia"/>
                <w:color w:val="auto"/>
                <w:highlight w:val="none"/>
                <w:lang w:val="en-US" w:eastAsia="zh-CN"/>
              </w:rPr>
              <w:t>本次改扩建工程年工作4800h，则本项目新增抛丸粉尘排放情况如下表所示。</w:t>
            </w:r>
          </w:p>
          <w:p>
            <w:pPr>
              <w:pStyle w:val="22"/>
              <w:keepNext w:val="0"/>
              <w:keepLines w:val="0"/>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项目新增抛丸粉尘排放情况一览表</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本项目抛丸粉尘依托现有处理设施及排气筒排放，现有工程抛丸粉尘产生量为11.12t/a，风机风量为15000m</w:t>
            </w:r>
            <w:r>
              <w:rPr>
                <w:rFonts w:hint="eastAsia"/>
                <w:color w:val="auto"/>
                <w:vertAlign w:val="superscript"/>
                <w:lang w:val="en-US" w:eastAsia="zh-CN"/>
              </w:rPr>
              <w:t>3</w:t>
            </w:r>
            <w:r>
              <w:rPr>
                <w:rFonts w:hint="eastAsia"/>
                <w:color w:val="auto"/>
                <w:lang w:val="en-US" w:eastAsia="zh-CN"/>
              </w:rPr>
              <w:t>/h，年工作4800h，则扩建后全厂抛丸粉尘排放情况如下表所示。</w:t>
            </w:r>
          </w:p>
          <w:p>
            <w:pPr>
              <w:pStyle w:val="22"/>
              <w:keepNext w:val="0"/>
              <w:keepLines w:val="0"/>
              <w:suppressLineNumbers w:val="0"/>
              <w:bidi w:val="0"/>
              <w:spacing w:before="0" w:beforeAutospacing="0" w:after="0" w:afterAutospacing="0"/>
              <w:ind w:right="0"/>
              <w:rPr>
                <w:rFonts w:hint="eastAsia"/>
                <w:color w:val="auto"/>
                <w:lang w:val="en-US" w:eastAsia="zh-CN"/>
              </w:rPr>
            </w:pPr>
            <w:r>
              <w:rPr>
                <w:rFonts w:hint="eastAsia"/>
                <w:color w:val="auto"/>
                <w:lang w:val="en-US" w:eastAsia="zh-CN"/>
              </w:rPr>
              <w:t>项目全厂抛丸粉尘一览表</w:t>
            </w:r>
          </w:p>
          <w:p>
            <w:pPr>
              <w:pStyle w:val="25"/>
              <w:keepNext w:val="0"/>
              <w:keepLines w:val="0"/>
              <w:suppressLineNumbers w:val="0"/>
              <w:bidi w:val="0"/>
              <w:spacing w:before="0" w:beforeAutospacing="0" w:after="0" w:afterAutospacing="0"/>
              <w:ind w:left="0" w:right="0"/>
              <w:rPr>
                <w:rFonts w:hint="eastAsia"/>
                <w:color w:val="auto"/>
                <w:lang w:val="en-US" w:eastAsia="zh-CN"/>
              </w:rPr>
            </w:pP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（2）焊接烟尘</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rPr>
              <w:t>本项目焊接采用焊条，根据《焊接工作的劳动保护》中的相关资料，焊接烟尘产生量按平均</w:t>
            </w:r>
            <w:r>
              <w:rPr>
                <w:rFonts w:hint="default"/>
                <w:color w:val="auto"/>
              </w:rPr>
              <w:t>8g/kg</w:t>
            </w:r>
            <w:r>
              <w:rPr>
                <w:rFonts w:hint="eastAsia"/>
                <w:color w:val="auto"/>
              </w:rPr>
              <w:t>焊条计算</w:t>
            </w:r>
            <w:r>
              <w:rPr>
                <w:rFonts w:hint="eastAsia"/>
                <w:color w:val="auto"/>
                <w:lang w:eastAsia="zh-CN"/>
              </w:rPr>
              <w:t>。</w:t>
            </w:r>
            <w:r>
              <w:rPr>
                <w:rFonts w:hint="eastAsia"/>
                <w:color w:val="auto"/>
              </w:rPr>
              <w:t>本项目</w:t>
            </w:r>
            <w:r>
              <w:rPr>
                <w:rFonts w:hint="eastAsia"/>
                <w:color w:val="auto"/>
                <w:lang w:val="en-US" w:eastAsia="zh-CN"/>
              </w:rPr>
              <w:t>机加工焊条用量为0.1t/a，烟尘产生量0.8kg/a</w:t>
            </w:r>
            <w:r>
              <w:rPr>
                <w:rFonts w:hint="eastAsia"/>
                <w:color w:val="auto"/>
                <w:highlight w:val="none"/>
                <w:lang w:val="en-US" w:eastAsia="zh-CN"/>
              </w:rPr>
              <w:t>，经已有的移动式烟尘处理器处理后呈无组织排放</w:t>
            </w:r>
            <w:r>
              <w:rPr>
                <w:rFonts w:hint="eastAsia"/>
                <w:color w:val="auto"/>
              </w:rPr>
              <w:t>。</w:t>
            </w:r>
            <w:r>
              <w:rPr>
                <w:rFonts w:hint="eastAsia"/>
                <w:color w:val="auto"/>
                <w:lang w:val="en-US" w:eastAsia="zh-CN"/>
              </w:rPr>
              <w:t>因烟尘产生量较少，移动式烟尘处理器收集效率及处理效率较低，处理后的排放量以产生量计。项目年工作4800h，则焊接烟尘无组织排放速率为0.0002kg/h。、</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（3）其他废气</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下料过程会用到切削液润滑，此过程有可能切削液沾染到工件上，进入热处理工序，热处理工序加热温度为700~750℃，沾染的切削液会挥发产生有机废气。由于钢材下料后会停留一段时间，尽可能使沾染到工件上的切削液被收集，因此沾染的切削液基本不会随着工件进入到热处理工序，此部分邮寄废气忽略不计。</w:t>
            </w:r>
          </w:p>
          <w:p>
            <w:pPr>
              <w:pStyle w:val="5"/>
              <w:numPr>
                <w:ilvl w:val="2"/>
                <w:numId w:val="10"/>
              </w:numPr>
              <w:suppressLineNumbers w:val="0"/>
              <w:spacing w:before="0" w:beforeAutospacing="0" w:after="0" w:afterAutospacing="0"/>
              <w:ind w:right="0"/>
              <w:rPr>
                <w:rFonts w:hint="default"/>
                <w:color w:val="auto"/>
                <w:highlight w:val="none"/>
              </w:rPr>
            </w:pPr>
            <w:r>
              <w:rPr>
                <w:rFonts w:hint="eastAsia"/>
                <w:color w:val="auto"/>
                <w:highlight w:val="none"/>
              </w:rPr>
              <w:t>废气影响分析</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default"/>
                <w:color w:val="auto"/>
              </w:rPr>
              <w:t>根据福鼎市环境监测站统计的关于福鼎市20</w:t>
            </w:r>
            <w:r>
              <w:rPr>
                <w:rFonts w:hint="eastAsia"/>
                <w:color w:val="auto"/>
                <w:lang w:val="en-US" w:eastAsia="zh-CN"/>
              </w:rPr>
              <w:t>20</w:t>
            </w:r>
            <w:r>
              <w:rPr>
                <w:rFonts w:hint="default"/>
                <w:color w:val="auto"/>
              </w:rPr>
              <w:t>年的基本污染物的环境质量状况，项目所在区域环境空气质量属于达标区。根据废气污染源分析，项目各废气污染源经采取相应的处理措施后，</w:t>
            </w:r>
            <w:r>
              <w:rPr>
                <w:rFonts w:hint="eastAsia"/>
                <w:color w:val="auto"/>
                <w:lang w:val="en-US" w:eastAsia="zh-CN"/>
              </w:rPr>
              <w:t>颗粒物排放可满足</w:t>
            </w:r>
            <w:r>
              <w:rPr>
                <w:rFonts w:hint="eastAsia"/>
                <w:color w:val="auto"/>
                <w:highlight w:val="none"/>
                <w:lang w:val="en-US" w:eastAsia="zh-CN"/>
              </w:rPr>
              <w:t>《大气污染物综合排放标》（GB16297-1996）表</w:t>
            </w:r>
            <w:r>
              <w:rPr>
                <w:rFonts w:hint="default"/>
                <w:color w:val="auto"/>
                <w:highlight w:val="none"/>
                <w:lang w:val="en-US" w:eastAsia="zh-CN"/>
              </w:rPr>
              <w:t>2</w:t>
            </w:r>
            <w:r>
              <w:rPr>
                <w:rFonts w:hint="eastAsia"/>
                <w:color w:val="auto"/>
                <w:highlight w:val="none"/>
                <w:lang w:val="en-US" w:eastAsia="zh-CN"/>
              </w:rPr>
              <w:t>标准限值要求</w:t>
            </w:r>
            <w:r>
              <w:rPr>
                <w:rFonts w:hint="eastAsia"/>
                <w:color w:val="auto"/>
                <w:lang w:val="en-US" w:eastAsia="zh-CN"/>
              </w:rPr>
              <w:t>。</w:t>
            </w:r>
          </w:p>
          <w:p>
            <w:pPr>
              <w:pStyle w:val="25"/>
              <w:keepNext w:val="0"/>
              <w:keepLines w:val="0"/>
              <w:suppressLineNumbers w:val="0"/>
              <w:bidi w:val="0"/>
              <w:spacing w:before="0" w:beforeAutospacing="0" w:after="0" w:afterAutospacing="0"/>
              <w:ind w:left="0" w:right="0"/>
              <w:rPr>
                <w:rFonts w:hint="eastAsia"/>
                <w:color w:val="auto"/>
              </w:rPr>
            </w:pPr>
            <w:r>
              <w:rPr>
                <w:rFonts w:hint="default"/>
                <w:color w:val="auto"/>
              </w:rPr>
              <w:t>项目各项废气经收集处理后，均可达相应废气排放标准要求，在切实落实好大气防治措施的情况下，项目废气排放对周边环境影响较小，因此从大气影响角度看项目对周边的影响在可接受范围内。</w:t>
            </w:r>
          </w:p>
          <w:p>
            <w:pPr>
              <w:pStyle w:val="5"/>
              <w:numPr>
                <w:ilvl w:val="2"/>
                <w:numId w:val="10"/>
              </w:numPr>
              <w:suppressLineNumbers w:val="0"/>
              <w:spacing w:before="0" w:beforeAutospacing="0" w:after="0" w:afterAutospacing="0"/>
              <w:ind w:right="0"/>
              <w:rPr>
                <w:rFonts w:hint="default"/>
                <w:color w:val="auto"/>
                <w:highlight w:val="none"/>
              </w:rPr>
            </w:pPr>
            <w:r>
              <w:rPr>
                <w:rFonts w:hint="eastAsia"/>
                <w:color w:val="auto"/>
                <w:highlight w:val="none"/>
              </w:rPr>
              <w:t>废</w:t>
            </w:r>
            <w:r>
              <w:rPr>
                <w:rFonts w:hint="default"/>
                <w:color w:val="auto"/>
                <w:highlight w:val="none"/>
              </w:rPr>
              <w:t>气污染防治措施</w:t>
            </w:r>
            <w:r>
              <w:rPr>
                <w:rFonts w:hint="eastAsia"/>
                <w:color w:val="auto"/>
                <w:highlight w:val="none"/>
              </w:rPr>
              <w:t>及其可行性</w:t>
            </w:r>
          </w:p>
          <w:p>
            <w:pPr>
              <w:pStyle w:val="25"/>
              <w:keepNext w:val="0"/>
              <w:keepLines w:val="0"/>
              <w:numPr>
                <w:ilvl w:val="0"/>
                <w:numId w:val="11"/>
              </w:numPr>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抛丸粉尘防治措施</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本项目抛丸粉尘采用抛丸机自带的旋风除尘系统处理，处理后经19.5m排气筒排放。</w:t>
            </w:r>
          </w:p>
          <w:p>
            <w:pPr>
              <w:pStyle w:val="25"/>
              <w:keepNext w:val="0"/>
              <w:keepLines w:val="0"/>
              <w:numPr>
                <w:ilvl w:val="0"/>
                <w:numId w:val="11"/>
              </w:numPr>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旋风除尘器除尘原理</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旋风除尘器的工作原理：</w:t>
            </w:r>
            <w:r>
              <w:rPr>
                <w:rFonts w:hint="eastAsia"/>
                <w:color w:val="auto"/>
                <w:lang w:val="en-US" w:eastAsia="zh-CN"/>
              </w:rPr>
              <w:t>含尘气体从入口导入除尘器的外壳和排气管之间，形成旋转向下的外旋流</w:t>
            </w:r>
            <w:r>
              <w:rPr>
                <w:rFonts w:hint="default"/>
                <w:color w:val="auto"/>
              </w:rPr>
              <w:t>。而粉尘颗粒也因此会受离心力的作用从气流中分离出来，再受重力作用沿壁落入灰斗，接着气体便会沿着排出管旋转向上从排出管排出。</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default"/>
                <w:color w:val="auto"/>
                <w:lang w:val="en-US" w:eastAsia="zh-CN"/>
              </w:rPr>
              <w:t>应用范围及特点</w:t>
            </w:r>
            <w:r>
              <w:rPr>
                <w:rFonts w:hint="eastAsia"/>
                <w:color w:val="auto"/>
                <w:lang w:val="en-US" w:eastAsia="zh-CN"/>
              </w:rPr>
              <w:t>：</w:t>
            </w:r>
            <w:r>
              <w:rPr>
                <w:rFonts w:hint="default"/>
                <w:color w:val="auto"/>
                <w:lang w:val="en-US" w:eastAsia="zh-CN"/>
              </w:rPr>
              <w:t>旋风除尘器适用于净化大于5~10微米的非粘性、非纤维的干燥粉尘。它是一种结构简单、操作方便、耐高温、设备费用和阻力较低(80~160亳米水柱)的净化设备，旋风除尘器在净化设备中应用得最为广泛。</w:t>
            </w:r>
          </w:p>
          <w:p>
            <w:pPr>
              <w:pStyle w:val="23"/>
              <w:keepNext w:val="0"/>
              <w:keepLines w:val="0"/>
              <w:suppressLineNumbers w:val="0"/>
              <w:bidi w:val="0"/>
              <w:spacing w:before="0" w:beforeAutospacing="0" w:after="0" w:afterAutospacing="0"/>
              <w:ind w:right="0"/>
              <w:rPr>
                <w:rFonts w:hint="default"/>
                <w:color w:val="auto"/>
              </w:rPr>
            </w:pPr>
          </w:p>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lang w:val="en-US" w:eastAsia="zh-CN"/>
              </w:rPr>
            </w:pPr>
            <w:r>
              <w:rPr>
                <w:rFonts w:hint="eastAsia"/>
                <w:color w:val="auto"/>
                <w:lang w:val="en-US" w:eastAsia="zh-CN"/>
              </w:rPr>
              <w:t>旋风除尘器结构示意图</w:t>
            </w:r>
          </w:p>
          <w:p>
            <w:pPr>
              <w:pStyle w:val="25"/>
              <w:keepNext w:val="0"/>
              <w:keepLines w:val="0"/>
              <w:numPr>
                <w:ilvl w:val="0"/>
                <w:numId w:val="11"/>
              </w:numPr>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达标分析</w:t>
            </w:r>
          </w:p>
          <w:p>
            <w:pPr>
              <w:pStyle w:val="25"/>
              <w:keepNext w:val="0"/>
              <w:keepLines w:val="0"/>
              <w:suppressLineNumbers w:val="0"/>
              <w:spacing w:before="0" w:beforeAutospacing="0" w:after="0" w:afterAutospacing="0"/>
              <w:ind w:left="0" w:right="0" w:firstLine="480"/>
              <w:rPr>
                <w:rFonts w:hint="default"/>
                <w:color w:val="auto"/>
                <w:highlight w:val="none"/>
                <w:lang w:val="en-US" w:eastAsia="zh-CN"/>
              </w:rPr>
            </w:pPr>
            <w:r>
              <w:rPr>
                <w:rFonts w:hint="eastAsia"/>
                <w:color w:val="auto"/>
                <w:highlight w:val="none"/>
                <w:lang w:val="en-US" w:eastAsia="zh-CN"/>
              </w:rPr>
              <w:t>根据上述分析，本次改扩建项目产生的抛丸粉尘经现有的处理设施处理后同现有工程于一根排气筒排放，排放浓度为23.17mg/m</w:t>
            </w:r>
            <w:r>
              <w:rPr>
                <w:rFonts w:hint="eastAsia"/>
                <w:color w:val="auto"/>
                <w:highlight w:val="none"/>
                <w:vertAlign w:val="superscript"/>
                <w:lang w:val="en-US" w:eastAsia="zh-CN"/>
              </w:rPr>
              <w:t>3</w:t>
            </w:r>
            <w:r>
              <w:rPr>
                <w:rFonts w:hint="eastAsia"/>
                <w:color w:val="auto"/>
                <w:highlight w:val="none"/>
                <w:lang w:val="en-US" w:eastAsia="zh-CN"/>
              </w:rPr>
              <w:t>（含现有工程），满足《大气污染物综合排放标》（GB16297-1996）表</w:t>
            </w:r>
            <w:r>
              <w:rPr>
                <w:rFonts w:hint="default"/>
                <w:color w:val="auto"/>
                <w:highlight w:val="none"/>
                <w:lang w:val="en-US" w:eastAsia="zh-CN"/>
              </w:rPr>
              <w:t>2</w:t>
            </w:r>
            <w:r>
              <w:rPr>
                <w:rFonts w:hint="eastAsia"/>
                <w:color w:val="auto"/>
                <w:highlight w:val="none"/>
                <w:lang w:val="en-US" w:eastAsia="zh-CN"/>
              </w:rPr>
              <w:t>标准限值要求</w:t>
            </w:r>
            <w:r>
              <w:rPr>
                <w:rFonts w:hint="eastAsia"/>
                <w:color w:val="auto"/>
                <w:lang w:val="en-US" w:eastAsia="zh-CN"/>
              </w:rPr>
              <w:t>（颗粒物排放浓度≤120</w:t>
            </w:r>
            <w:r>
              <w:rPr>
                <w:rFonts w:hint="eastAsia"/>
                <w:color w:val="auto"/>
                <w:highlight w:val="none"/>
                <w:lang w:val="en-US" w:eastAsia="zh-CN"/>
              </w:rPr>
              <w:t>mg/m</w:t>
            </w:r>
            <w:r>
              <w:rPr>
                <w:rFonts w:hint="eastAsia"/>
                <w:color w:val="auto"/>
                <w:highlight w:val="none"/>
                <w:vertAlign w:val="superscript"/>
                <w:lang w:val="en-US" w:eastAsia="zh-CN"/>
              </w:rPr>
              <w:t>3</w:t>
            </w:r>
            <w:r>
              <w:rPr>
                <w:rFonts w:hint="eastAsia"/>
                <w:color w:val="auto"/>
                <w:lang w:val="en-US" w:eastAsia="zh-CN"/>
              </w:rPr>
              <w:t>）。</w:t>
            </w:r>
          </w:p>
          <w:p>
            <w:pPr>
              <w:pStyle w:val="25"/>
              <w:keepNext w:val="0"/>
              <w:keepLines w:val="0"/>
              <w:suppressLineNumbers w:val="0"/>
              <w:spacing w:before="0" w:beforeAutospacing="0" w:after="0" w:afterAutospacing="0"/>
              <w:ind w:left="0" w:right="0" w:firstLine="480"/>
              <w:rPr>
                <w:rFonts w:hint="eastAsia"/>
                <w:color w:val="auto"/>
                <w:highlight w:val="none"/>
                <w:lang w:val="en-US" w:eastAsia="zh-CN"/>
              </w:rPr>
            </w:pPr>
            <w:r>
              <w:rPr>
                <w:rFonts w:hint="eastAsia"/>
                <w:color w:val="auto"/>
                <w:highlight w:val="none"/>
                <w:lang w:val="en-US" w:eastAsia="zh-CN"/>
              </w:rPr>
              <w:t>参照</w:t>
            </w:r>
            <w:r>
              <w:rPr>
                <w:rFonts w:hint="default"/>
                <w:color w:val="auto"/>
                <w:highlight w:val="none"/>
              </w:rPr>
              <w:t>《排污许可证申请与核发技术规范 金属铸造工业》（HJ1115-2020），</w:t>
            </w:r>
            <w:r>
              <w:rPr>
                <w:rFonts w:hint="eastAsia"/>
                <w:color w:val="auto"/>
                <w:highlight w:val="none"/>
                <w:lang w:val="en-US" w:eastAsia="zh-CN"/>
              </w:rPr>
              <w:t>抛丸产生的颗粒物采用旋风</w:t>
            </w:r>
            <w:r>
              <w:rPr>
                <w:rFonts w:hint="default"/>
                <w:color w:val="auto"/>
                <w:highlight w:val="none"/>
              </w:rPr>
              <w:t>除尘器除尘为废气防治可行技术</w:t>
            </w:r>
            <w:r>
              <w:rPr>
                <w:rFonts w:hint="eastAsia"/>
                <w:color w:val="auto"/>
                <w:highlight w:val="none"/>
                <w:lang w:eastAsia="zh-CN"/>
              </w:rPr>
              <w:t>。</w:t>
            </w:r>
            <w:r>
              <w:rPr>
                <w:rFonts w:hint="eastAsia"/>
                <w:color w:val="auto"/>
                <w:highlight w:val="none"/>
                <w:lang w:val="en-US" w:eastAsia="zh-CN"/>
              </w:rPr>
              <w:t>因此，本项目废气治理措施有效可行。</w:t>
            </w:r>
          </w:p>
          <w:p>
            <w:pPr>
              <w:pStyle w:val="5"/>
              <w:suppressLineNumbers w:val="0"/>
              <w:bidi w:val="0"/>
              <w:spacing w:before="0" w:beforeAutospacing="0" w:after="0" w:afterAutospacing="0"/>
              <w:ind w:right="0"/>
              <w:rPr>
                <w:rFonts w:hint="default"/>
                <w:color w:val="auto"/>
                <w:lang w:val="en-US" w:eastAsia="zh-CN"/>
              </w:rPr>
            </w:pPr>
            <w:r>
              <w:rPr>
                <w:rFonts w:hint="eastAsia"/>
                <w:color w:val="auto"/>
                <w:lang w:val="en-US" w:eastAsia="zh-CN"/>
              </w:rPr>
              <w:t>污染源监测计划</w:t>
            </w:r>
          </w:p>
          <w:p>
            <w:pPr>
              <w:keepNext w:val="0"/>
              <w:keepLines w:val="0"/>
              <w:suppressLineNumbers w:val="0"/>
              <w:spacing w:before="0" w:beforeAutospacing="0" w:after="0" w:afterAutospacing="0"/>
              <w:ind w:left="0" w:right="0"/>
              <w:rPr>
                <w:rFonts w:hint="eastAsia"/>
                <w:color w:val="auto"/>
                <w:lang w:val="en-US" w:eastAsia="zh-CN"/>
              </w:rPr>
            </w:pPr>
          </w:p>
          <w:p>
            <w:pPr>
              <w:pStyle w:val="2"/>
              <w:keepNext w:val="0"/>
              <w:keepLines w:val="0"/>
              <w:suppressLineNumbers w:val="0"/>
              <w:spacing w:before="0" w:beforeAutospacing="0" w:after="0" w:afterAutospacing="0"/>
              <w:ind w:left="0" w:right="0"/>
              <w:rPr>
                <w:rFonts w:hint="default"/>
                <w:lang w:val="en-US" w:eastAsia="zh-CN"/>
              </w:rPr>
            </w:pPr>
          </w:p>
          <w:p>
            <w:pPr>
              <w:pStyle w:val="22"/>
              <w:keepNext w:val="0"/>
              <w:keepLines w:val="0"/>
              <w:suppressLineNumbers w:val="0"/>
              <w:bidi w:val="0"/>
              <w:spacing w:before="0" w:beforeAutospacing="0" w:after="0" w:afterAutospacing="0"/>
              <w:ind w:right="0"/>
              <w:rPr>
                <w:rFonts w:hint="default"/>
                <w:color w:val="auto"/>
              </w:rPr>
            </w:pPr>
            <w:r>
              <w:rPr>
                <w:rFonts w:hint="default"/>
                <w:color w:val="auto"/>
              </w:rPr>
              <w:t>项目废气自行监测要求一览表</w:t>
            </w:r>
          </w:p>
          <w:p>
            <w:pPr>
              <w:pStyle w:val="25"/>
              <w:keepNext w:val="0"/>
              <w:keepLines w:val="0"/>
              <w:suppressLineNumbers w:val="0"/>
              <w:bidi w:val="0"/>
              <w:spacing w:before="0" w:beforeAutospacing="0" w:after="0" w:afterAutospacing="0"/>
              <w:ind w:left="0" w:right="0"/>
              <w:rPr>
                <w:rFonts w:hint="default"/>
                <w:color w:val="auto"/>
                <w:lang w:val="en-US" w:eastAsia="zh-CN"/>
              </w:rPr>
            </w:pPr>
          </w:p>
          <w:p>
            <w:pPr>
              <w:pStyle w:val="4"/>
              <w:keepNext w:val="0"/>
              <w:keepLines w:val="0"/>
              <w:numPr>
                <w:ilvl w:val="1"/>
                <w:numId w:val="10"/>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废水</w:t>
            </w:r>
          </w:p>
          <w:p>
            <w:pPr>
              <w:pStyle w:val="5"/>
              <w:numPr>
                <w:ilvl w:val="2"/>
                <w:numId w:val="10"/>
              </w:numPr>
              <w:suppressLineNumbers w:val="0"/>
              <w:spacing w:before="0" w:beforeAutospacing="0" w:after="0" w:afterAutospacing="0"/>
              <w:ind w:right="0"/>
              <w:rPr>
                <w:rFonts w:hint="default"/>
                <w:color w:val="auto"/>
                <w:highlight w:val="none"/>
              </w:rPr>
            </w:pPr>
            <w:r>
              <w:rPr>
                <w:rFonts w:hint="default"/>
                <w:color w:val="auto"/>
                <w:highlight w:val="none"/>
              </w:rPr>
              <w:t>废水污染源强分析</w:t>
            </w:r>
          </w:p>
          <w:p>
            <w:pPr>
              <w:pStyle w:val="25"/>
              <w:keepNext w:val="0"/>
              <w:keepLines w:val="0"/>
              <w:suppressLineNumbers w:val="0"/>
              <w:bidi w:val="0"/>
              <w:spacing w:before="0" w:beforeAutospacing="0" w:after="0" w:afterAutospacing="0"/>
              <w:ind w:left="0" w:right="0"/>
              <w:rPr>
                <w:rFonts w:hint="default"/>
                <w:color w:val="auto"/>
                <w:lang w:val="en-US"/>
              </w:rPr>
            </w:pPr>
            <w:bookmarkStart w:id="34" w:name="_Ref24577"/>
            <w:r>
              <w:rPr>
                <w:rFonts w:hint="default"/>
                <w:color w:val="auto"/>
                <w:lang w:val="en-US"/>
              </w:rPr>
              <w:t>项目排水实行“清污分流、雨污分流”的原则，项目产生的废水主要为</w:t>
            </w:r>
            <w:r>
              <w:rPr>
                <w:rFonts w:hint="eastAsia"/>
                <w:color w:val="auto"/>
                <w:lang w:val="en-US" w:eastAsia="zh-CN"/>
              </w:rPr>
              <w:t>冷却</w:t>
            </w:r>
            <w:r>
              <w:rPr>
                <w:rFonts w:hint="default"/>
                <w:color w:val="auto"/>
                <w:lang w:val="en-US"/>
              </w:rPr>
              <w:t>水和职工生活污水。</w:t>
            </w:r>
            <w:r>
              <w:rPr>
                <w:rFonts w:hint="eastAsia"/>
                <w:color w:val="auto"/>
                <w:lang w:val="en-US" w:eastAsia="zh-CN"/>
              </w:rPr>
              <w:t>冷却水经冷却池沉淀后循环使用，不外排</w:t>
            </w:r>
            <w:r>
              <w:rPr>
                <w:rFonts w:hint="default"/>
                <w:color w:val="auto"/>
                <w:lang w:val="en-US"/>
              </w:rPr>
              <w:t>；职工生活污水经</w:t>
            </w:r>
            <w:r>
              <w:rPr>
                <w:rFonts w:hint="default"/>
                <w:color w:val="auto"/>
              </w:rPr>
              <w:t>化粪池</w:t>
            </w:r>
            <w:r>
              <w:rPr>
                <w:rFonts w:hint="default"/>
                <w:color w:val="auto"/>
                <w:lang w:val="en-US"/>
              </w:rPr>
              <w:t>处理后排入</w:t>
            </w:r>
            <w:r>
              <w:rPr>
                <w:rFonts w:hint="eastAsia"/>
                <w:color w:val="auto"/>
                <w:lang w:val="en-US" w:eastAsia="zh-CN"/>
              </w:rPr>
              <w:t>文渡</w:t>
            </w:r>
            <w:r>
              <w:rPr>
                <w:rFonts w:hint="default"/>
                <w:color w:val="auto"/>
                <w:lang w:val="en-US"/>
              </w:rPr>
              <w:t>污水处理厂处理。</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项目治理设施、废水污染物排放口、排放口基本情况及监测要求如下表所示。</w:t>
            </w:r>
          </w:p>
          <w:p>
            <w:pPr>
              <w:pStyle w:val="22"/>
              <w:keepNext w:val="0"/>
              <w:keepLines w:val="0"/>
              <w:suppressLineNumbers w:val="0"/>
              <w:bidi w:val="0"/>
              <w:spacing w:before="0" w:beforeAutospacing="0" w:after="0" w:afterAutospacing="0"/>
              <w:ind w:right="0"/>
              <w:rPr>
                <w:rFonts w:hint="eastAsia"/>
                <w:color w:val="auto"/>
                <w:lang w:val="en-US" w:eastAsia="zh-CN"/>
              </w:rPr>
            </w:pPr>
            <w:r>
              <w:rPr>
                <w:rFonts w:hint="default"/>
                <w:color w:val="auto"/>
              </w:rPr>
              <w:t>项目废水治理设施一览表</w:t>
            </w:r>
          </w:p>
          <w:p>
            <w:pPr>
              <w:pStyle w:val="22"/>
              <w:keepNext w:val="0"/>
              <w:keepLines w:val="0"/>
              <w:suppressLineNumbers w:val="0"/>
              <w:spacing w:before="0" w:beforeAutospacing="0" w:after="0" w:afterAutospacing="0"/>
              <w:ind w:left="0" w:right="0"/>
              <w:rPr>
                <w:rFonts w:hint="default" w:eastAsia="宋体" w:cs="Times New Roman"/>
                <w:color w:val="auto"/>
              </w:rPr>
            </w:pPr>
            <w:r>
              <w:rPr>
                <w:rFonts w:hint="eastAsia" w:cs="Times New Roman"/>
                <w:color w:val="auto"/>
                <w:lang w:val="en-US" w:eastAsia="zh-CN"/>
              </w:rPr>
              <w:t>改扩</w:t>
            </w:r>
            <w:r>
              <w:rPr>
                <w:rFonts w:hint="default" w:eastAsia="宋体" w:cs="Times New Roman"/>
                <w:color w:val="auto"/>
              </w:rPr>
              <w:t>建工程水污染物排放源一览表</w:t>
            </w:r>
          </w:p>
          <w:p>
            <w:pPr>
              <w:pStyle w:val="22"/>
              <w:keepNext w:val="0"/>
              <w:keepLines w:val="0"/>
              <w:suppressLineNumbers w:val="0"/>
              <w:spacing w:before="0" w:beforeAutospacing="0" w:after="0" w:afterAutospacing="0"/>
              <w:ind w:left="0" w:right="0"/>
              <w:rPr>
                <w:rFonts w:hint="default" w:eastAsia="宋体" w:cs="Times New Roman"/>
                <w:color w:val="auto"/>
              </w:rPr>
            </w:pPr>
            <w:r>
              <w:rPr>
                <w:rFonts w:hint="default" w:eastAsia="宋体" w:cs="Times New Roman"/>
                <w:color w:val="auto"/>
              </w:rPr>
              <w:t>项目排放口基本情况一览表</w:t>
            </w:r>
          </w:p>
          <w:bookmarkEnd w:id="34"/>
          <w:p>
            <w:pPr>
              <w:pStyle w:val="25"/>
              <w:keepNext w:val="0"/>
              <w:keepLines w:val="0"/>
              <w:numPr>
                <w:ilvl w:val="0"/>
                <w:numId w:val="0"/>
              </w:numPr>
              <w:suppressLineNumbers w:val="0"/>
              <w:bidi w:val="0"/>
              <w:spacing w:before="0" w:beforeAutospacing="0" w:after="0" w:afterAutospacing="0"/>
              <w:ind w:left="420" w:leftChars="200" w:right="0"/>
              <w:rPr>
                <w:rFonts w:hint="default"/>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default"/>
                <w:color w:val="auto"/>
              </w:rPr>
              <w:t>生活污水</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本项目生活污水产生量为生活用水的80%，则生活污水产生量为</w:t>
            </w:r>
            <w:r>
              <w:rPr>
                <w:rFonts w:hint="eastAsia"/>
                <w:color w:val="auto"/>
                <w:highlight w:val="none"/>
                <w:lang w:val="en-US" w:eastAsia="zh-CN"/>
              </w:rPr>
              <w:t>360</w:t>
            </w:r>
            <w:r>
              <w:rPr>
                <w:rFonts w:hint="default"/>
                <w:color w:val="auto"/>
                <w:highlight w:val="none"/>
              </w:rPr>
              <w:t>t/a(</w:t>
            </w:r>
            <w:r>
              <w:rPr>
                <w:rFonts w:hint="eastAsia"/>
                <w:color w:val="auto"/>
                <w:highlight w:val="none"/>
                <w:lang w:val="en-US" w:eastAsia="zh-CN"/>
              </w:rPr>
              <w:t>1.2</w:t>
            </w:r>
            <w:r>
              <w:rPr>
                <w:rFonts w:hint="default"/>
                <w:color w:val="auto"/>
                <w:highlight w:val="none"/>
              </w:rPr>
              <w:t>t/d)，</w:t>
            </w:r>
            <w:r>
              <w:rPr>
                <w:rFonts w:hint="eastAsia"/>
                <w:color w:val="auto"/>
                <w:highlight w:val="none"/>
              </w:rPr>
              <w:t>参考</w:t>
            </w:r>
            <w:r>
              <w:rPr>
                <w:rFonts w:hint="default"/>
                <w:color w:val="auto"/>
                <w:highlight w:val="none"/>
              </w:rPr>
              <w:t>根据《给排水设计手册》(第五册城镇排水)典型生活污水水质示例，本环评项目生活污水中主要污染指标浓度取值为COD 400mg/L、BOD</w:t>
            </w:r>
            <w:r>
              <w:rPr>
                <w:rFonts w:hint="default"/>
                <w:color w:val="auto"/>
                <w:highlight w:val="none"/>
                <w:vertAlign w:val="subscript"/>
              </w:rPr>
              <w:t>5</w:t>
            </w:r>
            <w:r>
              <w:rPr>
                <w:rFonts w:hint="default"/>
                <w:color w:val="auto"/>
                <w:highlight w:val="none"/>
              </w:rPr>
              <w:t xml:space="preserve"> 200mg/L、SS</w:t>
            </w:r>
            <w:r>
              <w:rPr>
                <w:rFonts w:hint="eastAsia"/>
                <w:color w:val="auto"/>
                <w:highlight w:val="none"/>
              </w:rPr>
              <w:t xml:space="preserve"> </w:t>
            </w:r>
            <w:r>
              <w:rPr>
                <w:rFonts w:hint="default"/>
                <w:color w:val="auto"/>
                <w:highlight w:val="none"/>
              </w:rPr>
              <w:t>220mg/L、氨氮35mg/L，生活污水经化粪池处理达《污水综合排放标准》（GB8978-1996）表4中三级标准（其中氨氮执行《污水排入城镇下水道水质标准》（GBT31962-2015）表1的B等级标准）后接入</w:t>
            </w:r>
            <w:r>
              <w:rPr>
                <w:rFonts w:hint="eastAsia"/>
                <w:color w:val="auto"/>
                <w:highlight w:val="none"/>
                <w:lang w:val="en-US" w:eastAsia="zh-CN"/>
              </w:rPr>
              <w:t>市</w:t>
            </w:r>
            <w:r>
              <w:rPr>
                <w:rFonts w:hint="default"/>
                <w:color w:val="auto"/>
                <w:highlight w:val="none"/>
              </w:rPr>
              <w:t>政污水管网，排入福鼎市文渡污水处理厂处理后排入滞洪区；</w:t>
            </w:r>
            <w:r>
              <w:rPr>
                <w:rFonts w:hint="eastAsia"/>
                <w:color w:val="auto"/>
                <w:highlight w:val="none"/>
              </w:rPr>
              <w:t>参考环评手册中《常用污水处理设备及去除率》，化粪池</w:t>
            </w:r>
            <w:r>
              <w:rPr>
                <w:rFonts w:hint="default"/>
                <w:color w:val="auto"/>
                <w:highlight w:val="none"/>
              </w:rPr>
              <w:t>对生活污水的处理效率一般为COD：15%、BOD</w:t>
            </w:r>
            <w:r>
              <w:rPr>
                <w:rFonts w:hint="default"/>
                <w:color w:val="auto"/>
                <w:highlight w:val="none"/>
                <w:vertAlign w:val="subscript"/>
              </w:rPr>
              <w:t>5</w:t>
            </w:r>
            <w:r>
              <w:rPr>
                <w:rFonts w:hint="default"/>
                <w:color w:val="auto"/>
                <w:highlight w:val="none"/>
              </w:rPr>
              <w:t>：9%、SS：30%、氨氮：3%，则生活污水产生量及排放量见</w:t>
            </w:r>
            <w:r>
              <w:rPr>
                <w:rFonts w:hint="eastAsia"/>
                <w:color w:val="auto"/>
                <w:highlight w:val="none"/>
                <w:lang w:val="en-US" w:eastAsia="zh-CN"/>
              </w:rPr>
              <w:t>上表</w:t>
            </w:r>
            <w:r>
              <w:rPr>
                <w:rFonts w:hint="default"/>
                <w:color w:val="auto"/>
                <w:highlight w:val="none"/>
              </w:rPr>
              <w:t>。</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default"/>
                <w:color w:val="auto"/>
              </w:rPr>
              <w:t>生产废水</w:t>
            </w:r>
          </w:p>
          <w:p>
            <w:pPr>
              <w:pStyle w:val="25"/>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项目生产用水主要为</w:t>
            </w:r>
            <w:r>
              <w:rPr>
                <w:rFonts w:hint="eastAsia"/>
                <w:color w:val="auto"/>
              </w:rPr>
              <w:t>铸件热处理工序淬火用水，</w:t>
            </w:r>
            <w:r>
              <w:rPr>
                <w:rFonts w:hint="eastAsia"/>
                <w:color w:val="auto"/>
                <w:lang w:val="en-US" w:eastAsia="zh-CN"/>
              </w:rPr>
              <w:t>类比现有工程</w:t>
            </w:r>
            <w:r>
              <w:rPr>
                <w:rFonts w:hint="eastAsia"/>
                <w:color w:val="auto"/>
              </w:rPr>
              <w:t>，该工序用水约50kg/t-产品，即100t/a（0.3</w:t>
            </w:r>
            <w:r>
              <w:rPr>
                <w:rFonts w:hint="eastAsia"/>
                <w:color w:val="auto"/>
                <w:lang w:val="en-US" w:eastAsia="zh-CN"/>
              </w:rPr>
              <w:t>3</w:t>
            </w:r>
            <w:r>
              <w:rPr>
                <w:rFonts w:hint="eastAsia"/>
                <w:color w:val="auto"/>
              </w:rPr>
              <w:t>t/d），其中10%消耗，损失量0.038 t/d，补充新鲜水0.03</w:t>
            </w:r>
            <w:r>
              <w:rPr>
                <w:rFonts w:hint="eastAsia"/>
                <w:color w:val="auto"/>
                <w:lang w:val="en-US" w:eastAsia="zh-CN"/>
              </w:rPr>
              <w:t>3</w:t>
            </w:r>
            <w:r>
              <w:rPr>
                <w:rFonts w:hint="eastAsia"/>
                <w:color w:val="auto"/>
              </w:rPr>
              <w:t xml:space="preserve"> t/d（新增补水量</w:t>
            </w:r>
            <w:r>
              <w:rPr>
                <w:rFonts w:hint="eastAsia"/>
                <w:color w:val="auto"/>
                <w:lang w:val="en-US" w:eastAsia="zh-CN"/>
              </w:rPr>
              <w:t>10</w:t>
            </w:r>
            <w:r>
              <w:rPr>
                <w:rFonts w:hint="eastAsia"/>
                <w:color w:val="auto"/>
              </w:rPr>
              <w:t>t/a），这部分水循环使用，不外排</w:t>
            </w:r>
            <w:r>
              <w:rPr>
                <w:rFonts w:hint="eastAsia"/>
                <w:color w:val="auto"/>
                <w:lang w:val="en-US" w:eastAsia="zh-CN"/>
              </w:rPr>
              <w:t>。</w:t>
            </w:r>
          </w:p>
          <w:p>
            <w:pPr>
              <w:pStyle w:val="5"/>
              <w:numPr>
                <w:ilvl w:val="2"/>
                <w:numId w:val="10"/>
              </w:numPr>
              <w:suppressLineNumbers w:val="0"/>
              <w:tabs>
                <w:tab w:val="left" w:pos="420"/>
              </w:tabs>
              <w:spacing w:before="0" w:beforeAutospacing="0" w:after="0" w:afterAutospacing="0"/>
              <w:ind w:right="0"/>
              <w:rPr>
                <w:rFonts w:hint="default"/>
                <w:color w:val="auto"/>
                <w:highlight w:val="none"/>
              </w:rPr>
            </w:pPr>
            <w:bookmarkStart w:id="35" w:name="_Toc30935"/>
            <w:bookmarkStart w:id="36" w:name="_Toc27142"/>
            <w:bookmarkStart w:id="37" w:name="_Toc21303"/>
            <w:bookmarkStart w:id="38" w:name="_Toc15952"/>
            <w:r>
              <w:rPr>
                <w:rFonts w:hint="eastAsia"/>
                <w:color w:val="auto"/>
                <w:highlight w:val="none"/>
                <w:lang w:val="en-US" w:eastAsia="zh-CN"/>
              </w:rPr>
              <w:t>废水防治措施及其可行性</w:t>
            </w:r>
            <w:bookmarkEnd w:id="35"/>
            <w:bookmarkEnd w:id="36"/>
            <w:bookmarkEnd w:id="37"/>
            <w:bookmarkEnd w:id="38"/>
            <w:r>
              <w:rPr>
                <w:rFonts w:hint="eastAsia"/>
                <w:color w:val="auto"/>
                <w:highlight w:val="none"/>
              </w:rPr>
              <w:t>分析</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生活污水</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①</w:t>
            </w:r>
            <w:r>
              <w:rPr>
                <w:rFonts w:hint="default"/>
                <w:color w:val="auto"/>
              </w:rPr>
              <w:t>治理措施</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本项目员工生活污水经厂区三级化粪池处理后，排入</w:t>
            </w:r>
            <w:r>
              <w:rPr>
                <w:rFonts w:hint="eastAsia"/>
                <w:color w:val="auto"/>
                <w:lang w:val="en-US" w:eastAsia="zh-CN"/>
              </w:rPr>
              <w:t>文渡</w:t>
            </w:r>
            <w:r>
              <w:rPr>
                <w:rFonts w:hint="default"/>
                <w:color w:val="auto"/>
              </w:rPr>
              <w:t>污水处理厂处理。</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②</w:t>
            </w:r>
            <w:r>
              <w:rPr>
                <w:rFonts w:hint="eastAsia" w:ascii="宋体" w:hAnsi="宋体" w:cs="宋体"/>
                <w:color w:val="auto"/>
                <w:lang w:val="en-US" w:eastAsia="zh-CN"/>
              </w:rPr>
              <w:t>处理</w:t>
            </w:r>
            <w:r>
              <w:rPr>
                <w:rFonts w:hint="default"/>
                <w:color w:val="auto"/>
              </w:rPr>
              <w:t>可行性分析</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化粪池是处理粪便并加以过滤沉淀的设备。其原理是固化物在池底分解，上层的水化物体，进入管道流走，防止了管道堵塞，给固化物体</w:t>
            </w:r>
            <w:r>
              <w:rPr>
                <w:rFonts w:hint="eastAsia"/>
                <w:color w:val="auto"/>
                <w:highlight w:val="none"/>
                <w:lang w:eastAsia="zh-CN"/>
              </w:rPr>
              <w:t>(</w:t>
            </w:r>
            <w:r>
              <w:rPr>
                <w:rFonts w:hint="default"/>
                <w:color w:val="auto"/>
              </w:rPr>
              <w:t>粪便等</w:t>
            </w:r>
            <w:r>
              <w:rPr>
                <w:rFonts w:hint="default"/>
                <w:color w:val="auto"/>
                <w:highlight w:val="none"/>
              </w:rPr>
              <w:t>垃圾</w:t>
            </w:r>
            <w:r>
              <w:rPr>
                <w:rFonts w:hint="eastAsia"/>
                <w:color w:val="auto"/>
                <w:highlight w:val="none"/>
                <w:lang w:eastAsia="zh-CN"/>
              </w:rPr>
              <w:t>)</w:t>
            </w:r>
            <w:r>
              <w:rPr>
                <w:rFonts w:hint="default"/>
                <w:color w:val="auto"/>
              </w:rPr>
              <w:t>有充足的时间水解。</w:t>
            </w:r>
          </w:p>
          <w:p>
            <w:pPr>
              <w:pStyle w:val="27"/>
              <w:keepNext w:val="0"/>
              <w:keepLines w:val="0"/>
              <w:suppressLineNumbers w:val="0"/>
              <w:spacing w:before="0" w:beforeAutospacing="0" w:after="0" w:afterAutospacing="0"/>
              <w:ind w:left="0" w:right="0" w:firstLine="480"/>
              <w:rPr>
                <w:rFonts w:hint="default"/>
                <w:color w:val="auto"/>
              </w:rPr>
            </w:pPr>
            <w:r>
              <w:rPr>
                <w:rFonts w:hint="eastAsia"/>
                <w:color w:val="auto"/>
                <w:highlight w:val="none"/>
                <w:lang w:val="en-US" w:eastAsia="zh-CN"/>
              </w:rPr>
              <w:t>本项目废水</w:t>
            </w:r>
            <w:r>
              <w:rPr>
                <w:rFonts w:hint="default"/>
                <w:color w:val="auto"/>
                <w:highlight w:val="none"/>
                <w:lang w:val="en-US" w:eastAsia="zh-CN"/>
              </w:rPr>
              <w:t>经化粪池处理后可达《污水综合排放标准》（GB8978-1996）表4三级标准</w:t>
            </w:r>
            <w:r>
              <w:rPr>
                <w:rFonts w:hint="eastAsia"/>
                <w:color w:val="auto"/>
                <w:highlight w:val="none"/>
                <w:lang w:val="en-US" w:eastAsia="zh-CN"/>
              </w:rPr>
              <w:t>，满足文渡污水处理厂进水水质，因此本项目废水</w:t>
            </w:r>
            <w:r>
              <w:rPr>
                <w:rFonts w:hint="eastAsia"/>
                <w:color w:val="auto"/>
                <w:lang w:val="en-US" w:eastAsia="zh-CN"/>
              </w:rPr>
              <w:t>处理设施可行</w:t>
            </w:r>
            <w:r>
              <w:rPr>
                <w:rFonts w:hint="default"/>
                <w:color w:val="auto"/>
              </w:rPr>
              <w:t>。</w:t>
            </w:r>
          </w:p>
          <w:p>
            <w:pPr>
              <w:pStyle w:val="27"/>
              <w:keepNext w:val="0"/>
              <w:keepLines w:val="0"/>
              <w:suppressLineNumbers w:val="0"/>
              <w:spacing w:before="0" w:beforeAutospacing="0" w:after="0" w:afterAutospacing="0"/>
              <w:ind w:left="0" w:right="0" w:firstLine="480"/>
              <w:rPr>
                <w:rFonts w:hint="eastAsia" w:eastAsia="宋体"/>
                <w:color w:val="auto"/>
                <w:lang w:val="en-US" w:eastAsia="zh-CN"/>
              </w:rPr>
            </w:pPr>
            <w:r>
              <w:rPr>
                <w:rFonts w:hint="eastAsia"/>
                <w:color w:val="auto"/>
                <w:lang w:val="en-US" w:eastAsia="zh-CN"/>
              </w:rPr>
              <w:t>③</w:t>
            </w:r>
            <w:r>
              <w:rPr>
                <w:rFonts w:hint="default" w:eastAsia="宋体"/>
                <w:color w:val="auto"/>
                <w:szCs w:val="20"/>
              </w:rPr>
              <w:t>本项目生活污水依托可行性分析</w:t>
            </w:r>
          </w:p>
          <w:p>
            <w:pPr>
              <w:pStyle w:val="27"/>
              <w:keepNext w:val="0"/>
              <w:keepLines w:val="0"/>
              <w:suppressLineNumbers w:val="0"/>
              <w:spacing w:before="0" w:beforeAutospacing="0" w:after="0" w:afterAutospacing="0"/>
              <w:ind w:left="0" w:right="0" w:firstLine="480"/>
              <w:rPr>
                <w:rFonts w:hint="default"/>
                <w:color w:val="auto"/>
              </w:rPr>
            </w:pPr>
            <w:r>
              <w:rPr>
                <w:rFonts w:hint="eastAsia"/>
                <w:color w:val="auto"/>
                <w:highlight w:val="none"/>
                <w:lang w:val="en-US" w:eastAsia="zh-CN"/>
              </w:rPr>
              <w:t>本改扩建项目生活污水产生量为1.2t/d，</w:t>
            </w:r>
            <w:r>
              <w:rPr>
                <w:rFonts w:hint="default" w:eastAsia="宋体"/>
                <w:color w:val="auto"/>
                <w:szCs w:val="20"/>
              </w:rPr>
              <w:t>生活污水处理设施设计处理能力为5m</w:t>
            </w:r>
            <w:r>
              <w:rPr>
                <w:rFonts w:hint="default" w:eastAsia="宋体"/>
                <w:color w:val="auto"/>
                <w:szCs w:val="20"/>
                <w:vertAlign w:val="superscript"/>
              </w:rPr>
              <w:t>3</w:t>
            </w:r>
            <w:r>
              <w:rPr>
                <w:rFonts w:hint="default" w:eastAsia="宋体"/>
                <w:color w:val="auto"/>
                <w:szCs w:val="20"/>
              </w:rPr>
              <w:t>/d，现有工程生活污水产生量为</w:t>
            </w:r>
            <w:r>
              <w:rPr>
                <w:rFonts w:hint="eastAsia"/>
                <w:color w:val="auto"/>
                <w:szCs w:val="20"/>
                <w:lang w:val="en-US" w:eastAsia="zh-CN"/>
              </w:rPr>
              <w:t>2.43</w:t>
            </w:r>
            <w:r>
              <w:rPr>
                <w:rFonts w:hint="default" w:eastAsia="宋体"/>
                <w:color w:val="auto"/>
                <w:szCs w:val="20"/>
              </w:rPr>
              <w:t>t/d。则，本项目建成后全厂进入生活污水处理设施的污水量为</w:t>
            </w:r>
            <w:r>
              <w:rPr>
                <w:rFonts w:hint="eastAsia"/>
                <w:color w:val="auto"/>
                <w:szCs w:val="20"/>
                <w:lang w:val="en-US" w:eastAsia="zh-CN"/>
              </w:rPr>
              <w:t>3.63</w:t>
            </w:r>
            <w:r>
              <w:rPr>
                <w:rFonts w:hint="default" w:eastAsia="宋体"/>
                <w:color w:val="auto"/>
                <w:szCs w:val="20"/>
              </w:rPr>
              <w:t>t/d&lt;5t/d，不会超出生活污水处理设施的负荷。因此，本项目生活污水依托现有工程的生活污水处理设施可行。</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（2）生产废水</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①治理措施</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本项目生产废水为热处理工序的冷却水，冷却水经冷却池冷却后循环使用不外排。</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②依托可行性分析</w:t>
            </w:r>
          </w:p>
          <w:p>
            <w:pPr>
              <w:pStyle w:val="27"/>
              <w:keepNext w:val="0"/>
              <w:keepLines w:val="0"/>
              <w:suppressLineNumbers w:val="0"/>
              <w:spacing w:before="0" w:beforeAutospacing="0" w:after="0" w:afterAutospacing="0"/>
              <w:ind w:left="0" w:right="0" w:firstLine="480"/>
              <w:rPr>
                <w:rFonts w:hint="default" w:eastAsia="宋体"/>
                <w:color w:val="auto"/>
                <w:szCs w:val="20"/>
              </w:rPr>
            </w:pPr>
            <w:r>
              <w:rPr>
                <w:rFonts w:hint="eastAsia"/>
                <w:color w:val="auto"/>
                <w:highlight w:val="none"/>
                <w:lang w:val="en-US" w:eastAsia="zh-CN"/>
              </w:rPr>
              <w:t>本改扩建项目冷却水使用量为0.33t/d，</w:t>
            </w:r>
            <w:r>
              <w:rPr>
                <w:rFonts w:hint="eastAsia" w:eastAsia="宋体"/>
                <w:color w:val="auto"/>
                <w:szCs w:val="20"/>
                <w:lang w:val="en-US" w:eastAsia="zh-CN"/>
              </w:rPr>
              <w:t>冷却池容积</w:t>
            </w:r>
            <w:r>
              <w:rPr>
                <w:rFonts w:hint="default" w:eastAsia="宋体"/>
                <w:color w:val="auto"/>
                <w:szCs w:val="20"/>
              </w:rPr>
              <w:t>为</w:t>
            </w:r>
            <w:r>
              <w:rPr>
                <w:rFonts w:hint="eastAsia" w:eastAsia="宋体"/>
                <w:color w:val="auto"/>
                <w:szCs w:val="20"/>
                <w:lang w:val="en-US" w:eastAsia="zh-CN"/>
              </w:rPr>
              <w:t>10</w:t>
            </w:r>
            <w:r>
              <w:rPr>
                <w:rFonts w:hint="default" w:eastAsia="宋体"/>
                <w:color w:val="auto"/>
                <w:szCs w:val="20"/>
              </w:rPr>
              <w:t>m</w:t>
            </w:r>
            <w:r>
              <w:rPr>
                <w:rFonts w:hint="default" w:eastAsia="宋体"/>
                <w:color w:val="auto"/>
                <w:szCs w:val="20"/>
                <w:vertAlign w:val="superscript"/>
              </w:rPr>
              <w:t>3</w:t>
            </w:r>
            <w:r>
              <w:rPr>
                <w:rFonts w:hint="default" w:eastAsia="宋体"/>
                <w:color w:val="auto"/>
                <w:szCs w:val="20"/>
              </w:rPr>
              <w:t>/d，现有工程</w:t>
            </w:r>
            <w:r>
              <w:rPr>
                <w:rFonts w:hint="eastAsia" w:eastAsia="宋体"/>
                <w:color w:val="auto"/>
                <w:szCs w:val="20"/>
                <w:lang w:val="en-US" w:eastAsia="zh-CN"/>
              </w:rPr>
              <w:t>冷却水使用</w:t>
            </w:r>
            <w:r>
              <w:rPr>
                <w:rFonts w:hint="default" w:eastAsia="宋体"/>
                <w:color w:val="auto"/>
                <w:szCs w:val="20"/>
              </w:rPr>
              <w:t>量为</w:t>
            </w:r>
            <w:r>
              <w:rPr>
                <w:rFonts w:hint="eastAsia"/>
                <w:color w:val="auto"/>
                <w:szCs w:val="20"/>
                <w:lang w:val="en-US" w:eastAsia="zh-CN"/>
              </w:rPr>
              <w:t>0.66</w:t>
            </w:r>
            <w:r>
              <w:rPr>
                <w:rFonts w:hint="default" w:eastAsia="宋体"/>
                <w:color w:val="auto"/>
                <w:szCs w:val="20"/>
              </w:rPr>
              <w:t>t/d。则，本项目建成后全厂</w:t>
            </w:r>
            <w:r>
              <w:rPr>
                <w:rFonts w:hint="eastAsia" w:eastAsia="宋体"/>
                <w:color w:val="auto"/>
                <w:szCs w:val="20"/>
                <w:lang w:val="en-US" w:eastAsia="zh-CN"/>
              </w:rPr>
              <w:t>冷却水使用量约</w:t>
            </w:r>
            <w:r>
              <w:rPr>
                <w:rFonts w:hint="default" w:eastAsia="宋体"/>
                <w:color w:val="auto"/>
                <w:szCs w:val="20"/>
              </w:rPr>
              <w:t>为</w:t>
            </w:r>
            <w:r>
              <w:rPr>
                <w:rFonts w:hint="eastAsia" w:eastAsia="宋体"/>
                <w:color w:val="auto"/>
                <w:szCs w:val="20"/>
                <w:lang w:val="en-US" w:eastAsia="zh-CN"/>
              </w:rPr>
              <w:t>1</w:t>
            </w:r>
            <w:r>
              <w:rPr>
                <w:rFonts w:hint="default" w:eastAsia="宋体"/>
                <w:color w:val="auto"/>
                <w:szCs w:val="20"/>
              </w:rPr>
              <w:t>t/d&lt;</w:t>
            </w:r>
            <w:r>
              <w:rPr>
                <w:rFonts w:hint="eastAsia" w:eastAsia="宋体"/>
                <w:color w:val="auto"/>
                <w:szCs w:val="20"/>
                <w:lang w:val="en-US" w:eastAsia="zh-CN"/>
              </w:rPr>
              <w:t>10</w:t>
            </w:r>
            <w:r>
              <w:rPr>
                <w:rFonts w:hint="default" w:eastAsia="宋体"/>
                <w:color w:val="auto"/>
                <w:szCs w:val="20"/>
              </w:rPr>
              <w:t>t/d，不会超出</w:t>
            </w:r>
            <w:r>
              <w:rPr>
                <w:rFonts w:hint="eastAsia" w:eastAsia="宋体"/>
                <w:color w:val="auto"/>
                <w:szCs w:val="20"/>
                <w:lang w:val="en-US" w:eastAsia="zh-CN"/>
              </w:rPr>
              <w:t>冷却池</w:t>
            </w:r>
            <w:r>
              <w:rPr>
                <w:rFonts w:hint="default" w:eastAsia="宋体"/>
                <w:color w:val="auto"/>
                <w:szCs w:val="20"/>
              </w:rPr>
              <w:t>的负荷。因此，本项目</w:t>
            </w:r>
            <w:r>
              <w:rPr>
                <w:rFonts w:hint="eastAsia" w:eastAsia="宋体"/>
                <w:color w:val="auto"/>
                <w:szCs w:val="20"/>
                <w:lang w:val="en-US" w:eastAsia="zh-CN"/>
              </w:rPr>
              <w:t>冷却水</w:t>
            </w:r>
            <w:r>
              <w:rPr>
                <w:rFonts w:hint="default" w:eastAsia="宋体"/>
                <w:color w:val="auto"/>
                <w:szCs w:val="20"/>
              </w:rPr>
              <w:t>依托现有工程的</w:t>
            </w:r>
            <w:r>
              <w:rPr>
                <w:rFonts w:hint="eastAsia" w:eastAsia="宋体"/>
                <w:color w:val="auto"/>
                <w:szCs w:val="20"/>
                <w:lang w:val="en-US" w:eastAsia="zh-CN"/>
              </w:rPr>
              <w:t>冷却池</w:t>
            </w:r>
            <w:r>
              <w:rPr>
                <w:rFonts w:hint="default" w:eastAsia="宋体"/>
                <w:color w:val="auto"/>
                <w:szCs w:val="20"/>
              </w:rPr>
              <w:t>可行。</w:t>
            </w:r>
          </w:p>
          <w:p>
            <w:pPr>
              <w:pStyle w:val="5"/>
              <w:numPr>
                <w:ilvl w:val="2"/>
                <w:numId w:val="10"/>
              </w:numPr>
              <w:suppressLineNumbers w:val="0"/>
              <w:tabs>
                <w:tab w:val="left" w:pos="420"/>
              </w:tabs>
              <w:spacing w:before="0" w:beforeAutospacing="0" w:after="0" w:afterAutospacing="0"/>
              <w:ind w:right="0"/>
              <w:rPr>
                <w:rFonts w:hint="default"/>
                <w:color w:val="auto"/>
                <w:highlight w:val="none"/>
                <w:lang w:val="en-US" w:eastAsia="zh-CN"/>
              </w:rPr>
            </w:pPr>
            <w:r>
              <w:rPr>
                <w:rFonts w:hint="eastAsia"/>
                <w:color w:val="auto"/>
                <w:highlight w:val="none"/>
                <w:lang w:val="en-US" w:eastAsia="zh-CN"/>
              </w:rPr>
              <w:t>依托污水处理厂的可行性分析</w:t>
            </w:r>
          </w:p>
          <w:p>
            <w:pPr>
              <w:pStyle w:val="25"/>
              <w:keepNext w:val="0"/>
              <w:keepLines w:val="0"/>
              <w:suppressLineNumbers w:val="0"/>
              <w:bidi w:val="0"/>
              <w:spacing w:before="0" w:beforeAutospacing="0" w:after="0" w:afterAutospacing="0"/>
              <w:ind w:left="0" w:right="0"/>
              <w:rPr>
                <w:rFonts w:hint="eastAsia"/>
                <w:color w:val="auto"/>
                <w:highlight w:val="none"/>
                <w:lang w:val="en-US" w:eastAsia="zh-CN"/>
              </w:rPr>
            </w:pPr>
            <w:bookmarkStart w:id="39" w:name="_Ref12541"/>
            <w:r>
              <w:rPr>
                <w:rFonts w:hint="eastAsia"/>
                <w:color w:val="auto"/>
                <w:highlight w:val="none"/>
                <w:lang w:val="en-US" w:eastAsia="zh-CN"/>
              </w:rPr>
              <w:fldChar w:fldCharType="begin"/>
            </w:r>
            <w:r>
              <w:rPr>
                <w:rFonts w:hint="eastAsia"/>
                <w:color w:val="auto"/>
                <w:highlight w:val="none"/>
                <w:lang w:val="en-US" w:eastAsia="zh-CN"/>
              </w:rPr>
              <w:instrText xml:space="preserve"> = 1 \* GB3 \* MERGEFORMAT </w:instrText>
            </w:r>
            <w:r>
              <w:rPr>
                <w:rFonts w:hint="eastAsia"/>
                <w:color w:val="auto"/>
                <w:highlight w:val="none"/>
                <w:lang w:val="en-US" w:eastAsia="zh-CN"/>
              </w:rPr>
              <w:fldChar w:fldCharType="separate"/>
            </w:r>
            <w:r>
              <w:rPr>
                <w:rFonts w:hint="default"/>
                <w:color w:val="auto"/>
                <w:highlight w:val="none"/>
              </w:rPr>
              <w:t>①</w:t>
            </w:r>
            <w:r>
              <w:rPr>
                <w:rFonts w:hint="eastAsia"/>
                <w:color w:val="auto"/>
                <w:highlight w:val="none"/>
                <w:lang w:val="en-US" w:eastAsia="zh-CN"/>
              </w:rPr>
              <w:fldChar w:fldCharType="end"/>
            </w:r>
            <w:r>
              <w:rPr>
                <w:rFonts w:hint="eastAsia"/>
                <w:color w:val="auto"/>
                <w:highlight w:val="none"/>
                <w:lang w:val="en-US" w:eastAsia="zh-CN"/>
              </w:rPr>
              <w:t>管网衔接可行性分析</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s="宋体"/>
                <w:color w:val="auto"/>
                <w:sz w:val="24"/>
                <w:szCs w:val="22"/>
                <w:highlight w:val="none"/>
                <w:lang w:bidi="ar"/>
              </w:rPr>
              <w:t>本项目位于福鼎市文渡工业集中区，属于</w:t>
            </w:r>
            <w:r>
              <w:rPr>
                <w:rFonts w:hint="default"/>
                <w:color w:val="auto"/>
                <w:highlight w:val="none"/>
                <w:lang w:val="en-US" w:eastAsia="zh-CN"/>
              </w:rPr>
              <w:t>福鼎市文渡污水处理厂</w:t>
            </w:r>
            <w:r>
              <w:rPr>
                <w:rFonts w:hint="eastAsia" w:cs="宋体"/>
                <w:color w:val="auto"/>
                <w:sz w:val="24"/>
                <w:szCs w:val="22"/>
                <w:highlight w:val="none"/>
                <w:lang w:bidi="ar"/>
              </w:rPr>
              <w:t>污水纳管服务范围内。根据福鼎市</w:t>
            </w:r>
            <w:r>
              <w:rPr>
                <w:rFonts w:hint="eastAsia" w:cs="宋体"/>
                <w:color w:val="auto"/>
                <w:sz w:val="24"/>
                <w:highlight w:val="none"/>
                <w:lang w:bidi="ar"/>
              </w:rPr>
              <w:t>文渡污水处理厂的管网分布，本项目周边道路已铺设有污水收集管线</w:t>
            </w:r>
            <w:r>
              <w:rPr>
                <w:rFonts w:hint="default"/>
                <w:color w:val="auto"/>
                <w:highlight w:val="none"/>
                <w:lang w:val="en-US" w:eastAsia="zh-CN"/>
              </w:rPr>
              <w:t>，因此本项目产生的生活污水</w:t>
            </w:r>
            <w:r>
              <w:rPr>
                <w:rFonts w:hint="eastAsia"/>
                <w:color w:val="auto"/>
                <w:highlight w:val="none"/>
                <w:lang w:val="en-US" w:eastAsia="zh-CN"/>
              </w:rPr>
              <w:t>经化粪池预处理达标后</w:t>
            </w:r>
            <w:r>
              <w:rPr>
                <w:rFonts w:hint="default"/>
                <w:color w:val="auto"/>
                <w:highlight w:val="none"/>
                <w:lang w:val="en-US" w:eastAsia="zh-CN"/>
              </w:rPr>
              <w:t>纳入市政污水管网是可行的。</w:t>
            </w:r>
          </w:p>
          <w:p>
            <w:pPr>
              <w:pStyle w:val="25"/>
              <w:keepNext w:val="0"/>
              <w:keepLines w:val="0"/>
              <w:suppressLineNumbers w:val="0"/>
              <w:bidi w:val="0"/>
              <w:spacing w:before="0" w:beforeAutospacing="0" w:after="0" w:afterAutospacing="0"/>
              <w:ind w:left="0" w:right="0"/>
              <w:rPr>
                <w:rFonts w:hint="eastAsia"/>
                <w:color w:val="auto"/>
                <w:lang w:val="zh-CN"/>
              </w:rPr>
            </w:pPr>
            <w:r>
              <w:rPr>
                <w:rFonts w:hint="eastAsia"/>
                <w:color w:val="auto"/>
                <w:lang w:val="en-US" w:eastAsia="zh-CN"/>
              </w:rPr>
              <w:fldChar w:fldCharType="begin"/>
            </w:r>
            <w:r>
              <w:rPr>
                <w:rFonts w:hint="eastAsia"/>
                <w:color w:val="auto"/>
                <w:lang w:val="en-US" w:eastAsia="zh-CN"/>
              </w:rPr>
              <w:instrText xml:space="preserve"> = 2 \* GB3 \* MERGEFORMAT </w:instrText>
            </w:r>
            <w:r>
              <w:rPr>
                <w:rFonts w:hint="eastAsia"/>
                <w:color w:val="auto"/>
                <w:lang w:val="en-US" w:eastAsia="zh-CN"/>
              </w:rPr>
              <w:fldChar w:fldCharType="separate"/>
            </w:r>
            <w:r>
              <w:rPr>
                <w:rFonts w:hint="default"/>
                <w:color w:val="auto"/>
              </w:rPr>
              <w:t>②</w:t>
            </w:r>
            <w:r>
              <w:rPr>
                <w:rFonts w:hint="eastAsia"/>
                <w:color w:val="auto"/>
                <w:lang w:val="en-US" w:eastAsia="zh-CN"/>
              </w:rPr>
              <w:fldChar w:fldCharType="end"/>
            </w:r>
            <w:r>
              <w:rPr>
                <w:rFonts w:hint="eastAsia"/>
                <w:color w:val="auto"/>
              </w:rPr>
              <w:t>纳入</w:t>
            </w:r>
            <w:r>
              <w:rPr>
                <w:rFonts w:hint="default"/>
                <w:color w:val="auto"/>
                <w:lang w:val="en-US" w:eastAsia="zh-CN"/>
              </w:rPr>
              <w:t>福鼎市文渡污水处理厂</w:t>
            </w:r>
            <w:r>
              <w:rPr>
                <w:rFonts w:hint="eastAsia"/>
                <w:color w:val="auto"/>
                <w:lang w:val="zh-CN"/>
              </w:rPr>
              <w:t>水</w:t>
            </w:r>
            <w:r>
              <w:rPr>
                <w:rFonts w:hint="eastAsia"/>
                <w:color w:val="auto"/>
                <w:lang w:val="en-US" w:eastAsia="zh-CN"/>
              </w:rPr>
              <w:t>量</w:t>
            </w:r>
            <w:r>
              <w:rPr>
                <w:rFonts w:hint="eastAsia"/>
                <w:color w:val="auto"/>
              </w:rPr>
              <w:t>可行性</w:t>
            </w:r>
            <w:r>
              <w:rPr>
                <w:rFonts w:hint="eastAsia"/>
                <w:color w:val="auto"/>
                <w:lang w:val="zh-CN"/>
              </w:rPr>
              <w:t>分析</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lang w:val="zh-CN"/>
              </w:rPr>
              <w:t>本项目</w:t>
            </w:r>
            <w:r>
              <w:rPr>
                <w:rFonts w:hint="eastAsia"/>
                <w:color w:val="auto"/>
                <w:lang w:val="en-US" w:eastAsia="zh-CN"/>
              </w:rPr>
              <w:t>生活污水总</w:t>
            </w:r>
            <w:r>
              <w:rPr>
                <w:rFonts w:hint="default"/>
                <w:color w:val="auto"/>
                <w:lang w:val="zh-CN"/>
              </w:rPr>
              <w:t>排放量</w:t>
            </w:r>
            <w:r>
              <w:rPr>
                <w:rFonts w:hint="eastAsia"/>
                <w:color w:val="auto"/>
                <w:lang w:val="en-US" w:eastAsia="zh-CN"/>
              </w:rPr>
              <w:t>约为1.2</w:t>
            </w:r>
            <w:r>
              <w:rPr>
                <w:rFonts w:hint="default"/>
                <w:color w:val="auto"/>
                <w:lang w:val="zh-CN"/>
              </w:rPr>
              <w:t>m</w:t>
            </w:r>
            <w:r>
              <w:rPr>
                <w:rFonts w:hint="default"/>
                <w:color w:val="auto"/>
                <w:vertAlign w:val="superscript"/>
                <w:lang w:val="zh-CN"/>
              </w:rPr>
              <w:t>3</w:t>
            </w:r>
            <w:r>
              <w:rPr>
                <w:rFonts w:hint="default"/>
                <w:color w:val="auto"/>
                <w:lang w:val="zh-CN"/>
              </w:rPr>
              <w:t>/d，</w:t>
            </w:r>
            <w:r>
              <w:rPr>
                <w:rFonts w:hint="default"/>
                <w:color w:val="auto"/>
              </w:rPr>
              <w:t>福鼎市文渡污水处理厂</w:t>
            </w:r>
            <w:r>
              <w:rPr>
                <w:rFonts w:hint="default"/>
                <w:color w:val="auto"/>
                <w:lang w:val="zh-CN"/>
              </w:rPr>
              <w:t>一期设计处理能力为</w:t>
            </w:r>
            <w:r>
              <w:rPr>
                <w:rFonts w:hint="default"/>
                <w:color w:val="auto"/>
              </w:rPr>
              <w:t>4000</w:t>
            </w:r>
            <w:r>
              <w:rPr>
                <w:rFonts w:hint="default"/>
                <w:color w:val="auto"/>
                <w:lang w:val="zh-CN"/>
              </w:rPr>
              <w:t>m</w:t>
            </w:r>
            <w:r>
              <w:rPr>
                <w:rFonts w:hint="default"/>
                <w:color w:val="auto"/>
                <w:vertAlign w:val="superscript"/>
                <w:lang w:val="zh-CN"/>
              </w:rPr>
              <w:t>3</w:t>
            </w:r>
            <w:r>
              <w:rPr>
                <w:rFonts w:hint="default"/>
                <w:color w:val="auto"/>
                <w:lang w:val="zh-CN"/>
              </w:rPr>
              <w:t>/d，根据污水厂提供的资料，目前污水厂处理量约为</w:t>
            </w:r>
            <w:r>
              <w:rPr>
                <w:rFonts w:hint="default"/>
                <w:color w:val="auto"/>
              </w:rPr>
              <w:t>3500</w:t>
            </w:r>
            <w:r>
              <w:rPr>
                <w:rFonts w:hint="default"/>
                <w:color w:val="auto"/>
                <w:lang w:val="zh-CN"/>
              </w:rPr>
              <w:t>m</w:t>
            </w:r>
            <w:r>
              <w:rPr>
                <w:rFonts w:hint="default"/>
                <w:color w:val="auto"/>
                <w:vertAlign w:val="superscript"/>
                <w:lang w:val="zh-CN"/>
              </w:rPr>
              <w:t>3</w:t>
            </w:r>
            <w:r>
              <w:rPr>
                <w:rFonts w:hint="default"/>
                <w:color w:val="auto"/>
                <w:lang w:val="zh-CN"/>
              </w:rPr>
              <w:t>/d，</w:t>
            </w:r>
            <w:r>
              <w:rPr>
                <w:rFonts w:hint="default"/>
                <w:color w:val="auto"/>
              </w:rPr>
              <w:t>剩余处理量约500</w:t>
            </w:r>
            <w:r>
              <w:rPr>
                <w:rFonts w:hint="default"/>
                <w:color w:val="auto"/>
                <w:lang w:val="zh-CN"/>
              </w:rPr>
              <w:t>m</w:t>
            </w:r>
            <w:r>
              <w:rPr>
                <w:rFonts w:hint="default"/>
                <w:color w:val="auto"/>
                <w:vertAlign w:val="superscript"/>
                <w:lang w:val="zh-CN"/>
              </w:rPr>
              <w:t>3</w:t>
            </w:r>
            <w:r>
              <w:rPr>
                <w:rFonts w:hint="default"/>
                <w:color w:val="auto"/>
                <w:lang w:val="zh-CN"/>
              </w:rPr>
              <w:t>/d，本项目废水占剩余处理能力的</w:t>
            </w:r>
            <w:r>
              <w:rPr>
                <w:rFonts w:hint="eastAsia"/>
                <w:color w:val="auto"/>
                <w:lang w:val="en-US" w:eastAsia="zh-CN"/>
              </w:rPr>
              <w:t>0.24</w:t>
            </w:r>
            <w:r>
              <w:rPr>
                <w:rFonts w:hint="default"/>
                <w:color w:val="auto"/>
                <w:lang w:val="zh-CN"/>
              </w:rPr>
              <w:t>%，</w:t>
            </w:r>
            <w:r>
              <w:rPr>
                <w:rFonts w:hint="default"/>
                <w:color w:val="auto"/>
              </w:rPr>
              <w:t>福鼎市文渡污水处理厂一期工程可容纳本项目产生的污水</w:t>
            </w:r>
            <w:r>
              <w:rPr>
                <w:rFonts w:hint="default"/>
                <w:color w:val="auto"/>
                <w:lang w:val="zh-CN"/>
              </w:rPr>
              <w:t>。</w:t>
            </w:r>
            <w:r>
              <w:rPr>
                <w:rFonts w:hint="default"/>
                <w:color w:val="auto"/>
              </w:rPr>
              <w:t>因此本项目污水经预处理达标后纳入福鼎市文渡污水处理厂集中统一处理，不会对污水厂水量负荷造成冲击。</w:t>
            </w:r>
          </w:p>
          <w:p>
            <w:pPr>
              <w:pStyle w:val="25"/>
              <w:keepNext w:val="0"/>
              <w:keepLines w:val="0"/>
              <w:suppressLineNumbers w:val="0"/>
              <w:bidi w:val="0"/>
              <w:spacing w:before="0" w:beforeAutospacing="0" w:after="0" w:afterAutospacing="0"/>
              <w:ind w:left="0" w:right="0"/>
              <w:rPr>
                <w:rFonts w:hint="default"/>
                <w:color w:val="auto"/>
                <w:szCs w:val="28"/>
                <w:highlight w:val="none"/>
                <w:lang w:val="zh-CN"/>
              </w:rPr>
            </w:pPr>
            <w:r>
              <w:rPr>
                <w:rFonts w:hint="eastAsia"/>
                <w:color w:val="auto"/>
                <w:highlight w:val="none"/>
                <w:lang w:val="en-US" w:eastAsia="zh-CN"/>
              </w:rPr>
              <w:fldChar w:fldCharType="begin"/>
            </w:r>
            <w:r>
              <w:rPr>
                <w:rFonts w:hint="eastAsia"/>
                <w:color w:val="auto"/>
                <w:highlight w:val="none"/>
                <w:lang w:val="en-US" w:eastAsia="zh-CN"/>
              </w:rPr>
              <w:instrText xml:space="preserve"> = 3 \* GB3 \* MERGEFORMAT </w:instrText>
            </w:r>
            <w:r>
              <w:rPr>
                <w:rFonts w:hint="eastAsia"/>
                <w:color w:val="auto"/>
                <w:highlight w:val="none"/>
                <w:lang w:val="en-US" w:eastAsia="zh-CN"/>
              </w:rPr>
              <w:fldChar w:fldCharType="separate"/>
            </w:r>
            <w:r>
              <w:rPr>
                <w:rFonts w:hint="default"/>
                <w:color w:val="auto"/>
                <w:highlight w:val="none"/>
              </w:rPr>
              <w:t>③</w:t>
            </w:r>
            <w:r>
              <w:rPr>
                <w:rFonts w:hint="eastAsia"/>
                <w:color w:val="auto"/>
                <w:highlight w:val="none"/>
                <w:lang w:val="en-US" w:eastAsia="zh-CN"/>
              </w:rPr>
              <w:fldChar w:fldCharType="end"/>
            </w:r>
            <w:r>
              <w:rPr>
                <w:rFonts w:hint="eastAsia" w:cs="宋体"/>
                <w:color w:val="auto"/>
                <w:sz w:val="24"/>
                <w:szCs w:val="28"/>
                <w:highlight w:val="none"/>
                <w:lang w:bidi="ar"/>
              </w:rPr>
              <w:t>纳入</w:t>
            </w:r>
            <w:r>
              <w:rPr>
                <w:rFonts w:hint="default"/>
                <w:color w:val="auto"/>
                <w:highlight w:val="none"/>
                <w:lang w:val="en-US" w:eastAsia="zh-CN"/>
              </w:rPr>
              <w:t>福鼎市文渡污水处理厂</w:t>
            </w:r>
            <w:r>
              <w:rPr>
                <w:rFonts w:hint="eastAsia" w:cs="宋体"/>
                <w:color w:val="auto"/>
                <w:sz w:val="24"/>
                <w:szCs w:val="28"/>
                <w:highlight w:val="none"/>
                <w:lang w:val="zh-CN" w:bidi="ar"/>
              </w:rPr>
              <w:t>水质</w:t>
            </w:r>
            <w:r>
              <w:rPr>
                <w:rFonts w:hint="eastAsia" w:cs="宋体"/>
                <w:color w:val="auto"/>
                <w:sz w:val="24"/>
                <w:szCs w:val="28"/>
                <w:highlight w:val="none"/>
                <w:lang w:bidi="ar"/>
              </w:rPr>
              <w:t>可行性</w:t>
            </w:r>
            <w:r>
              <w:rPr>
                <w:rFonts w:hint="eastAsia" w:cs="宋体"/>
                <w:color w:val="auto"/>
                <w:sz w:val="24"/>
                <w:szCs w:val="28"/>
                <w:highlight w:val="none"/>
                <w:lang w:val="zh-CN" w:bidi="ar"/>
              </w:rPr>
              <w:t>分析</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福鼎市文渡污水处理厂设计进出水水质：</w:t>
            </w:r>
            <w:r>
              <w:rPr>
                <w:rFonts w:hint="eastAsia"/>
                <w:color w:val="auto"/>
                <w:highlight w:val="none"/>
              </w:rPr>
              <w:t>福鼎市文渡污水处理厂的设计进水水质指标见下表，一期工程</w:t>
            </w:r>
            <w:r>
              <w:rPr>
                <w:rFonts w:hint="default"/>
                <w:color w:val="auto"/>
                <w:highlight w:val="none"/>
              </w:rPr>
              <w:t>出水要求达到《污水综合排放标准》（GB8978-1996）一级标准</w:t>
            </w:r>
            <w:r>
              <w:rPr>
                <w:rFonts w:hint="eastAsia"/>
                <w:color w:val="auto"/>
                <w:highlight w:val="none"/>
              </w:rPr>
              <w:t>；文渡污水处理厂二期投入使用后COD、</w:t>
            </w:r>
            <w:r>
              <w:rPr>
                <w:rFonts w:hint="default"/>
                <w:color w:val="auto"/>
                <w:highlight w:val="none"/>
              </w:rPr>
              <w:t>NH</w:t>
            </w:r>
            <w:r>
              <w:rPr>
                <w:rFonts w:hint="default"/>
                <w:color w:val="auto"/>
                <w:highlight w:val="none"/>
                <w:vertAlign w:val="subscript"/>
              </w:rPr>
              <w:t>3</w:t>
            </w:r>
            <w:r>
              <w:rPr>
                <w:rFonts w:hint="default"/>
                <w:color w:val="auto"/>
                <w:highlight w:val="none"/>
              </w:rPr>
              <w:t>-N</w:t>
            </w:r>
            <w:r>
              <w:rPr>
                <w:rFonts w:hint="eastAsia"/>
                <w:color w:val="auto"/>
                <w:highlight w:val="none"/>
              </w:rPr>
              <w:t>、SS、TN、TP出水参照《城镇污水处理厂污染物排放标准》（GB18918-2002）中的一级B标准执行</w:t>
            </w:r>
            <w:r>
              <w:rPr>
                <w:rFonts w:hint="default"/>
                <w:color w:val="auto"/>
                <w:highlight w:val="none"/>
              </w:rPr>
              <w:t>。</w:t>
            </w:r>
          </w:p>
          <w:p>
            <w:pPr>
              <w:pStyle w:val="22"/>
              <w:keepNext w:val="0"/>
              <w:keepLines w:val="0"/>
              <w:numPr>
                <w:ilvl w:val="7"/>
                <w:numId w:val="10"/>
              </w:numPr>
              <w:suppressLineNumbers w:val="0"/>
              <w:tabs>
                <w:tab w:val="left" w:pos="420"/>
                <w:tab w:val="left" w:pos="2126"/>
                <w:tab w:val="clear" w:pos="0"/>
              </w:tabs>
              <w:spacing w:before="0" w:beforeAutospacing="0" w:after="0" w:afterAutospacing="0"/>
              <w:ind w:right="0"/>
              <w:rPr>
                <w:rFonts w:hint="default"/>
                <w:color w:val="auto"/>
                <w:highlight w:val="none"/>
              </w:rPr>
            </w:pPr>
            <w:r>
              <w:rPr>
                <w:rFonts w:hint="eastAsia"/>
                <w:color w:val="auto"/>
                <w:highlight w:val="none"/>
              </w:rPr>
              <w:t>福鼎市文渡污水处理厂设计进水水质</w:t>
            </w:r>
            <w:r>
              <w:rPr>
                <w:rFonts w:hint="default"/>
                <w:color w:val="auto"/>
                <w:highlight w:val="none"/>
              </w:rPr>
              <w:t xml:space="preserve"> </w:t>
            </w:r>
            <w:r>
              <w:rPr>
                <w:rFonts w:hint="eastAsia"/>
                <w:color w:val="auto"/>
                <w:highlight w:val="none"/>
              </w:rPr>
              <w:t>单位：</w:t>
            </w:r>
            <w:r>
              <w:rPr>
                <w:rFonts w:hint="default"/>
                <w:color w:val="auto"/>
                <w:highlight w:val="none"/>
              </w:rPr>
              <w:t xml:space="preserve">mg/L (pH </w:t>
            </w:r>
            <w:r>
              <w:rPr>
                <w:rFonts w:hint="eastAsia"/>
                <w:color w:val="auto"/>
                <w:highlight w:val="none"/>
              </w:rPr>
              <w:t>无量纲</w:t>
            </w:r>
            <w:r>
              <w:rPr>
                <w:rFonts w:hint="default"/>
                <w:color w:val="auto"/>
                <w:highlight w:val="none"/>
              </w:rPr>
              <w:t>)</w:t>
            </w:r>
          </w:p>
          <w:tbl>
            <w:tblPr>
              <w:tblStyle w:val="18"/>
              <w:tblW w:w="4997" w:type="pct"/>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546"/>
              <w:gridCol w:w="1026"/>
              <w:gridCol w:w="1089"/>
              <w:gridCol w:w="1256"/>
              <w:gridCol w:w="1261"/>
              <w:gridCol w:w="1253"/>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1" w:type="pct"/>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eastAsia" w:ascii="Times New Roman" w:hAnsi="Times New Roman" w:cs="宋体"/>
                      <w:iCs/>
                      <w:color w:val="auto"/>
                      <w:kern w:val="2"/>
                      <w:sz w:val="21"/>
                      <w:szCs w:val="21"/>
                      <w:highlight w:val="none"/>
                      <w:lang w:bidi="ar"/>
                    </w:rPr>
                    <w:t>序号</w:t>
                  </w:r>
                </w:p>
              </w:tc>
              <w:tc>
                <w:tcPr>
                  <w:tcW w:w="944" w:type="pc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eastAsia" w:ascii="Times New Roman" w:hAnsi="Times New Roman" w:cs="宋体"/>
                      <w:iCs/>
                      <w:color w:val="auto"/>
                      <w:kern w:val="2"/>
                      <w:sz w:val="21"/>
                      <w:szCs w:val="21"/>
                      <w:highlight w:val="none"/>
                      <w:lang w:bidi="ar"/>
                    </w:rPr>
                    <w:t>情况</w:t>
                  </w:r>
                </w:p>
              </w:tc>
              <w:tc>
                <w:tcPr>
                  <w:tcW w:w="626" w:type="pc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COD</w:t>
                  </w:r>
                </w:p>
              </w:tc>
              <w:tc>
                <w:tcPr>
                  <w:tcW w:w="665" w:type="pc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BOD</w:t>
                  </w:r>
                  <w:r>
                    <w:rPr>
                      <w:rFonts w:hint="default" w:ascii="Times New Roman" w:hAnsi="Times New Roman"/>
                      <w:iCs/>
                      <w:color w:val="auto"/>
                      <w:kern w:val="2"/>
                      <w:sz w:val="21"/>
                      <w:szCs w:val="21"/>
                      <w:highlight w:val="none"/>
                      <w:vertAlign w:val="subscript"/>
                      <w:lang w:bidi="ar"/>
                    </w:rPr>
                    <w:t>5</w:t>
                  </w:r>
                </w:p>
              </w:tc>
              <w:tc>
                <w:tcPr>
                  <w:tcW w:w="767" w:type="pct"/>
                  <w:tcBorders>
                    <w:top w:val="single" w:color="auto" w:sz="12"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SS</w:t>
                  </w:r>
                </w:p>
              </w:tc>
              <w:tc>
                <w:tcPr>
                  <w:tcW w:w="770" w:type="pc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NH</w:t>
                  </w:r>
                  <w:r>
                    <w:rPr>
                      <w:rFonts w:hint="default" w:ascii="Times New Roman" w:hAnsi="Times New Roman"/>
                      <w:iCs/>
                      <w:color w:val="auto"/>
                      <w:kern w:val="2"/>
                      <w:sz w:val="21"/>
                      <w:szCs w:val="21"/>
                      <w:highlight w:val="none"/>
                      <w:vertAlign w:val="subscript"/>
                      <w:lang w:bidi="ar"/>
                    </w:rPr>
                    <w:t>3</w:t>
                  </w:r>
                  <w:r>
                    <w:rPr>
                      <w:rFonts w:hint="default" w:ascii="Times New Roman" w:hAnsi="Times New Roman"/>
                      <w:iCs/>
                      <w:color w:val="auto"/>
                      <w:kern w:val="2"/>
                      <w:sz w:val="21"/>
                      <w:szCs w:val="21"/>
                      <w:highlight w:val="none"/>
                      <w:lang w:bidi="ar"/>
                    </w:rPr>
                    <w:t>-N</w:t>
                  </w:r>
                </w:p>
              </w:tc>
              <w:tc>
                <w:tcPr>
                  <w:tcW w:w="764" w:type="pct"/>
                  <w:tcBorders>
                    <w:top w:val="single" w:color="auto" w:sz="12" w:space="0"/>
                    <w:left w:val="single" w:color="auto" w:sz="4" w:space="0"/>
                    <w:bottom w:val="single" w:color="auto" w:sz="4" w:space="0"/>
                    <w:right w:val="nil"/>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pH</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1</w:t>
                  </w:r>
                </w:p>
              </w:tc>
              <w:tc>
                <w:tcPr>
                  <w:tcW w:w="9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eastAsia" w:ascii="Times New Roman" w:hAnsi="Times New Roman" w:cs="宋体"/>
                      <w:iCs/>
                      <w:color w:val="auto"/>
                      <w:kern w:val="2"/>
                      <w:sz w:val="21"/>
                      <w:szCs w:val="21"/>
                      <w:highlight w:val="none"/>
                      <w:lang w:bidi="ar"/>
                    </w:rPr>
                    <w:t>进水水质</w:t>
                  </w:r>
                </w:p>
              </w:tc>
              <w:tc>
                <w:tcPr>
                  <w:tcW w:w="6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500</w:t>
                  </w:r>
                </w:p>
              </w:tc>
              <w:tc>
                <w:tcPr>
                  <w:tcW w:w="6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150</w:t>
                  </w:r>
                </w:p>
              </w:tc>
              <w:tc>
                <w:tcPr>
                  <w:tcW w:w="767" w:type="pc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300</w:t>
                  </w:r>
                </w:p>
              </w:tc>
              <w:tc>
                <w:tcPr>
                  <w:tcW w:w="7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50</w:t>
                  </w:r>
                </w:p>
              </w:tc>
              <w:tc>
                <w:tcPr>
                  <w:tcW w:w="764" w:type="pct"/>
                  <w:tcBorders>
                    <w:top w:val="single" w:color="auto" w:sz="4" w:space="0"/>
                    <w:left w:val="single" w:color="auto" w:sz="4" w:space="0"/>
                    <w:bottom w:val="single" w:color="auto" w:sz="4" w:space="0"/>
                    <w:right w:val="nil"/>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6~9</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2</w:t>
                  </w:r>
                </w:p>
              </w:tc>
              <w:tc>
                <w:tcPr>
                  <w:tcW w:w="9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eastAsia" w:ascii="Times New Roman" w:hAnsi="Times New Roman" w:cs="宋体"/>
                      <w:iCs/>
                      <w:color w:val="auto"/>
                      <w:kern w:val="2"/>
                      <w:sz w:val="21"/>
                      <w:szCs w:val="21"/>
                      <w:highlight w:val="none"/>
                      <w:lang w:val="en-US" w:eastAsia="zh-CN" w:bidi="ar"/>
                    </w:rPr>
                    <w:t>近期</w:t>
                  </w:r>
                  <w:r>
                    <w:rPr>
                      <w:rFonts w:hint="eastAsia" w:ascii="Times New Roman" w:hAnsi="Times New Roman" w:cs="宋体"/>
                      <w:iCs/>
                      <w:color w:val="auto"/>
                      <w:kern w:val="2"/>
                      <w:sz w:val="21"/>
                      <w:szCs w:val="21"/>
                      <w:highlight w:val="none"/>
                      <w:lang w:bidi="ar"/>
                    </w:rPr>
                    <w:t>出水水质</w:t>
                  </w:r>
                </w:p>
              </w:tc>
              <w:tc>
                <w:tcPr>
                  <w:tcW w:w="6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100</w:t>
                  </w:r>
                </w:p>
              </w:tc>
              <w:tc>
                <w:tcPr>
                  <w:tcW w:w="6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20</w:t>
                  </w:r>
                </w:p>
              </w:tc>
              <w:tc>
                <w:tcPr>
                  <w:tcW w:w="767" w:type="pc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20</w:t>
                  </w:r>
                </w:p>
              </w:tc>
              <w:tc>
                <w:tcPr>
                  <w:tcW w:w="7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15</w:t>
                  </w:r>
                </w:p>
              </w:tc>
              <w:tc>
                <w:tcPr>
                  <w:tcW w:w="764" w:type="pct"/>
                  <w:tcBorders>
                    <w:top w:val="single" w:color="auto" w:sz="4" w:space="0"/>
                    <w:left w:val="single" w:color="auto" w:sz="4" w:space="0"/>
                    <w:bottom w:val="single" w:color="auto" w:sz="4" w:space="0"/>
                    <w:right w:val="nil"/>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6~9</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1" w:type="pct"/>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3</w:t>
                  </w:r>
                </w:p>
              </w:tc>
              <w:tc>
                <w:tcPr>
                  <w:tcW w:w="944" w:type="pct"/>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eastAsia" w:ascii="Times New Roman" w:hAnsi="Times New Roman" w:cs="宋体"/>
                      <w:iCs/>
                      <w:color w:val="auto"/>
                      <w:kern w:val="2"/>
                      <w:sz w:val="21"/>
                      <w:szCs w:val="21"/>
                      <w:highlight w:val="none"/>
                      <w:lang w:val="en-US" w:eastAsia="zh-CN" w:bidi="ar"/>
                    </w:rPr>
                    <w:t>远期</w:t>
                  </w:r>
                  <w:r>
                    <w:rPr>
                      <w:rFonts w:hint="eastAsia" w:ascii="Times New Roman" w:hAnsi="Times New Roman" w:cs="宋体"/>
                      <w:iCs/>
                      <w:color w:val="auto"/>
                      <w:kern w:val="2"/>
                      <w:sz w:val="21"/>
                      <w:szCs w:val="21"/>
                      <w:highlight w:val="none"/>
                      <w:lang w:bidi="ar"/>
                    </w:rPr>
                    <w:t>出水水质</w:t>
                  </w:r>
                </w:p>
              </w:tc>
              <w:tc>
                <w:tcPr>
                  <w:tcW w:w="626" w:type="pct"/>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60</w:t>
                  </w:r>
                </w:p>
              </w:tc>
              <w:tc>
                <w:tcPr>
                  <w:tcW w:w="665" w:type="pct"/>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20</w:t>
                  </w:r>
                </w:p>
              </w:tc>
              <w:tc>
                <w:tcPr>
                  <w:tcW w:w="767" w:type="pct"/>
                  <w:tcBorders>
                    <w:top w:val="single" w:color="auto" w:sz="4" w:space="0"/>
                    <w:left w:val="single" w:color="auto" w:sz="4" w:space="0"/>
                    <w:bottom w:val="single" w:color="auto" w:sz="12" w:space="0"/>
                    <w:right w:val="single" w:color="auto" w:sz="4" w:space="0"/>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20</w:t>
                  </w:r>
                </w:p>
              </w:tc>
              <w:tc>
                <w:tcPr>
                  <w:tcW w:w="770" w:type="pct"/>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cs="Microsoft JhengHei"/>
                      <w:iCs/>
                      <w:color w:val="auto"/>
                      <w:sz w:val="21"/>
                      <w:szCs w:val="21"/>
                      <w:highlight w:val="none"/>
                      <w:lang w:bidi="ar"/>
                    </w:rPr>
                    <w:t>≤</w:t>
                  </w:r>
                  <w:r>
                    <w:rPr>
                      <w:rFonts w:hint="default" w:ascii="Times New Roman" w:hAnsi="Times New Roman"/>
                      <w:iCs/>
                      <w:color w:val="auto"/>
                      <w:kern w:val="2"/>
                      <w:sz w:val="21"/>
                      <w:szCs w:val="21"/>
                      <w:highlight w:val="none"/>
                      <w:lang w:bidi="ar"/>
                    </w:rPr>
                    <w:t>8</w:t>
                  </w:r>
                </w:p>
              </w:tc>
              <w:tc>
                <w:tcPr>
                  <w:tcW w:w="764" w:type="pct"/>
                  <w:tcBorders>
                    <w:top w:val="single" w:color="auto" w:sz="4" w:space="0"/>
                    <w:left w:val="single" w:color="auto" w:sz="4" w:space="0"/>
                    <w:bottom w:val="single" w:color="auto" w:sz="12" w:space="0"/>
                    <w:right w:val="nil"/>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ind w:left="0" w:right="0"/>
                    <w:jc w:val="center"/>
                    <w:rPr>
                      <w:rFonts w:hint="default"/>
                      <w:color w:val="auto"/>
                      <w:highlight w:val="none"/>
                    </w:rPr>
                  </w:pPr>
                  <w:r>
                    <w:rPr>
                      <w:rFonts w:hint="default" w:ascii="Times New Roman" w:hAnsi="Times New Roman"/>
                      <w:iCs/>
                      <w:color w:val="auto"/>
                      <w:kern w:val="2"/>
                      <w:sz w:val="21"/>
                      <w:szCs w:val="21"/>
                      <w:highlight w:val="none"/>
                      <w:lang w:bidi="ar"/>
                    </w:rPr>
                    <w:t>6~9</w:t>
                  </w:r>
                </w:p>
              </w:tc>
            </w:tr>
          </w:tbl>
          <w:p>
            <w:pPr>
              <w:pStyle w:val="25"/>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default"/>
                <w:color w:val="auto"/>
                <w:highlight w:val="none"/>
                <w:lang w:val="en-US" w:eastAsia="zh-CN"/>
              </w:rPr>
              <w:t>本项目生活污水污染物成分简单，可生化性高，经化粪池处理后可达《污水综合排放标准》（GB8978-1996）表4三级标准。项目生活污水经预处理后</w:t>
            </w:r>
            <w:r>
              <w:rPr>
                <w:rFonts w:hint="eastAsia"/>
                <w:color w:val="auto"/>
                <w:highlight w:val="none"/>
                <w:lang w:val="en-US" w:eastAsia="zh-CN"/>
              </w:rPr>
              <w:t>，</w:t>
            </w:r>
            <w:r>
              <w:rPr>
                <w:rFonts w:hint="default"/>
                <w:color w:val="auto"/>
                <w:highlight w:val="none"/>
                <w:lang w:val="en-US" w:eastAsia="zh-CN"/>
              </w:rPr>
              <w:t>水质能够满足福鼎市文渡污水处理厂的接管标准，不会对福鼎市文渡污水处理厂负荷和处理工艺</w:t>
            </w:r>
            <w:r>
              <w:rPr>
                <w:rFonts w:hint="eastAsia"/>
                <w:color w:val="auto"/>
                <w:highlight w:val="none"/>
                <w:lang w:val="en-US" w:eastAsia="zh-CN"/>
              </w:rPr>
              <w:t>造成</w:t>
            </w:r>
            <w:r>
              <w:rPr>
                <w:rFonts w:hint="default"/>
                <w:color w:val="auto"/>
                <w:highlight w:val="none"/>
                <w:lang w:val="en-US" w:eastAsia="zh-CN"/>
              </w:rPr>
              <w:t>影响</w:t>
            </w:r>
            <w:r>
              <w:rPr>
                <w:rFonts w:hint="eastAsia"/>
                <w:color w:val="auto"/>
                <w:highlight w:val="none"/>
                <w:lang w:val="en-US" w:eastAsia="zh-CN"/>
              </w:rPr>
              <w:t>。</w:t>
            </w:r>
          </w:p>
          <w:bookmarkEnd w:id="39"/>
          <w:p>
            <w:pPr>
              <w:keepNext w:val="0"/>
              <w:keepLines w:val="0"/>
              <w:suppressLineNumbers w:val="0"/>
              <w:spacing w:before="0" w:beforeAutospacing="0" w:after="0" w:afterAutospacing="0" w:line="360" w:lineRule="auto"/>
              <w:ind w:left="0" w:right="0" w:firstLine="480" w:firstLineChars="200"/>
              <w:jc w:val="left"/>
              <w:rPr>
                <w:rFonts w:hint="eastAsia" w:ascii="宋体" w:hAnsi="宋体" w:cs="宋体"/>
                <w:color w:val="auto"/>
                <w:sz w:val="24"/>
                <w:szCs w:val="22"/>
                <w:highlight w:val="none"/>
                <w:lang w:bidi="ar"/>
              </w:rPr>
            </w:pPr>
            <w:r>
              <w:rPr>
                <w:rFonts w:hint="eastAsia" w:ascii="宋体" w:hAnsi="宋体" w:cs="宋体"/>
                <w:color w:val="auto"/>
                <w:sz w:val="24"/>
                <w:szCs w:val="22"/>
                <w:highlight w:val="none"/>
                <w:lang w:bidi="ar"/>
              </w:rPr>
              <w:t>综上所述，本项目在文渡污水处理厂服务范围之内，投产营运后</w:t>
            </w:r>
            <w:r>
              <w:rPr>
                <w:rFonts w:hint="eastAsia" w:ascii="宋体" w:hAnsi="宋体" w:cs="宋体"/>
                <w:color w:val="auto"/>
                <w:sz w:val="24"/>
                <w:szCs w:val="22"/>
                <w:highlight w:val="none"/>
                <w:lang w:val="en-US" w:eastAsia="zh-CN" w:bidi="ar"/>
              </w:rPr>
              <w:t>生活污水</w:t>
            </w:r>
            <w:r>
              <w:rPr>
                <w:rFonts w:hint="eastAsia" w:ascii="宋体" w:hAnsi="宋体" w:cs="宋体"/>
                <w:color w:val="auto"/>
                <w:sz w:val="24"/>
                <w:szCs w:val="22"/>
                <w:highlight w:val="none"/>
                <w:lang w:bidi="ar"/>
              </w:rPr>
              <w:t>能够通过市政管网引至福鼎市文渡污水处理厂处理</w:t>
            </w:r>
            <w:r>
              <w:rPr>
                <w:rFonts w:hint="eastAsia" w:ascii="宋体" w:hAnsi="宋体" w:cs="宋体"/>
                <w:color w:val="auto"/>
                <w:sz w:val="24"/>
                <w:szCs w:val="22"/>
                <w:highlight w:val="none"/>
                <w:lang w:eastAsia="zh-CN" w:bidi="ar"/>
              </w:rPr>
              <w:t>。</w:t>
            </w:r>
            <w:r>
              <w:rPr>
                <w:rFonts w:hint="eastAsia" w:ascii="宋体" w:hAnsi="宋体" w:cs="宋体"/>
                <w:color w:val="auto"/>
                <w:sz w:val="24"/>
                <w:szCs w:val="22"/>
                <w:highlight w:val="none"/>
                <w:lang w:val="en-US" w:eastAsia="zh-CN" w:bidi="ar"/>
              </w:rPr>
              <w:t>项目外排废水</w:t>
            </w:r>
            <w:r>
              <w:rPr>
                <w:rFonts w:hint="eastAsia" w:ascii="宋体" w:hAnsi="宋体" w:cs="宋体"/>
                <w:color w:val="auto"/>
                <w:sz w:val="24"/>
                <w:szCs w:val="22"/>
                <w:highlight w:val="none"/>
                <w:lang w:bidi="ar"/>
              </w:rPr>
              <w:t>水量、水质</w:t>
            </w:r>
            <w:r>
              <w:rPr>
                <w:rFonts w:hint="eastAsia" w:ascii="宋体" w:hAnsi="宋体" w:cs="宋体"/>
                <w:color w:val="auto"/>
                <w:sz w:val="24"/>
                <w:szCs w:val="22"/>
                <w:highlight w:val="none"/>
                <w:lang w:val="en-US" w:eastAsia="zh-CN" w:bidi="ar"/>
              </w:rPr>
              <w:t>上符合污水处厂</w:t>
            </w:r>
            <w:r>
              <w:rPr>
                <w:rFonts w:hint="eastAsia" w:ascii="宋体" w:hAnsi="宋体" w:cs="宋体"/>
                <w:color w:val="auto"/>
                <w:sz w:val="24"/>
                <w:szCs w:val="22"/>
                <w:highlight w:val="none"/>
                <w:lang w:bidi="ar"/>
              </w:rPr>
              <w:t>的要求，不会对该污水厂的</w:t>
            </w:r>
            <w:r>
              <w:rPr>
                <w:rFonts w:hint="eastAsia" w:ascii="宋体" w:hAnsi="宋体" w:cs="宋体"/>
                <w:color w:val="auto"/>
                <w:sz w:val="24"/>
                <w:szCs w:val="22"/>
                <w:highlight w:val="none"/>
                <w:lang w:val="en-US" w:eastAsia="zh-CN" w:bidi="ar"/>
              </w:rPr>
              <w:t>正常运营</w:t>
            </w:r>
            <w:r>
              <w:rPr>
                <w:rFonts w:hint="eastAsia" w:ascii="宋体" w:hAnsi="宋体" w:cs="宋体"/>
                <w:color w:val="auto"/>
                <w:sz w:val="24"/>
                <w:szCs w:val="22"/>
                <w:highlight w:val="none"/>
                <w:lang w:bidi="ar"/>
              </w:rPr>
              <w:t>造成冲击。因此，本项目废水纳入</w:t>
            </w:r>
            <w:r>
              <w:rPr>
                <w:rFonts w:hint="default" w:ascii="宋体" w:hAnsi="宋体" w:cs="宋体"/>
                <w:color w:val="auto"/>
                <w:sz w:val="24"/>
                <w:szCs w:val="22"/>
                <w:highlight w:val="none"/>
                <w:lang w:bidi="ar"/>
              </w:rPr>
              <w:t>福鼎市文渡污水处理厂</w:t>
            </w:r>
            <w:r>
              <w:rPr>
                <w:rFonts w:hint="eastAsia" w:ascii="宋体" w:hAnsi="宋体" w:cs="宋体"/>
                <w:color w:val="auto"/>
                <w:sz w:val="24"/>
                <w:szCs w:val="22"/>
                <w:highlight w:val="none"/>
                <w:lang w:bidi="ar"/>
              </w:rPr>
              <w:t>处理</w:t>
            </w:r>
            <w:r>
              <w:rPr>
                <w:rFonts w:hint="default" w:ascii="宋体" w:hAnsi="宋体" w:cs="宋体"/>
                <w:color w:val="auto"/>
                <w:sz w:val="24"/>
                <w:szCs w:val="22"/>
                <w:highlight w:val="none"/>
                <w:lang w:bidi="ar"/>
              </w:rPr>
              <w:t>方案可行</w:t>
            </w:r>
            <w:r>
              <w:rPr>
                <w:rFonts w:hint="eastAsia" w:ascii="宋体" w:hAnsi="宋体" w:cs="宋体"/>
                <w:color w:val="auto"/>
                <w:sz w:val="24"/>
                <w:szCs w:val="22"/>
                <w:highlight w:val="none"/>
                <w:lang w:bidi="ar"/>
              </w:rPr>
              <w:t>。</w:t>
            </w:r>
          </w:p>
          <w:p>
            <w:pPr>
              <w:pStyle w:val="5"/>
              <w:suppressLineNumbers w:val="0"/>
              <w:bidi w:val="0"/>
              <w:spacing w:before="0" w:beforeAutospacing="0" w:after="0" w:afterAutospacing="0"/>
              <w:ind w:right="0"/>
              <w:rPr>
                <w:rFonts w:hint="eastAsia"/>
                <w:color w:val="auto"/>
                <w:lang w:val="en-US" w:eastAsia="zh-CN"/>
              </w:rPr>
            </w:pPr>
            <w:r>
              <w:rPr>
                <w:rFonts w:hint="eastAsia"/>
                <w:color w:val="auto"/>
                <w:lang w:val="en-US" w:eastAsia="zh-CN"/>
              </w:rPr>
              <w:t>污染源监测计划</w:t>
            </w:r>
          </w:p>
          <w:p>
            <w:pPr>
              <w:pStyle w:val="22"/>
              <w:keepNext w:val="0"/>
              <w:keepLines w:val="0"/>
              <w:suppressLineNumbers w:val="0"/>
              <w:spacing w:before="0" w:beforeAutospacing="0" w:after="0" w:afterAutospacing="0"/>
              <w:ind w:right="0"/>
              <w:rPr>
                <w:rFonts w:hint="default"/>
                <w:color w:val="auto"/>
              </w:rPr>
            </w:pPr>
            <w:r>
              <w:rPr>
                <w:rFonts w:hint="eastAsia"/>
                <w:color w:val="auto"/>
                <w:lang w:val="en-US" w:eastAsia="zh-CN"/>
              </w:rPr>
              <w:t>废水</w:t>
            </w:r>
            <w:r>
              <w:rPr>
                <w:rFonts w:hint="default"/>
                <w:color w:val="auto"/>
              </w:rPr>
              <w:t>污染源监测计划</w:t>
            </w:r>
          </w:p>
          <w:p>
            <w:pPr>
              <w:pStyle w:val="14"/>
              <w:keepNext w:val="0"/>
              <w:keepLines w:val="0"/>
              <w:suppressLineNumbers w:val="0"/>
              <w:spacing w:beforeAutospacing="0" w:after="0" w:afterAutospacing="0"/>
              <w:ind w:right="0"/>
              <w:rPr>
                <w:rFonts w:hint="eastAsia"/>
                <w:color w:val="auto"/>
              </w:rPr>
            </w:pPr>
          </w:p>
          <w:p>
            <w:pPr>
              <w:pStyle w:val="4"/>
              <w:keepNext w:val="0"/>
              <w:keepLines w:val="0"/>
              <w:numPr>
                <w:ilvl w:val="1"/>
                <w:numId w:val="10"/>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噪声</w:t>
            </w:r>
          </w:p>
          <w:p>
            <w:pPr>
              <w:pStyle w:val="5"/>
              <w:numPr>
                <w:ilvl w:val="2"/>
                <w:numId w:val="10"/>
              </w:numPr>
              <w:suppressLineNumbers w:val="0"/>
              <w:spacing w:before="0" w:beforeAutospacing="0" w:after="0" w:afterAutospacing="0"/>
              <w:ind w:right="0"/>
              <w:rPr>
                <w:rFonts w:hint="default"/>
                <w:color w:val="auto"/>
                <w:highlight w:val="none"/>
              </w:rPr>
            </w:pPr>
            <w:r>
              <w:rPr>
                <w:rFonts w:hint="default"/>
                <w:color w:val="auto"/>
                <w:highlight w:val="none"/>
              </w:rPr>
              <w:t>噪声污染源分析</w:t>
            </w:r>
          </w:p>
          <w:p>
            <w:pPr>
              <w:pStyle w:val="25"/>
              <w:keepNext w:val="0"/>
              <w:keepLines w:val="0"/>
              <w:suppressLineNumbers w:val="0"/>
              <w:spacing w:before="0" w:beforeAutospacing="0" w:after="0" w:afterAutospacing="0"/>
              <w:ind w:left="0" w:right="0" w:firstLine="480"/>
              <w:rPr>
                <w:rFonts w:hint="eastAsia"/>
                <w:color w:val="auto"/>
                <w:highlight w:val="none"/>
                <w:lang w:eastAsia="zh-CN"/>
              </w:rPr>
            </w:pPr>
            <w:r>
              <w:rPr>
                <w:rFonts w:hint="default"/>
                <w:color w:val="auto"/>
                <w:highlight w:val="none"/>
              </w:rPr>
              <w:t>本项目</w:t>
            </w:r>
            <w:r>
              <w:rPr>
                <w:rFonts w:hint="eastAsia"/>
                <w:color w:val="auto"/>
                <w:highlight w:val="none"/>
                <w:lang w:val="en-US" w:eastAsia="zh-CN"/>
              </w:rPr>
              <w:t>新增设备均</w:t>
            </w:r>
            <w:r>
              <w:rPr>
                <w:rFonts w:hint="default"/>
                <w:color w:val="auto"/>
                <w:highlight w:val="none"/>
              </w:rPr>
              <w:t>安置在厂房内，主要噪声源是</w:t>
            </w:r>
            <w:r>
              <w:rPr>
                <w:rFonts w:hint="eastAsia"/>
                <w:color w:val="auto"/>
                <w:highlight w:val="none"/>
                <w:lang w:val="en-US" w:eastAsia="zh-CN"/>
              </w:rPr>
              <w:t>空气锤、锻压机、压力机</w:t>
            </w:r>
            <w:r>
              <w:rPr>
                <w:rFonts w:hint="default"/>
                <w:color w:val="auto"/>
                <w:highlight w:val="none"/>
              </w:rPr>
              <w:t>等设备</w:t>
            </w:r>
            <w:r>
              <w:rPr>
                <w:rFonts w:hint="eastAsia"/>
                <w:color w:val="auto"/>
                <w:highlight w:val="none"/>
                <w:lang w:eastAsia="zh-CN"/>
              </w:rPr>
              <w:t>，</w:t>
            </w:r>
            <w:r>
              <w:rPr>
                <w:rFonts w:hint="eastAsia"/>
                <w:color w:val="auto"/>
                <w:highlight w:val="none"/>
                <w:lang w:val="en-US" w:eastAsia="zh-CN"/>
              </w:rPr>
              <w:t>噪声源强见下表</w:t>
            </w:r>
            <w:r>
              <w:rPr>
                <w:rFonts w:hint="eastAsia"/>
                <w:color w:val="auto"/>
                <w:highlight w:val="none"/>
                <w:lang w:eastAsia="zh-CN"/>
              </w:rPr>
              <w:t>。</w:t>
            </w:r>
          </w:p>
          <w:p>
            <w:pPr>
              <w:pStyle w:val="22"/>
              <w:keepNext w:val="0"/>
              <w:keepLines w:val="0"/>
              <w:suppressLineNumbers w:val="0"/>
              <w:bidi w:val="0"/>
              <w:spacing w:before="0" w:beforeAutospacing="0" w:after="0" w:afterAutospacing="0"/>
              <w:ind w:right="0"/>
              <w:rPr>
                <w:rFonts w:hint="default"/>
                <w:color w:val="auto"/>
              </w:rPr>
            </w:pPr>
            <w:bookmarkStart w:id="40" w:name="_Ref28004"/>
            <w:r>
              <w:rPr>
                <w:rFonts w:hint="default"/>
                <w:color w:val="auto"/>
              </w:rPr>
              <w:t>主要噪声源强</w:t>
            </w:r>
            <w:bookmarkEnd w:id="40"/>
          </w:p>
          <w:p>
            <w:pPr>
              <w:pStyle w:val="25"/>
              <w:keepNext w:val="0"/>
              <w:keepLines w:val="0"/>
              <w:numPr>
                <w:ilvl w:val="0"/>
                <w:numId w:val="0"/>
              </w:numPr>
              <w:suppressLineNumbers w:val="0"/>
              <w:bidi w:val="0"/>
              <w:spacing w:before="0" w:beforeAutospacing="0" w:after="0" w:afterAutospacing="0"/>
              <w:ind w:left="420" w:leftChars="200" w:right="0"/>
              <w:rPr>
                <w:rFonts w:hint="default"/>
              </w:rPr>
            </w:pPr>
            <w:bookmarkStart w:id="41" w:name="_Toc21104"/>
            <w:bookmarkStart w:id="42" w:name="_Toc2598"/>
            <w:bookmarkStart w:id="43" w:name="_Toc15502"/>
          </w:p>
          <w:p>
            <w:pPr>
              <w:pStyle w:val="5"/>
              <w:numPr>
                <w:ilvl w:val="2"/>
                <w:numId w:val="10"/>
              </w:numPr>
              <w:suppressLineNumbers w:val="0"/>
              <w:spacing w:before="0" w:beforeAutospacing="0" w:after="0" w:afterAutospacing="0"/>
              <w:ind w:right="0"/>
              <w:rPr>
                <w:rFonts w:hint="default"/>
                <w:color w:val="auto"/>
                <w:highlight w:val="none"/>
              </w:rPr>
            </w:pPr>
            <w:r>
              <w:rPr>
                <w:rFonts w:hint="default"/>
                <w:color w:val="auto"/>
                <w:highlight w:val="none"/>
              </w:rPr>
              <w:t>运营期</w:t>
            </w:r>
            <w:bookmarkEnd w:id="41"/>
            <w:bookmarkEnd w:id="42"/>
            <w:bookmarkEnd w:id="43"/>
            <w:r>
              <w:rPr>
                <w:rFonts w:hint="eastAsia"/>
                <w:color w:val="auto"/>
                <w:highlight w:val="none"/>
                <w:lang w:val="en-US" w:eastAsia="zh-CN"/>
              </w:rPr>
              <w:t>噪声预测模式</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本项目噪声源均安置在厂房内或相应的设备间内，主要噪声源强介于</w:t>
            </w:r>
            <w:r>
              <w:rPr>
                <w:rFonts w:hint="eastAsia"/>
                <w:color w:val="auto"/>
                <w:highlight w:val="none"/>
              </w:rPr>
              <w:t>80</w:t>
            </w:r>
            <w:r>
              <w:rPr>
                <w:rFonts w:hint="default"/>
                <w:color w:val="auto"/>
                <w:highlight w:val="none"/>
              </w:rPr>
              <w:t>~</w:t>
            </w:r>
            <w:r>
              <w:rPr>
                <w:rFonts w:hint="eastAsia"/>
                <w:color w:val="auto"/>
                <w:highlight w:val="none"/>
                <w:lang w:val="en-US" w:eastAsia="zh-CN"/>
              </w:rPr>
              <w:t>90</w:t>
            </w:r>
            <w:r>
              <w:rPr>
                <w:rFonts w:hint="default"/>
                <w:color w:val="auto"/>
                <w:highlight w:val="none"/>
              </w:rPr>
              <w:t>dB</w:t>
            </w:r>
            <w:r>
              <w:rPr>
                <w:rFonts w:hint="eastAsia"/>
                <w:color w:val="auto"/>
                <w:highlight w:val="none"/>
              </w:rPr>
              <w:t>（A）</w:t>
            </w:r>
            <w:r>
              <w:rPr>
                <w:rFonts w:hint="default"/>
                <w:color w:val="auto"/>
                <w:highlight w:val="none"/>
              </w:rPr>
              <w:t>之间，根据类比资料，有门窗设置的构筑物隔声量一般为10~25dB(A)，本项目按20dB(A)计。车间外噪声的传播</w:t>
            </w:r>
            <w:r>
              <w:rPr>
                <w:rFonts w:hint="eastAsia"/>
                <w:color w:val="auto"/>
                <w:highlight w:val="none"/>
              </w:rPr>
              <w:t>可以</w:t>
            </w:r>
            <w:r>
              <w:rPr>
                <w:rFonts w:hint="default"/>
                <w:color w:val="auto"/>
                <w:highlight w:val="none"/>
              </w:rPr>
              <w:t>近似认为在半自由声场中的扩散，仅考虑距离衰减值，忽略大气吸收、障碍物屏障等因素，从最不利角度考虑，因此预测模式采用半自由空间点声源的几何衰减公式：</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highlight w:val="none"/>
              </w:rPr>
            </w:pPr>
            <w:r>
              <w:rPr>
                <w:rFonts w:hint="default"/>
                <w:color w:val="auto"/>
                <w:highlight w:val="none"/>
              </w:rPr>
              <w:t>LA(r)＝ LWA- 20lgr -△L</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式中：LA(r)为预测点声级，dB(A)；LWA为声源声功率级dB(A)；r为声源距预测点的距离，m；△L为车间隔声插入损失量，dB(A)。</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多个声压级不同声音的叠加模式：</w:t>
            </w:r>
          </w:p>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highlight w:val="none"/>
              </w:rPr>
            </w:pPr>
            <w:r>
              <w:rPr>
                <w:rFonts w:hint="default"/>
                <w:color w:val="auto"/>
                <w:position w:val="-34"/>
                <w:szCs w:val="21"/>
                <w:highlight w:val="none"/>
              </w:rPr>
              <w:object>
                <v:shape id="_x0000_i1028" o:spt="75" type="#_x0000_t75" style="height:39.75pt;width:171.7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5" r:id="rId11">
                  <o:LockedField>false</o:LockedField>
                </o:OLEObject>
              </w:objec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t>式中：L—总噪声值，dB；</w:t>
            </w:r>
          </w:p>
          <w:p>
            <w:pPr>
              <w:pStyle w:val="25"/>
              <w:keepNext w:val="0"/>
              <w:keepLines w:val="0"/>
              <w:suppressLineNumbers w:val="0"/>
              <w:spacing w:before="0" w:beforeAutospacing="0" w:after="0" w:afterAutospacing="0"/>
              <w:ind w:left="0" w:right="0" w:firstLine="1200" w:firstLineChars="500"/>
              <w:rPr>
                <w:rFonts w:hint="default"/>
                <w:color w:val="auto"/>
                <w:highlight w:val="none"/>
              </w:rPr>
            </w:pPr>
            <w:r>
              <w:rPr>
                <w:rFonts w:hint="default"/>
                <w:color w:val="auto"/>
                <w:highlight w:val="none"/>
              </w:rPr>
              <w:t>L1、L2、Ln—各不同声源的噪声值。</w:t>
            </w:r>
          </w:p>
          <w:p>
            <w:pPr>
              <w:pStyle w:val="5"/>
              <w:numPr>
                <w:ilvl w:val="2"/>
                <w:numId w:val="10"/>
              </w:numPr>
              <w:suppressLineNumbers w:val="0"/>
              <w:spacing w:before="0" w:beforeAutospacing="0" w:after="0" w:afterAutospacing="0"/>
              <w:ind w:right="0"/>
              <w:rPr>
                <w:rFonts w:hint="default"/>
                <w:color w:val="auto"/>
                <w:highlight w:val="none"/>
                <w:lang w:val="en-US" w:eastAsia="zh-CN"/>
              </w:rPr>
            </w:pPr>
            <w:r>
              <w:rPr>
                <w:rFonts w:hint="eastAsia"/>
                <w:color w:val="auto"/>
                <w:highlight w:val="none"/>
                <w:lang w:val="en-US" w:eastAsia="zh-CN"/>
              </w:rPr>
              <w:t>噪声预测及影响评价</w:t>
            </w:r>
          </w:p>
          <w:p>
            <w:pPr>
              <w:pStyle w:val="25"/>
              <w:keepNext w:val="0"/>
              <w:keepLines w:val="0"/>
              <w:suppressLineNumbers w:val="0"/>
              <w:bidi w:val="0"/>
              <w:spacing w:before="0" w:beforeAutospacing="0" w:after="0" w:afterAutospacing="0"/>
              <w:ind w:left="0" w:right="0"/>
              <w:rPr>
                <w:rFonts w:hint="default"/>
                <w:color w:val="auto"/>
                <w:highlight w:val="yellow"/>
                <w:lang w:val="en-US" w:eastAsia="zh-CN"/>
              </w:rPr>
            </w:pPr>
            <w:r>
              <w:rPr>
                <w:rFonts w:hint="default"/>
                <w:color w:val="auto"/>
                <w:highlight w:val="none"/>
                <w:lang w:val="en-US" w:eastAsia="zh-CN"/>
              </w:rPr>
              <w:t>经预测，计算本项目</w:t>
            </w:r>
            <w:r>
              <w:rPr>
                <w:rFonts w:hint="eastAsia"/>
                <w:color w:val="auto"/>
                <w:highlight w:val="none"/>
                <w:lang w:val="en-US" w:eastAsia="zh-CN"/>
              </w:rPr>
              <w:t>新增</w:t>
            </w:r>
            <w:r>
              <w:rPr>
                <w:rFonts w:hint="default"/>
                <w:color w:val="auto"/>
                <w:highlight w:val="none"/>
                <w:lang w:val="en-US" w:eastAsia="zh-CN"/>
              </w:rPr>
              <w:t>固定设备噪声对场界影响贡献值，详见</w:t>
            </w:r>
            <w:r>
              <w:rPr>
                <w:rFonts w:hint="eastAsia"/>
                <w:color w:val="auto"/>
                <w:highlight w:val="none"/>
                <w:lang w:val="en-US" w:eastAsia="zh-CN"/>
              </w:rPr>
              <w:t>下表</w:t>
            </w:r>
            <w:r>
              <w:rPr>
                <w:rFonts w:hint="default"/>
                <w:color w:val="auto"/>
                <w:highlight w:val="none"/>
                <w:lang w:val="en-US" w:eastAsia="zh-CN"/>
              </w:rPr>
              <w:t>。本项目为扩建项目，现有项目生产设备正常运行，本次评价以厂界现状噪声值叠加扩建项目厂界贡献值，</w:t>
            </w:r>
            <w:r>
              <w:rPr>
                <w:rFonts w:hint="eastAsia"/>
                <w:color w:val="auto"/>
                <w:highlight w:val="none"/>
                <w:lang w:val="en-US" w:eastAsia="zh-CN"/>
              </w:rPr>
              <w:t>对</w:t>
            </w:r>
            <w:r>
              <w:rPr>
                <w:rFonts w:hint="default"/>
                <w:color w:val="auto"/>
                <w:highlight w:val="none"/>
                <w:lang w:val="en-US" w:eastAsia="zh-CN"/>
              </w:rPr>
              <w:t>扩建后全厂运行时厂界噪声影响</w:t>
            </w:r>
            <w:r>
              <w:rPr>
                <w:rFonts w:hint="eastAsia"/>
                <w:color w:val="auto"/>
                <w:highlight w:val="none"/>
                <w:lang w:val="en-US" w:eastAsia="zh-CN"/>
              </w:rPr>
              <w:t>进行</w:t>
            </w:r>
            <w:r>
              <w:rPr>
                <w:rFonts w:hint="default"/>
                <w:color w:val="auto"/>
                <w:highlight w:val="none"/>
                <w:lang w:val="en-US" w:eastAsia="zh-CN"/>
              </w:rPr>
              <w:t>评价。</w:t>
            </w:r>
          </w:p>
          <w:p>
            <w:pPr>
              <w:pStyle w:val="22"/>
              <w:keepNext w:val="0"/>
              <w:keepLines w:val="0"/>
              <w:suppressLineNumbers w:val="0"/>
              <w:bidi w:val="0"/>
              <w:spacing w:before="0" w:beforeAutospacing="0" w:after="0" w:afterAutospacing="0"/>
              <w:ind w:right="0"/>
              <w:rPr>
                <w:rFonts w:hint="default"/>
                <w:color w:val="auto"/>
                <w:lang w:val="en-US"/>
              </w:rPr>
            </w:pPr>
            <w:bookmarkStart w:id="44" w:name="_Ref31254"/>
            <w:r>
              <w:rPr>
                <w:rFonts w:hint="eastAsia"/>
                <w:color w:val="auto"/>
                <w:lang w:val="en-US" w:eastAsia="zh-CN"/>
              </w:rPr>
              <w:t>新增设备</w:t>
            </w:r>
            <w:r>
              <w:rPr>
                <w:rFonts w:hint="default"/>
                <w:color w:val="auto"/>
              </w:rPr>
              <w:t>噪声</w:t>
            </w:r>
            <w:bookmarkEnd w:id="44"/>
            <w:r>
              <w:rPr>
                <w:rFonts w:hint="eastAsia"/>
                <w:color w:val="auto"/>
                <w:lang w:val="en-US" w:eastAsia="zh-CN"/>
              </w:rPr>
              <w:t>厂界贡献值</w:t>
            </w:r>
          </w:p>
          <w:p>
            <w:pPr>
              <w:pStyle w:val="25"/>
              <w:keepNext w:val="0"/>
              <w:keepLines w:val="0"/>
              <w:suppressLineNumbers w:val="0"/>
              <w:bidi w:val="0"/>
              <w:spacing w:before="0" w:beforeAutospacing="0" w:after="0" w:afterAutospacing="0"/>
              <w:ind w:left="0" w:right="0"/>
              <w:rPr>
                <w:rFonts w:hint="default"/>
                <w:color w:val="auto"/>
                <w:lang w:eastAsia="zh-CN"/>
              </w:rPr>
            </w:pPr>
            <w:r>
              <w:rPr>
                <w:rFonts w:hint="eastAsia"/>
                <w:color w:val="auto"/>
                <w:lang w:eastAsia="zh-CN"/>
              </w:rPr>
              <w:t>由</w:t>
            </w:r>
            <w:r>
              <w:rPr>
                <w:rFonts w:hint="eastAsia"/>
                <w:color w:val="auto"/>
                <w:lang w:val="en-US" w:eastAsia="zh-CN"/>
              </w:rPr>
              <w:t>上表</w:t>
            </w:r>
            <w:r>
              <w:rPr>
                <w:rFonts w:hint="eastAsia"/>
                <w:color w:val="auto"/>
                <w:lang w:eastAsia="zh-CN"/>
              </w:rPr>
              <w:t>的预测结果可知，本项目投运后</w:t>
            </w:r>
            <w:r>
              <w:rPr>
                <w:rFonts w:hint="eastAsia"/>
                <w:color w:val="auto"/>
                <w:lang w:val="en-US" w:eastAsia="zh-CN"/>
              </w:rPr>
              <w:t>厂界噪声贡献值</w:t>
            </w:r>
            <w:r>
              <w:rPr>
                <w:rFonts w:hint="eastAsia"/>
                <w:color w:val="auto"/>
                <w:lang w:eastAsia="zh-CN"/>
              </w:rPr>
              <w:t>昼、夜噪声均满足《工业企业厂界环境噪声排放标准》</w:t>
            </w:r>
            <w:r>
              <w:rPr>
                <w:rFonts w:hint="default"/>
                <w:color w:val="auto"/>
                <w:lang w:eastAsia="zh-CN"/>
              </w:rPr>
              <w:t>(GB12348-2008)</w:t>
            </w:r>
            <w:r>
              <w:rPr>
                <w:rFonts w:hint="eastAsia"/>
                <w:color w:val="auto"/>
                <w:lang w:eastAsia="zh-CN"/>
              </w:rPr>
              <w:t>中</w:t>
            </w:r>
            <w:r>
              <w:rPr>
                <w:rFonts w:hint="default"/>
                <w:color w:val="auto"/>
                <w:lang w:val="en-US"/>
              </w:rPr>
              <w:t>3</w:t>
            </w:r>
            <w:r>
              <w:rPr>
                <w:rFonts w:hint="eastAsia"/>
                <w:color w:val="auto"/>
                <w:lang w:eastAsia="zh-CN"/>
              </w:rPr>
              <w:t>类标准限值，</w:t>
            </w:r>
            <w:r>
              <w:rPr>
                <w:rFonts w:hint="eastAsia"/>
                <w:color w:val="auto"/>
                <w:lang w:val="en-US" w:eastAsia="zh-CN"/>
              </w:rPr>
              <w:t>对周边声环境影响较小</w:t>
            </w:r>
            <w:r>
              <w:rPr>
                <w:rFonts w:hint="eastAsia"/>
                <w:color w:val="auto"/>
                <w:lang w:eastAsia="zh-CN"/>
              </w:rPr>
              <w:t>。</w:t>
            </w:r>
          </w:p>
          <w:p>
            <w:pPr>
              <w:pStyle w:val="5"/>
              <w:numPr>
                <w:ilvl w:val="2"/>
                <w:numId w:val="10"/>
              </w:numPr>
              <w:suppressLineNumbers w:val="0"/>
              <w:spacing w:before="0" w:beforeAutospacing="0" w:after="0" w:afterAutospacing="0"/>
              <w:ind w:right="0"/>
              <w:rPr>
                <w:rFonts w:hint="default"/>
                <w:color w:val="auto"/>
                <w:highlight w:val="none"/>
              </w:rPr>
            </w:pPr>
            <w:r>
              <w:rPr>
                <w:rFonts w:hint="eastAsia"/>
                <w:color w:val="auto"/>
                <w:highlight w:val="none"/>
              </w:rPr>
              <w:t>噪声环境监测要求</w:t>
            </w:r>
          </w:p>
          <w:p>
            <w:pPr>
              <w:pStyle w:val="25"/>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项目噪声监测计划见下表。</w:t>
            </w:r>
          </w:p>
          <w:p>
            <w:pPr>
              <w:pStyle w:val="22"/>
              <w:keepNext w:val="0"/>
              <w:keepLines w:val="0"/>
              <w:suppressLineNumbers w:val="0"/>
              <w:bidi w:val="0"/>
              <w:spacing w:before="0" w:beforeAutospacing="0" w:after="0" w:afterAutospacing="0"/>
              <w:ind w:right="0"/>
              <w:rPr>
                <w:rFonts w:hint="default"/>
                <w:color w:val="auto"/>
              </w:rPr>
            </w:pPr>
            <w:r>
              <w:rPr>
                <w:rFonts w:hint="default"/>
                <w:color w:val="auto"/>
              </w:rPr>
              <w:t>噪声监测计划</w:t>
            </w:r>
          </w:p>
          <w:p>
            <w:pPr>
              <w:pStyle w:val="25"/>
              <w:keepNext w:val="0"/>
              <w:keepLines w:val="0"/>
              <w:suppressLineNumbers w:val="0"/>
              <w:bidi w:val="0"/>
              <w:spacing w:before="0" w:beforeAutospacing="0" w:after="0" w:afterAutospacing="0"/>
              <w:ind w:left="0" w:right="0"/>
              <w:rPr>
                <w:rFonts w:hint="default"/>
              </w:rPr>
            </w:pPr>
          </w:p>
          <w:p>
            <w:pPr>
              <w:pStyle w:val="4"/>
              <w:keepNext w:val="0"/>
              <w:keepLines w:val="0"/>
              <w:numPr>
                <w:ilvl w:val="1"/>
                <w:numId w:val="10"/>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固体废物</w:t>
            </w:r>
          </w:p>
          <w:p>
            <w:pPr>
              <w:pStyle w:val="5"/>
              <w:numPr>
                <w:ilvl w:val="2"/>
                <w:numId w:val="10"/>
              </w:numPr>
              <w:suppressLineNumbers w:val="0"/>
              <w:spacing w:before="0" w:beforeAutospacing="0" w:after="0" w:afterAutospacing="0"/>
              <w:ind w:right="0"/>
              <w:rPr>
                <w:rFonts w:hint="default"/>
                <w:color w:val="auto"/>
                <w:highlight w:val="none"/>
              </w:rPr>
            </w:pPr>
            <w:r>
              <w:rPr>
                <w:rFonts w:hint="default"/>
                <w:color w:val="auto"/>
                <w:highlight w:val="none"/>
              </w:rPr>
              <w:t>固废污染源分析</w:t>
            </w:r>
          </w:p>
          <w:p>
            <w:pPr>
              <w:pStyle w:val="25"/>
              <w:keepNext w:val="0"/>
              <w:keepLines w:val="0"/>
              <w:suppressLineNumbers w:val="0"/>
              <w:spacing w:before="0" w:beforeAutospacing="0" w:after="0" w:afterAutospacing="0"/>
              <w:ind w:left="0" w:right="0" w:firstLine="480"/>
              <w:rPr>
                <w:rFonts w:hint="eastAsia"/>
                <w:color w:val="auto"/>
                <w:highlight w:val="none"/>
                <w:lang w:val="en-US" w:eastAsia="zh-CN"/>
              </w:rPr>
            </w:pPr>
            <w:r>
              <w:rPr>
                <w:rFonts w:hint="default"/>
                <w:color w:val="auto"/>
                <w:highlight w:val="none"/>
              </w:rPr>
              <w:t>本项目固废产生情况及处置见</w:t>
            </w:r>
            <w:r>
              <w:rPr>
                <w:rFonts w:hint="eastAsia"/>
                <w:color w:val="auto"/>
                <w:highlight w:val="none"/>
                <w:lang w:val="en-US" w:eastAsia="zh-CN"/>
              </w:rPr>
              <w:t>下表。</w:t>
            </w:r>
            <w:bookmarkStart w:id="45" w:name="_Ref28204"/>
            <w:bookmarkStart w:id="46" w:name="_Ref31352"/>
            <w:bookmarkStart w:id="47" w:name="OLE_LINK21"/>
            <w:bookmarkStart w:id="48" w:name="OLE_LINK22"/>
          </w:p>
          <w:p>
            <w:pPr>
              <w:pStyle w:val="25"/>
              <w:keepNext w:val="0"/>
              <w:keepLines w:val="0"/>
              <w:suppressLineNumbers w:val="0"/>
              <w:spacing w:before="0" w:beforeAutospacing="0" w:after="0" w:afterAutospacing="0"/>
              <w:ind w:left="0" w:right="0" w:firstLine="480"/>
              <w:rPr>
                <w:rFonts w:hint="default"/>
                <w:color w:val="auto"/>
                <w:highlight w:val="none"/>
                <w:lang w:val="en-US" w:eastAsia="zh-CN"/>
              </w:rPr>
            </w:pPr>
          </w:p>
          <w:p>
            <w:pPr>
              <w:pStyle w:val="22"/>
              <w:keepNext w:val="0"/>
              <w:keepLines w:val="0"/>
              <w:suppressLineNumbers w:val="0"/>
              <w:bidi w:val="0"/>
              <w:spacing w:before="0" w:beforeAutospacing="0" w:after="0" w:afterAutospacing="0"/>
              <w:ind w:right="0"/>
              <w:rPr>
                <w:rFonts w:hint="default"/>
                <w:color w:val="auto"/>
              </w:rPr>
            </w:pPr>
            <w:r>
              <w:rPr>
                <w:rFonts w:hint="default"/>
                <w:color w:val="auto"/>
              </w:rPr>
              <w:t>本项目固废产生情况及处置一览表</w:t>
            </w:r>
            <w:bookmarkEnd w:id="45"/>
            <w:bookmarkEnd w:id="46"/>
          </w:p>
          <w:p>
            <w:pPr>
              <w:pStyle w:val="25"/>
              <w:keepNext w:val="0"/>
              <w:keepLines w:val="0"/>
              <w:suppressLineNumbers w:val="0"/>
              <w:bidi w:val="0"/>
              <w:spacing w:before="0" w:beforeAutospacing="0" w:after="0" w:afterAutospacing="0"/>
              <w:ind w:left="0" w:right="0"/>
              <w:rPr>
                <w:rFonts w:hint="eastAsia"/>
                <w:color w:val="auto"/>
                <w:lang w:eastAsia="zh-CN"/>
              </w:rPr>
            </w:pPr>
          </w:p>
          <w:p>
            <w:pPr>
              <w:pStyle w:val="25"/>
              <w:keepNext w:val="0"/>
              <w:keepLines w:val="0"/>
              <w:suppressLineNumbers w:val="0"/>
              <w:bidi w:val="0"/>
              <w:spacing w:before="0" w:beforeAutospacing="0" w:after="0" w:afterAutospacing="0"/>
              <w:ind w:left="0" w:right="0"/>
              <w:rPr>
                <w:rFonts w:hint="eastAsia"/>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default"/>
                <w:color w:val="auto"/>
              </w:rPr>
              <w:t>一般工业</w:t>
            </w:r>
            <w:r>
              <w:rPr>
                <w:rFonts w:hint="eastAsia"/>
                <w:color w:val="auto"/>
                <w:lang w:eastAsia="zh-CN"/>
              </w:rPr>
              <w:t>固体废物</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fldChar w:fldCharType="begin"/>
            </w:r>
            <w:r>
              <w:rPr>
                <w:rFonts w:hint="default"/>
                <w:color w:val="auto"/>
              </w:rPr>
              <w:instrText xml:space="preserve"> = 1 \* GB3 \* MERGEFORMAT </w:instrText>
            </w:r>
            <w:r>
              <w:rPr>
                <w:rFonts w:hint="default"/>
                <w:color w:val="auto"/>
              </w:rPr>
              <w:fldChar w:fldCharType="separate"/>
            </w:r>
            <w:r>
              <w:rPr>
                <w:rFonts w:hint="default"/>
                <w:color w:val="auto"/>
              </w:rPr>
              <w:t>①</w:t>
            </w:r>
            <w:r>
              <w:rPr>
                <w:rFonts w:hint="default"/>
                <w:color w:val="auto"/>
              </w:rPr>
              <w:fldChar w:fldCharType="end"/>
            </w:r>
            <w:r>
              <w:rPr>
                <w:rFonts w:hint="default"/>
                <w:color w:val="auto"/>
              </w:rPr>
              <w:t>边角料：</w:t>
            </w:r>
            <w:r>
              <w:rPr>
                <w:rFonts w:hint="eastAsia"/>
                <w:color w:val="auto"/>
                <w:lang w:val="en-US" w:eastAsia="zh-CN"/>
              </w:rPr>
              <w:t>项目在机加工过程会产生边角料，类比现有工程（已批已建工程年产3000吨产品，边角料产生量为30t/a）</w:t>
            </w:r>
            <w:r>
              <w:rPr>
                <w:rFonts w:hint="eastAsia"/>
                <w:color w:val="auto"/>
                <w:lang w:eastAsia="zh-CN"/>
              </w:rPr>
              <w:t>，</w:t>
            </w:r>
            <w:r>
              <w:rPr>
                <w:rFonts w:hint="default"/>
                <w:color w:val="auto"/>
              </w:rPr>
              <w:t>本项目废边角料产生量为</w:t>
            </w:r>
            <w:r>
              <w:rPr>
                <w:rFonts w:hint="eastAsia"/>
                <w:color w:val="auto"/>
                <w:lang w:val="en-US" w:eastAsia="zh-CN"/>
              </w:rPr>
              <w:t>20</w:t>
            </w:r>
            <w:r>
              <w:rPr>
                <w:rFonts w:hint="default"/>
                <w:color w:val="auto"/>
              </w:rPr>
              <w:t>t/a。</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②</w:t>
            </w:r>
            <w:r>
              <w:rPr>
                <w:rFonts w:hint="eastAsia"/>
                <w:color w:val="auto"/>
                <w:lang w:eastAsia="zh-CN"/>
              </w:rPr>
              <w:t>废品</w:t>
            </w:r>
            <w:r>
              <w:rPr>
                <w:rFonts w:hint="default"/>
                <w:color w:val="auto"/>
              </w:rPr>
              <w:t>：生产过程中会产生</w:t>
            </w:r>
            <w:r>
              <w:rPr>
                <w:rFonts w:hint="eastAsia"/>
                <w:color w:val="auto"/>
                <w:lang w:eastAsia="zh-CN"/>
              </w:rPr>
              <w:t>废品</w:t>
            </w:r>
            <w:r>
              <w:rPr>
                <w:rFonts w:hint="default"/>
                <w:color w:val="auto"/>
              </w:rPr>
              <w:t>，</w:t>
            </w:r>
            <w:r>
              <w:rPr>
                <w:rFonts w:hint="eastAsia"/>
                <w:color w:val="auto"/>
                <w:lang w:eastAsia="zh-CN"/>
              </w:rPr>
              <w:t>废品主要为阀门锻件不合格品，</w:t>
            </w:r>
            <w:r>
              <w:rPr>
                <w:rFonts w:hint="eastAsia"/>
                <w:color w:val="auto"/>
                <w:lang w:val="en-US" w:eastAsia="zh-CN"/>
              </w:rPr>
              <w:t>类比现有工程（已批已建工程年产3000吨产品，废品产生量为30t/a），</w:t>
            </w:r>
            <w:r>
              <w:rPr>
                <w:rFonts w:hint="default"/>
                <w:color w:val="auto"/>
              </w:rPr>
              <w:t>废品产生量为</w:t>
            </w:r>
            <w:r>
              <w:rPr>
                <w:rFonts w:hint="eastAsia"/>
                <w:color w:val="auto"/>
                <w:lang w:val="en-US" w:eastAsia="zh-CN"/>
              </w:rPr>
              <w:t>20</w:t>
            </w:r>
            <w:r>
              <w:rPr>
                <w:rFonts w:hint="default"/>
                <w:color w:val="auto"/>
              </w:rPr>
              <w:t>t/a。</w:t>
            </w:r>
          </w:p>
          <w:p>
            <w:pPr>
              <w:pStyle w:val="25"/>
              <w:keepNext w:val="0"/>
              <w:keepLines w:val="0"/>
              <w:suppressLineNumbers w:val="0"/>
              <w:bidi w:val="0"/>
              <w:spacing w:before="0" w:beforeAutospacing="0" w:after="0" w:afterAutospacing="0"/>
              <w:ind w:left="0" w:right="0"/>
              <w:rPr>
                <w:rFonts w:hint="eastAsia"/>
                <w:color w:val="auto"/>
                <w:lang w:eastAsia="zh-CN"/>
              </w:rPr>
            </w:pPr>
            <w:r>
              <w:rPr>
                <w:rFonts w:hint="eastAsia"/>
                <w:color w:val="auto"/>
                <w:lang w:val="en-US" w:eastAsia="zh-CN"/>
              </w:rPr>
              <w:t>③</w:t>
            </w:r>
            <w:r>
              <w:rPr>
                <w:rFonts w:hint="eastAsia"/>
                <w:color w:val="auto"/>
                <w:lang w:eastAsia="zh-CN"/>
              </w:rPr>
              <w:t>抛丸粉尘</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eastAsia="zh-CN"/>
              </w:rPr>
              <w:t>抛丸清理机自带除尘器，所收集到的粉尘为金属粉尘，为一般工业固体废物</w:t>
            </w:r>
            <w:r>
              <w:rPr>
                <w:rFonts w:hint="eastAsia"/>
                <w:color w:val="auto"/>
                <w:lang w:val="en-US" w:eastAsia="zh-CN"/>
              </w:rPr>
              <w:t>。抛丸粉尘产生量为5.56t/a，抛丸机自带除尘器处理效率为90%，则收集到的抛瓦粉尘量为5t/a。</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lang w:val="en-US" w:eastAsia="zh-CN"/>
              </w:rPr>
              <w:t>危险废物（废桶）</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lang w:val="en-US" w:eastAsia="zh-CN"/>
              </w:rPr>
              <w:t>项目使用切削液、乳化液、机油过程会产生废原料桶，产生量约200个/a，</w:t>
            </w:r>
            <w:r>
              <w:rPr>
                <w:rFonts w:hint="default"/>
                <w:color w:val="auto"/>
              </w:rPr>
              <w:t>按照危险废物收集管理(HW49其他废物900-041-49含油或沾染毒性、感染性危险废物的废弃包装物、容器、过滤吸附介质)。本项目每个空桶按1kg计算，则产生量为0.2t/a，收集后暂存于危废间内，委托有资质单位进行处置。</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（3）生活垃圾</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本项目职工人数为30人，</w:t>
            </w:r>
            <w:r>
              <w:rPr>
                <w:rFonts w:hint="eastAsia"/>
                <w:color w:val="auto"/>
                <w:lang w:val="en-US" w:eastAsia="zh-CN"/>
              </w:rPr>
              <w:t>均不住厂</w:t>
            </w:r>
            <w:r>
              <w:rPr>
                <w:rFonts w:hint="default"/>
                <w:color w:val="auto"/>
              </w:rPr>
              <w:t>，不住厂职工人均垃圾产生量为0.5kg/d，故生活垃圾产生量约为</w:t>
            </w:r>
            <w:r>
              <w:rPr>
                <w:rFonts w:hint="eastAsia"/>
                <w:color w:val="auto"/>
                <w:lang w:val="en-US" w:eastAsia="zh-CN"/>
              </w:rPr>
              <w:t>1.5</w:t>
            </w:r>
            <w:r>
              <w:rPr>
                <w:rFonts w:hint="default"/>
                <w:color w:val="auto"/>
              </w:rPr>
              <w:t>t/a。生活垃圾由环卫部门统一收集后运往垃圾填埋场集中处置。</w:t>
            </w:r>
          </w:p>
          <w:p>
            <w:pPr>
              <w:pStyle w:val="27"/>
              <w:keepNext w:val="0"/>
              <w:keepLines w:val="0"/>
              <w:suppressLineNumbers w:val="0"/>
              <w:spacing w:before="0" w:beforeAutospacing="0" w:after="0" w:afterAutospacing="0"/>
              <w:ind w:left="0" w:right="0" w:firstLine="480"/>
              <w:rPr>
                <w:rFonts w:hint="default"/>
                <w:color w:val="auto"/>
              </w:rPr>
            </w:pPr>
            <w:r>
              <w:rPr>
                <w:rFonts w:hint="eastAsia"/>
                <w:color w:val="auto"/>
                <w:lang w:val="en-US" w:eastAsia="zh-CN"/>
              </w:rPr>
              <w:t>（4）</w:t>
            </w:r>
            <w:r>
              <w:rPr>
                <w:rFonts w:hint="default"/>
                <w:color w:val="auto"/>
              </w:rPr>
              <w:t>混入生活垃圾的含油抹布</w:t>
            </w:r>
          </w:p>
          <w:p>
            <w:pPr>
              <w:pStyle w:val="25"/>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项目使用切削液、乳化液过程会产生废气的含油抹布，产生</w:t>
            </w:r>
            <w:r>
              <w:rPr>
                <w:rFonts w:hint="default"/>
                <w:color w:val="auto"/>
              </w:rPr>
              <w:t>量约为0.</w:t>
            </w:r>
            <w:r>
              <w:rPr>
                <w:rFonts w:hint="eastAsia"/>
                <w:color w:val="auto"/>
                <w:lang w:val="en-US" w:eastAsia="zh-CN"/>
              </w:rPr>
              <w:t>2</w:t>
            </w:r>
            <w:r>
              <w:rPr>
                <w:rFonts w:hint="default"/>
                <w:color w:val="auto"/>
              </w:rPr>
              <w:t>t/a，属于《国家危险废物名录(2021年版)》中豁免管理清单内的900-041-49废弃的含油抹布、劳保用品，豁免条件未分类收集。混入生活垃圾的含油抹布不单独进行收集，与生活垃圾一起投放指定地点，然后由环卫部门每日及时统一收运，处置，对周围环境影响不大。</w:t>
            </w:r>
          </w:p>
          <w:bookmarkEnd w:id="47"/>
          <w:bookmarkEnd w:id="48"/>
          <w:p>
            <w:pPr>
              <w:pStyle w:val="5"/>
              <w:numPr>
                <w:ilvl w:val="2"/>
                <w:numId w:val="10"/>
              </w:numPr>
              <w:suppressLineNumbers w:val="0"/>
              <w:spacing w:before="0" w:beforeAutospacing="0" w:after="0" w:afterAutospacing="0"/>
              <w:ind w:right="0"/>
              <w:rPr>
                <w:rFonts w:hint="default"/>
                <w:color w:val="auto"/>
                <w:highlight w:val="none"/>
              </w:rPr>
            </w:pPr>
            <w:r>
              <w:rPr>
                <w:rFonts w:hint="eastAsia"/>
                <w:color w:val="auto"/>
                <w:highlight w:val="none"/>
              </w:rPr>
              <w:t>环境管理要求</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rPr>
              <w:t>固体废物的收集方式强调采用分类收集，即各种垃圾按不同性质，分别收集处置。</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 xml:space="preserve">(1) </w:t>
            </w:r>
            <w:r>
              <w:rPr>
                <w:rFonts w:hint="eastAsia"/>
                <w:color w:val="auto"/>
              </w:rPr>
              <w:t>生活垃圾处置措施</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rPr>
              <w:t>生活垃圾极易腐败发臭，必须定点收集，及时清运或处理。可在厂区生产区和办公生活区设置一些垃圾收集桶。厂区应配备专职的清洁人员和必要的工具，负责清扫厂区，维持清洁卫生，生活垃圾收集后委托环卫部门处理。</w:t>
            </w:r>
          </w:p>
          <w:p>
            <w:pPr>
              <w:pStyle w:val="25"/>
              <w:keepNext w:val="0"/>
              <w:keepLines w:val="0"/>
              <w:suppressLineNumbers w:val="0"/>
              <w:bidi w:val="0"/>
              <w:spacing w:before="0" w:beforeAutospacing="0" w:after="0" w:afterAutospacing="0"/>
              <w:ind w:left="0" w:right="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一般工业固体废物</w:t>
            </w:r>
            <w:r>
              <w:rPr>
                <w:rFonts w:hint="eastAsia"/>
                <w:color w:val="auto"/>
                <w:lang w:val="en-US" w:eastAsia="zh-CN"/>
              </w:rPr>
              <w:t>管理要求</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highlight w:val="none"/>
                <w:lang w:val="en-US" w:eastAsia="zh-CN"/>
              </w:rPr>
              <w:t>根据</w:t>
            </w:r>
            <w:r>
              <w:rPr>
                <w:rFonts w:hint="eastAsia"/>
                <w:color w:val="auto"/>
                <w:highlight w:val="none"/>
              </w:rPr>
              <w:t>《一般工业固体废物贮存和填埋污染控制标准》（GB18599-2020）</w:t>
            </w:r>
            <w:r>
              <w:rPr>
                <w:rFonts w:hint="eastAsia"/>
                <w:color w:val="auto"/>
                <w:highlight w:val="none"/>
                <w:lang w:eastAsia="zh-CN"/>
              </w:rPr>
              <w:t>，</w:t>
            </w:r>
            <w:r>
              <w:rPr>
                <w:rFonts w:hint="default"/>
                <w:color w:val="auto"/>
              </w:rPr>
              <w:t>厂区内一般固体废物临时贮存应采取以下措施：</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fldChar w:fldCharType="begin"/>
            </w:r>
            <w:r>
              <w:rPr>
                <w:rFonts w:hint="default"/>
                <w:color w:val="auto"/>
              </w:rPr>
              <w:instrText xml:space="preserve"> = 1 \* GB3 \* MERGEFORMAT </w:instrText>
            </w:r>
            <w:r>
              <w:rPr>
                <w:rFonts w:hint="default"/>
                <w:color w:val="auto"/>
              </w:rPr>
              <w:fldChar w:fldCharType="separate"/>
            </w:r>
            <w:r>
              <w:rPr>
                <w:rFonts w:hint="default"/>
                <w:color w:val="auto"/>
              </w:rPr>
              <w:t>①</w:t>
            </w:r>
            <w:r>
              <w:rPr>
                <w:rFonts w:hint="default"/>
                <w:color w:val="auto"/>
              </w:rPr>
              <w:fldChar w:fldCharType="end"/>
            </w:r>
            <w:r>
              <w:rPr>
                <w:rFonts w:hint="eastAsia"/>
                <w:color w:val="auto"/>
                <w:lang w:val="en-US" w:eastAsia="zh-CN"/>
              </w:rPr>
              <w:t>一般工业固体废物应按Ⅰ类和Ⅱ类废物分别储存，建立分类收集房。不允许将危险废物和生活垃圾混入。</w:t>
            </w:r>
          </w:p>
          <w:p>
            <w:pPr>
              <w:pStyle w:val="25"/>
              <w:keepNext w:val="0"/>
              <w:keepLines w:val="0"/>
              <w:suppressLineNumbers w:val="0"/>
              <w:bidi w:val="0"/>
              <w:spacing w:before="0" w:beforeAutospacing="0" w:after="0" w:afterAutospacing="0"/>
              <w:ind w:left="0" w:right="0"/>
              <w:rPr>
                <w:rFonts w:hint="default"/>
                <w:color w:val="auto"/>
                <w:lang w:val="en-US"/>
              </w:rPr>
            </w:pPr>
            <w:r>
              <w:rPr>
                <w:rFonts w:hint="default"/>
                <w:color w:val="auto"/>
              </w:rPr>
              <w:fldChar w:fldCharType="begin"/>
            </w:r>
            <w:r>
              <w:rPr>
                <w:rFonts w:hint="default"/>
                <w:color w:val="auto"/>
              </w:rPr>
              <w:instrText xml:space="preserve"> = 2 \* GB3 \* MERGEFORMAT </w:instrText>
            </w:r>
            <w:r>
              <w:rPr>
                <w:rFonts w:hint="default"/>
                <w:color w:val="auto"/>
              </w:rPr>
              <w:fldChar w:fldCharType="separate"/>
            </w:r>
            <w:r>
              <w:rPr>
                <w:rFonts w:hint="default"/>
                <w:color w:val="auto"/>
              </w:rPr>
              <w:t>②</w:t>
            </w:r>
            <w:r>
              <w:rPr>
                <w:rFonts w:hint="default"/>
                <w:color w:val="auto"/>
              </w:rPr>
              <w:fldChar w:fldCharType="end"/>
            </w:r>
            <w:r>
              <w:rPr>
                <w:rFonts w:hint="eastAsia"/>
                <w:color w:val="auto"/>
                <w:lang w:val="en-US" w:eastAsia="zh-CN"/>
              </w:rPr>
              <w:t>尽量将可利用的一般工业固体废物回收、利用。</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lang w:val="en-US" w:eastAsia="zh-CN"/>
              </w:rPr>
              <w:fldChar w:fldCharType="begin"/>
            </w:r>
            <w:r>
              <w:rPr>
                <w:rFonts w:hint="eastAsia"/>
                <w:color w:val="auto"/>
                <w:lang w:val="en-US" w:eastAsia="zh-CN"/>
              </w:rPr>
              <w:instrText xml:space="preserve"> = 3 \* GB3 \* MERGEFORMAT </w:instrText>
            </w:r>
            <w:r>
              <w:rPr>
                <w:rFonts w:hint="eastAsia"/>
                <w:color w:val="auto"/>
                <w:lang w:val="en-US" w:eastAsia="zh-CN"/>
              </w:rPr>
              <w:fldChar w:fldCharType="separate"/>
            </w:r>
            <w:r>
              <w:rPr>
                <w:rFonts w:hint="default"/>
                <w:color w:val="auto"/>
              </w:rPr>
              <w:t>③</w:t>
            </w:r>
            <w:r>
              <w:rPr>
                <w:rFonts w:hint="eastAsia"/>
                <w:color w:val="auto"/>
                <w:lang w:val="en-US" w:eastAsia="zh-CN"/>
              </w:rPr>
              <w:fldChar w:fldCharType="end"/>
            </w:r>
            <w:r>
              <w:rPr>
                <w:rFonts w:hint="default"/>
                <w:color w:val="auto"/>
              </w:rPr>
              <w:t>加强企业内部对固体废物的管理，对固体废物实行从产生、收集、运输、贮存直至最终处理实行全过程管理，加强固体废物运输过程的事故风险防范，建立固体废物产生、外运、处置及最终去向的详细台账。</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fldChar w:fldCharType="begin"/>
            </w:r>
            <w:r>
              <w:rPr>
                <w:rFonts w:hint="default"/>
                <w:color w:val="auto"/>
              </w:rPr>
              <w:instrText xml:space="preserve"> = 4 \* GB3 \* MERGEFORMAT </w:instrText>
            </w:r>
            <w:r>
              <w:rPr>
                <w:rFonts w:hint="default"/>
                <w:color w:val="auto"/>
              </w:rPr>
              <w:fldChar w:fldCharType="separate"/>
            </w:r>
            <w:r>
              <w:rPr>
                <w:rFonts w:hint="default"/>
                <w:color w:val="auto"/>
              </w:rPr>
              <w:t>④</w:t>
            </w:r>
            <w:r>
              <w:rPr>
                <w:rFonts w:hint="default"/>
                <w:color w:val="auto"/>
              </w:rPr>
              <w:fldChar w:fldCharType="end"/>
            </w:r>
            <w:r>
              <w:rPr>
                <w:rFonts w:hint="default"/>
                <w:color w:val="auto"/>
              </w:rPr>
              <w:t>加强固体废物规范化管理，建立全厂统一的固废分类收集、统一堆放场地制度，堆放场所远离办公区和周围环境敏感点。</w:t>
            </w:r>
            <w:r>
              <w:rPr>
                <w:rFonts w:hint="eastAsia"/>
                <w:color w:val="auto"/>
                <w:lang w:val="en-US" w:eastAsia="zh-CN"/>
              </w:rPr>
              <w:t>临时储存地点必须建有雨棚，不允许露天堆放，以防止雨水冲刷，雨水应通过场地四周导流渠流向雨水排放管；临时堆放场地为水泥铺设地面，以防渗漏。</w:t>
            </w:r>
          </w:p>
          <w:p>
            <w:pPr>
              <w:pStyle w:val="25"/>
              <w:keepNext w:val="0"/>
              <w:keepLines w:val="0"/>
              <w:suppressLineNumbers w:val="0"/>
              <w:bidi w:val="0"/>
              <w:spacing w:before="0" w:beforeAutospacing="0" w:after="0" w:afterAutospacing="0"/>
              <w:ind w:left="0" w:right="0"/>
              <w:rPr>
                <w:rFonts w:hint="default"/>
                <w:color w:val="auto"/>
                <w:lang w:val="en-US"/>
              </w:rPr>
            </w:pPr>
            <w:r>
              <w:rPr>
                <w:rFonts w:hint="eastAsia"/>
                <w:color w:val="auto"/>
                <w:lang w:val="en-US" w:eastAsia="zh-CN"/>
              </w:rPr>
              <w:fldChar w:fldCharType="begin"/>
            </w:r>
            <w:r>
              <w:rPr>
                <w:rFonts w:hint="eastAsia"/>
                <w:color w:val="auto"/>
                <w:lang w:val="en-US" w:eastAsia="zh-CN"/>
              </w:rPr>
              <w:instrText xml:space="preserve"> = 5 \* GB3 \* MERGEFORMAT </w:instrText>
            </w:r>
            <w:r>
              <w:rPr>
                <w:rFonts w:hint="eastAsia"/>
                <w:color w:val="auto"/>
                <w:lang w:val="en-US" w:eastAsia="zh-CN"/>
              </w:rPr>
              <w:fldChar w:fldCharType="separate"/>
            </w:r>
            <w:r>
              <w:rPr>
                <w:rFonts w:hint="default"/>
                <w:color w:val="auto"/>
              </w:rPr>
              <w:t>⑤</w:t>
            </w:r>
            <w:r>
              <w:rPr>
                <w:rFonts w:hint="eastAsia"/>
                <w:color w:val="auto"/>
                <w:lang w:val="en-US" w:eastAsia="zh-CN"/>
              </w:rPr>
              <w:fldChar w:fldCharType="end"/>
            </w:r>
            <w:r>
              <w:rPr>
                <w:rFonts w:hint="eastAsia"/>
                <w:color w:val="auto"/>
                <w:lang w:val="en-US" w:eastAsia="zh-CN"/>
              </w:rPr>
              <w:t>为加强管理监督，贮存场所地应按《环境保护图形标志－固体废物贮存（处置）场所》（</w:t>
            </w:r>
            <w:r>
              <w:rPr>
                <w:rFonts w:hint="default"/>
                <w:color w:val="auto"/>
                <w:lang w:val="en-US" w:eastAsia="zh-CN"/>
              </w:rPr>
              <w:t>GB15562.2-1995</w:t>
            </w:r>
            <w:r>
              <w:rPr>
                <w:rFonts w:hint="eastAsia"/>
                <w:color w:val="auto"/>
                <w:lang w:val="en-US" w:eastAsia="zh-CN"/>
              </w:rPr>
              <w:t>）设置环境保护图形标志。</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采取以上措施后一般固体废物对周边环境影响小，因此措施可行。</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危险废物</w:t>
            </w:r>
            <w:r>
              <w:rPr>
                <w:rFonts w:hint="eastAsia"/>
                <w:color w:val="auto"/>
                <w:lang w:val="en-US" w:eastAsia="zh-CN"/>
              </w:rPr>
              <w:t>管理要求</w:t>
            </w:r>
          </w:p>
          <w:p>
            <w:pPr>
              <w:pStyle w:val="25"/>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本项目建设有一座1</w:t>
            </w:r>
            <w:r>
              <w:rPr>
                <w:rFonts w:hint="default"/>
                <w:color w:val="auto"/>
                <w:lang w:val="en-US" w:eastAsia="zh-CN"/>
              </w:rPr>
              <w:t>0</w:t>
            </w:r>
            <w:r>
              <w:rPr>
                <w:rFonts w:hint="default"/>
                <w:color w:val="auto"/>
              </w:rPr>
              <w:t>m</w:t>
            </w:r>
            <w:r>
              <w:rPr>
                <w:rFonts w:hint="default"/>
                <w:color w:val="auto"/>
                <w:vertAlign w:val="superscript"/>
              </w:rPr>
              <w:t>2</w:t>
            </w:r>
            <w:r>
              <w:rPr>
                <w:rFonts w:hint="eastAsia"/>
                <w:color w:val="auto"/>
                <w:lang w:val="en-US" w:eastAsia="zh-CN"/>
              </w:rPr>
              <w:t>危险废物暂存间，项目危险废物收集和贮存应遵循以下要求：</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①危险废物的收集容器和临时贮存场所应严格按照《危险废物贮存污染控制标准》（GB18597-2001）中的有关规定执行。贮存区必须按GB15562.2的规定设置警示标志，并具有防雨淋、防日晒、防渗漏措施，且危险废物要有专用的收集容器，定期对所贮存的危险废物贮存设施进行检查，发现破损，应及时采取措施。危险废物临时贮存的几点要求：</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A.危险废物在收集时，应清楚废物的类别及主要成份，以方便委托处理单位处理，根据危险废物的性质和形态，可采用不同大小和不同材质的容器进行包装，所有包装和容器必须设置危险废物识别标志，并经过周密检查，严防在装载、搬移或运输途中出现渗漏、溢出、抛洒或挥发等情况。</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按《环境保护图形标识－－固体废物贮存（处置）场》（GB15562.2）在收集场所醒目的地方设置危险废物警告标识。</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B.由专人负责管理。危险废物按不同名录分类分区堆放，并做好隔离、防水、防晒、防雨、防渗、防火处理。</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C.应配备通讯设备、照明设施、安全防护服装及共聚，并设有报警装置和应急防护设施。</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D.贮存区内禁止混放不相容危险废物；禁止危险废物混入非危险废物中贮存；危险废物按种类分别存放，且不同类废物间有明显的间隔（如过道等）。</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E.危险废物临时贮存场所的地面和裙脚要用坚固、防渗的材料建造；该贮存场所的地面与裙脚围建一定的空间，该容积不低于堵截最大容器的最大储量或总储量的1/5贮存场所需设液体收集装置、气体导出口及气体净化装置；贮存装载液体、半固体危险废物容器的地方，必须有耐腐蚀的硬化地面且表面无裂隙。贮存设施应注意安全照明等问题；不相容的危险废物分开存放，并设有隔离间；基础防渗层为至少1m厚粘土层（渗透系数≤10</w:t>
            </w:r>
            <w:r>
              <w:rPr>
                <w:rFonts w:hint="default"/>
                <w:color w:val="auto"/>
                <w:highlight w:val="none"/>
                <w:vertAlign w:val="superscript"/>
                <w:lang w:val="en-US" w:eastAsia="zh-CN"/>
              </w:rPr>
              <w:t>-7</w:t>
            </w:r>
            <w:r>
              <w:rPr>
                <w:rFonts w:hint="default"/>
                <w:color w:val="auto"/>
                <w:highlight w:val="none"/>
                <w:lang w:val="en-US" w:eastAsia="zh-CN"/>
              </w:rPr>
              <w:t>cm/s），或2mm厚高密度聚乙烯，或至少2mm厚的其他人工材料，渗透系数≤10</w:t>
            </w:r>
            <w:r>
              <w:rPr>
                <w:rFonts w:hint="default"/>
                <w:color w:val="auto"/>
                <w:highlight w:val="none"/>
                <w:vertAlign w:val="superscript"/>
                <w:lang w:val="en-US" w:eastAsia="zh-CN"/>
              </w:rPr>
              <w:t>-10</w:t>
            </w:r>
            <w:r>
              <w:rPr>
                <w:rFonts w:hint="default"/>
                <w:color w:val="auto"/>
                <w:highlight w:val="none"/>
                <w:lang w:val="en-US" w:eastAsia="zh-CN"/>
              </w:rPr>
              <w:t>cm/s。具体设计原则</w:t>
            </w:r>
            <w:r>
              <w:rPr>
                <w:rFonts w:hint="eastAsia"/>
                <w:color w:val="auto"/>
                <w:highlight w:val="none"/>
                <w:lang w:val="en-US" w:eastAsia="zh-CN"/>
              </w:rPr>
              <w:t>参照</w:t>
            </w:r>
            <w:r>
              <w:rPr>
                <w:rFonts w:hint="default"/>
                <w:color w:val="auto"/>
                <w:highlight w:val="none"/>
                <w:lang w:val="en-US" w:eastAsia="zh-CN"/>
              </w:rPr>
              <w:t>《危险废物贮存污染控制标准》（GB18597-2001）。</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②建立危废申报登记制度。由专门人员负责危险废物的日常收集和管理，对任何进出临时贮存场所的危险废物都要记录在案，做好台账；危险废物临时贮存场所周围要设置防护栅栏，并设置警示标志。贮存所内配备通讯设备、照明设备、安全防护服装及工具，并有应急防护措施；危险废物的贮存和转运应严格按照《危险废物贮存污染控制标准》（GB18597-2001）及其修改单和《危险废物转移联单管理办法》要求执行。建设单位应强化废物产生、收集、贮放各环节的管理，各种固体废物按照类别分类存放，杜绝固体废物在厂区内散失、渗漏，达到无害化的目的，避免产生二次污染。</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危险废物的运输采取危险废物转移“电子联单”制度，保证运输安全，防止非法转移和非法处置，保证危险废物的安全监控，防止危险废物污染事故发生。</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电子联单”应通过福建省固体废物环境监管平台申请电子联单，危险废物产生者及其它需要转移危险废物的单位在转移危险废物之前，须按照国家有关规定报批危险废物转移计划。经批准后，通过《信息系统》申请电子联单。</w:t>
            </w:r>
          </w:p>
          <w:p>
            <w:pPr>
              <w:pStyle w:val="25"/>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③应将危险废物提供或者委托给有危险废物经营许可证的单位从事利用和处置，并签订处置合同。同时应加强对运输单位及处置单位的跟踪检查，控制运输过程中的环境风险。</w:t>
            </w:r>
          </w:p>
          <w:p>
            <w:pPr>
              <w:pStyle w:val="25"/>
              <w:keepNext w:val="0"/>
              <w:keepLines w:val="0"/>
              <w:suppressLineNumbers w:val="0"/>
              <w:spacing w:before="0" w:beforeAutospacing="0" w:after="0" w:afterAutospacing="0"/>
              <w:ind w:left="0" w:right="0" w:firstLine="480"/>
              <w:rPr>
                <w:rFonts w:hint="default"/>
                <w:color w:val="auto"/>
                <w:highlight w:val="none"/>
              </w:rPr>
            </w:pPr>
            <w:r>
              <w:rPr>
                <w:rFonts w:hint="eastAsia"/>
                <w:color w:val="auto"/>
                <w:highlight w:val="none"/>
              </w:rPr>
              <w:t>综上分析，采取以上措施后，项目各项固体废物均可得到妥善处理，</w:t>
            </w:r>
            <w:r>
              <w:rPr>
                <w:rFonts w:hint="eastAsia"/>
                <w:color w:val="auto"/>
                <w:highlight w:val="none"/>
                <w:lang w:val="en-US" w:eastAsia="zh-CN"/>
              </w:rPr>
              <w:t>对周边环境影响较小</w:t>
            </w:r>
            <w:r>
              <w:rPr>
                <w:rFonts w:hint="eastAsia"/>
                <w:color w:val="auto"/>
                <w:highlight w:val="none"/>
              </w:rPr>
              <w:t>。</w:t>
            </w:r>
          </w:p>
          <w:p>
            <w:pPr>
              <w:pStyle w:val="4"/>
              <w:keepNext w:val="0"/>
              <w:keepLines w:val="0"/>
              <w:numPr>
                <w:ilvl w:val="1"/>
                <w:numId w:val="10"/>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地下水、土壤</w:t>
            </w:r>
          </w:p>
          <w:p>
            <w:pPr>
              <w:pStyle w:val="5"/>
              <w:keepNext w:val="0"/>
              <w:keepLines w:val="0"/>
              <w:suppressLineNumbers w:val="0"/>
              <w:spacing w:before="0" w:beforeAutospacing="0" w:after="0" w:afterAutospacing="0"/>
              <w:ind w:left="0" w:right="0"/>
              <w:outlineLvl w:val="2"/>
              <w:rPr>
                <w:rFonts w:hint="default" w:eastAsia="宋体"/>
                <w:color w:val="auto"/>
              </w:rPr>
            </w:pPr>
            <w:r>
              <w:rPr>
                <w:rFonts w:hint="default" w:eastAsia="宋体"/>
                <w:color w:val="auto"/>
              </w:rPr>
              <w:t>污染源</w:t>
            </w:r>
          </w:p>
          <w:p>
            <w:pPr>
              <w:pStyle w:val="27"/>
              <w:keepNext w:val="0"/>
              <w:keepLines w:val="0"/>
              <w:suppressLineNumbers w:val="0"/>
              <w:spacing w:before="0" w:beforeAutospacing="0" w:after="0" w:afterAutospacing="0"/>
              <w:ind w:left="0" w:right="0" w:firstLine="480"/>
              <w:rPr>
                <w:rFonts w:hint="default" w:eastAsia="宋体"/>
                <w:color w:val="auto"/>
              </w:rPr>
            </w:pPr>
            <w:r>
              <w:rPr>
                <w:rFonts w:hint="default" w:eastAsia="宋体"/>
                <w:color w:val="auto"/>
              </w:rPr>
              <w:t>项目地下水及土壤污染源如下表所示。</w:t>
            </w:r>
          </w:p>
          <w:p>
            <w:pPr>
              <w:pStyle w:val="22"/>
              <w:keepNext w:val="0"/>
              <w:keepLines w:val="0"/>
              <w:suppressLineNumbers w:val="0"/>
              <w:spacing w:before="0" w:beforeAutospacing="0" w:after="0" w:afterAutospacing="0"/>
              <w:ind w:left="0" w:right="0"/>
              <w:rPr>
                <w:rFonts w:hint="default" w:eastAsia="宋体" w:cs="Times New Roman"/>
                <w:color w:val="auto"/>
              </w:rPr>
            </w:pPr>
            <w:r>
              <w:rPr>
                <w:rFonts w:hint="default" w:eastAsia="宋体" w:cs="Times New Roman"/>
                <w:color w:val="auto"/>
              </w:rPr>
              <w:t>地下水、土壤污染源</w:t>
            </w:r>
          </w:p>
          <w:p>
            <w:pPr>
              <w:pStyle w:val="5"/>
              <w:keepNext w:val="0"/>
              <w:keepLines w:val="0"/>
              <w:suppressLineNumbers w:val="0"/>
              <w:spacing w:before="0" w:beforeAutospacing="0" w:after="0" w:afterAutospacing="0"/>
              <w:ind w:left="0" w:right="0"/>
              <w:outlineLvl w:val="2"/>
              <w:rPr>
                <w:rFonts w:hint="default" w:eastAsia="宋体"/>
                <w:color w:val="auto"/>
              </w:rPr>
            </w:pPr>
            <w:r>
              <w:rPr>
                <w:rFonts w:hint="default" w:eastAsia="宋体"/>
                <w:color w:val="auto"/>
              </w:rPr>
              <w:t>防控措施</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地下水、土壤污染防治措施按照“源头控制、末端防治、污染监控、应急响应”相结合的原则，从污染的产生、入渗、扩散、应急响应全阶段进行控制，对厂区进行分区治理。</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①</w:t>
            </w:r>
            <w:r>
              <w:rPr>
                <w:rFonts w:hint="default"/>
                <w:color w:val="auto"/>
              </w:rPr>
              <w:t>厂区除绿化部分全部硬化。</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②</w:t>
            </w:r>
            <w:r>
              <w:rPr>
                <w:rFonts w:hint="default"/>
                <w:color w:val="auto"/>
              </w:rPr>
              <w:t>化粪池</w:t>
            </w:r>
            <w:r>
              <w:rPr>
                <w:rFonts w:hint="default"/>
                <w:color w:val="auto"/>
                <w:highlight w:val="none"/>
              </w:rPr>
              <w:t>等池</w:t>
            </w:r>
            <w:r>
              <w:rPr>
                <w:rFonts w:hint="default"/>
                <w:color w:val="auto"/>
              </w:rPr>
              <w:t>体底部用20cm 的水泥浇底，并铺环氧树脂防渗，池壁四周用砖砌再用水泥硬化。</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③</w:t>
            </w:r>
            <w:r>
              <w:rPr>
                <w:rFonts w:hint="default"/>
                <w:color w:val="auto"/>
              </w:rPr>
              <w:t>危废储存间及储存间内的导流沟、收集池采取</w:t>
            </w:r>
            <w:r>
              <w:rPr>
                <w:rFonts w:hint="default"/>
                <w:color w:val="auto"/>
                <w:highlight w:val="none"/>
              </w:rPr>
              <w:t>粘土</w:t>
            </w:r>
            <w:r>
              <w:rPr>
                <w:rFonts w:hint="default"/>
                <w:color w:val="auto"/>
              </w:rPr>
              <w:t>铺底，再在上层铺设10~15cm的水泥进行硬化，并铺环氧树脂防渗。</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④</w:t>
            </w:r>
            <w:r>
              <w:rPr>
                <w:rFonts w:hint="default"/>
                <w:color w:val="auto"/>
              </w:rPr>
              <w:t>危险废物严格按照要求进行处理处置，严禁随意倾倒、丢弃，并及时</w:t>
            </w:r>
            <w:r>
              <w:rPr>
                <w:rFonts w:hint="eastAsia"/>
                <w:color w:val="auto"/>
                <w:lang w:val="en-US" w:eastAsia="zh-CN"/>
              </w:rPr>
              <w:t>交由</w:t>
            </w:r>
            <w:r>
              <w:rPr>
                <w:rFonts w:hint="default"/>
                <w:color w:val="auto"/>
              </w:rPr>
              <w:t>有危险废物处理资质的单位处理。</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⑤</w:t>
            </w:r>
            <w:r>
              <w:rPr>
                <w:rFonts w:hint="default"/>
                <w:color w:val="auto"/>
              </w:rPr>
              <w:t>加强生产管理，减少废气的有组织和无组织排放，减少废气污染物通过大气沉降落在地面，污染土壤。企业必须确保废气处理设施的正常运行，并达到评价要求的治理效果，定期检查废气处理设施，若废气处理设施发生故障或效率降低时，企业必须及时修复，在未修复前必须根据故障情况采取限产或停产措施。</w:t>
            </w:r>
          </w:p>
          <w:p>
            <w:pPr>
              <w:pStyle w:val="25"/>
              <w:keepNext w:val="0"/>
              <w:keepLines w:val="0"/>
              <w:suppressLineNumbers w:val="0"/>
              <w:bidi w:val="0"/>
              <w:spacing w:before="0" w:beforeAutospacing="0" w:after="0" w:afterAutospacing="0"/>
              <w:ind w:left="0" w:right="0"/>
              <w:rPr>
                <w:rFonts w:hint="default"/>
                <w:color w:val="auto"/>
              </w:rPr>
            </w:pPr>
            <w:r>
              <w:rPr>
                <w:rFonts w:hint="default"/>
                <w:color w:val="auto"/>
              </w:rPr>
              <w:t>综上所述，本项目危废储存为重点防渗区</w:t>
            </w:r>
            <w:r>
              <w:rPr>
                <w:rFonts w:hint="eastAsia"/>
                <w:color w:val="auto"/>
                <w:lang w:eastAsia="zh-CN"/>
              </w:rPr>
              <w:t>，</w:t>
            </w:r>
            <w:r>
              <w:rPr>
                <w:rFonts w:hint="default"/>
                <w:color w:val="auto"/>
              </w:rPr>
              <w:t>厂区内采取的防渗措施可满足厂区防渗要求。</w:t>
            </w:r>
          </w:p>
          <w:p>
            <w:pPr>
              <w:pStyle w:val="4"/>
              <w:keepNext w:val="0"/>
              <w:keepLines w:val="0"/>
              <w:numPr>
                <w:ilvl w:val="1"/>
                <w:numId w:val="10"/>
              </w:numPr>
              <w:suppressLineNumbers w:val="0"/>
              <w:tabs>
                <w:tab w:val="left" w:pos="420"/>
              </w:tabs>
              <w:spacing w:before="0" w:beforeAutospacing="0" w:after="0" w:afterAutospacing="0"/>
              <w:ind w:right="0"/>
              <w:rPr>
                <w:rFonts w:hint="default"/>
                <w:color w:val="auto"/>
                <w:highlight w:val="none"/>
              </w:rPr>
            </w:pPr>
            <w:r>
              <w:rPr>
                <w:rFonts w:hint="eastAsia"/>
                <w:color w:val="auto"/>
                <w:highlight w:val="none"/>
              </w:rPr>
              <w:t>环境风险</w:t>
            </w:r>
          </w:p>
          <w:p>
            <w:pPr>
              <w:pStyle w:val="5"/>
              <w:suppressLineNumbers w:val="0"/>
              <w:bidi w:val="0"/>
              <w:spacing w:before="0" w:beforeAutospacing="0" w:after="0" w:afterAutospacing="0"/>
              <w:ind w:right="0"/>
              <w:rPr>
                <w:rFonts w:hint="default"/>
                <w:color w:val="auto"/>
              </w:rPr>
            </w:pPr>
            <w:r>
              <w:rPr>
                <w:rFonts w:hint="default"/>
                <w:color w:val="auto"/>
              </w:rPr>
              <w:t>风险调查</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项目生产过程使用的原料涉及</w:t>
            </w:r>
            <w:r>
              <w:rPr>
                <w:rFonts w:hint="default"/>
                <w:color w:val="auto"/>
                <w:highlight w:val="none"/>
              </w:rPr>
              <w:t>的风险</w:t>
            </w:r>
            <w:r>
              <w:rPr>
                <w:rFonts w:hint="default"/>
                <w:color w:val="auto"/>
              </w:rPr>
              <w:t>物质主要为</w:t>
            </w:r>
            <w:r>
              <w:rPr>
                <w:rFonts w:hint="eastAsia"/>
                <w:color w:val="auto"/>
                <w:lang w:val="en-US" w:eastAsia="zh-CN"/>
              </w:rPr>
              <w:t>切削液及乳化液</w:t>
            </w:r>
            <w:r>
              <w:rPr>
                <w:rFonts w:hint="default"/>
                <w:color w:val="auto"/>
              </w:rPr>
              <w:t>。主要风险类型为火灾风险产生的次生灾害，如燃烧产生的NO</w:t>
            </w:r>
            <w:r>
              <w:rPr>
                <w:rFonts w:hint="default"/>
                <w:color w:val="auto"/>
                <w:vertAlign w:val="subscript"/>
              </w:rPr>
              <w:t>X</w:t>
            </w:r>
            <w:r>
              <w:rPr>
                <w:rFonts w:hint="default"/>
                <w:color w:val="auto"/>
              </w:rPr>
              <w:t>、CO对环境空气的影响，事故处理过程产生的洗消废水泄漏对地表水等环境的影响。</w:t>
            </w:r>
          </w:p>
          <w:p>
            <w:pPr>
              <w:pStyle w:val="27"/>
              <w:keepNext w:val="0"/>
              <w:keepLines w:val="0"/>
              <w:suppressLineNumbers w:val="0"/>
              <w:spacing w:before="0" w:beforeAutospacing="0" w:after="0" w:afterAutospacing="0"/>
              <w:ind w:left="0" w:right="0" w:firstLine="480"/>
              <w:rPr>
                <w:rFonts w:hint="eastAsia"/>
                <w:color w:val="auto"/>
                <w:kern w:val="0"/>
                <w:szCs w:val="20"/>
                <w:lang w:eastAsia="zh-CN"/>
              </w:rPr>
            </w:pPr>
            <w:r>
              <w:rPr>
                <w:rFonts w:hint="default" w:eastAsia="宋体"/>
                <w:color w:val="auto"/>
                <w:kern w:val="0"/>
                <w:szCs w:val="20"/>
              </w:rPr>
              <w:t>根据《建设项目环境风险评价技术导则》(HJ169-2018)，结合现有工程，本</w:t>
            </w:r>
            <w:r>
              <w:rPr>
                <w:rFonts w:hint="eastAsia"/>
                <w:color w:val="auto"/>
                <w:kern w:val="0"/>
                <w:szCs w:val="20"/>
                <w:lang w:val="en-US" w:eastAsia="zh-CN"/>
              </w:rPr>
              <w:t>扩</w:t>
            </w:r>
            <w:r>
              <w:rPr>
                <w:rFonts w:hint="default" w:eastAsia="宋体"/>
                <w:color w:val="auto"/>
                <w:kern w:val="0"/>
                <w:szCs w:val="20"/>
              </w:rPr>
              <w:t>建项目建设完成后厂区涉及的环境风险物质储存情况见</w:t>
            </w:r>
            <w:r>
              <w:rPr>
                <w:rFonts w:hint="eastAsia"/>
                <w:color w:val="auto"/>
                <w:kern w:val="0"/>
                <w:szCs w:val="20"/>
                <w:lang w:val="en-US" w:eastAsia="zh-CN"/>
              </w:rPr>
              <w:t>下</w:t>
            </w:r>
            <w:r>
              <w:rPr>
                <w:rFonts w:hint="default" w:eastAsia="宋体"/>
                <w:color w:val="auto"/>
                <w:kern w:val="0"/>
                <w:szCs w:val="20"/>
              </w:rPr>
              <w:t>表</w:t>
            </w:r>
            <w:r>
              <w:rPr>
                <w:rFonts w:hint="eastAsia"/>
                <w:color w:val="auto"/>
                <w:kern w:val="0"/>
                <w:szCs w:val="20"/>
                <w:lang w:eastAsia="zh-CN"/>
              </w:rPr>
              <w:t>。</w:t>
            </w:r>
          </w:p>
          <w:p>
            <w:pPr>
              <w:pStyle w:val="22"/>
              <w:keepNext w:val="0"/>
              <w:keepLines w:val="0"/>
              <w:suppressLineNumbers w:val="0"/>
              <w:spacing w:before="0" w:beforeAutospacing="0" w:after="0" w:afterAutospacing="0"/>
              <w:ind w:right="0"/>
              <w:rPr>
                <w:rFonts w:hint="default"/>
                <w:color w:val="auto"/>
              </w:rPr>
            </w:pPr>
            <w:r>
              <w:rPr>
                <w:rFonts w:hint="default"/>
                <w:color w:val="auto"/>
              </w:rPr>
              <w:t>涉及风险危废存量表</w:t>
            </w:r>
          </w:p>
          <w:p>
            <w:pPr>
              <w:pStyle w:val="25"/>
              <w:keepNext w:val="0"/>
              <w:keepLines w:val="0"/>
              <w:suppressLineNumbers w:val="0"/>
              <w:bidi w:val="0"/>
              <w:spacing w:before="0" w:beforeAutospacing="0" w:after="0" w:afterAutospacing="0"/>
              <w:ind w:left="0" w:right="0"/>
              <w:rPr>
                <w:rFonts w:hint="default"/>
              </w:rPr>
            </w:pPr>
          </w:p>
          <w:p>
            <w:pPr>
              <w:pStyle w:val="6"/>
              <w:keepNext w:val="0"/>
              <w:keepLines w:val="0"/>
              <w:suppressLineNumbers w:val="0"/>
              <w:spacing w:before="0" w:beforeAutospacing="0" w:after="0" w:afterAutospacing="0"/>
              <w:ind w:left="0" w:right="0"/>
              <w:rPr>
                <w:rFonts w:hint="default"/>
                <w:color w:val="auto"/>
              </w:rPr>
            </w:pPr>
            <w:r>
              <w:rPr>
                <w:rFonts w:hint="default"/>
                <w:color w:val="auto"/>
              </w:rPr>
              <w:t>6.2环境风险分析</w:t>
            </w:r>
          </w:p>
          <w:p>
            <w:pPr>
              <w:pStyle w:val="27"/>
              <w:keepNext w:val="0"/>
              <w:keepLines w:val="0"/>
              <w:suppressLineNumbers w:val="0"/>
              <w:spacing w:before="0" w:beforeAutospacing="0" w:after="0" w:afterAutospacing="0"/>
              <w:ind w:left="0" w:right="0" w:firstLine="480"/>
              <w:rPr>
                <w:rFonts w:hint="default"/>
                <w:color w:val="auto"/>
              </w:rPr>
            </w:pPr>
            <w:r>
              <w:rPr>
                <w:rFonts w:hint="eastAsia"/>
                <w:color w:val="auto"/>
                <w:highlight w:val="none"/>
                <w:lang w:eastAsia="zh-CN"/>
              </w:rPr>
              <w:t>(</w:t>
            </w:r>
            <w:r>
              <w:rPr>
                <w:rFonts w:hint="default"/>
                <w:color w:val="auto"/>
              </w:rPr>
              <w:t>1</w:t>
            </w:r>
            <w:r>
              <w:rPr>
                <w:rFonts w:hint="eastAsia"/>
                <w:color w:val="auto"/>
                <w:highlight w:val="none"/>
                <w:lang w:eastAsia="zh-CN"/>
              </w:rPr>
              <w:t>)</w:t>
            </w:r>
            <w:r>
              <w:rPr>
                <w:rFonts w:hint="default"/>
                <w:color w:val="auto"/>
              </w:rPr>
              <w:t>次生环境污染分析</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①</w:t>
            </w:r>
            <w:r>
              <w:rPr>
                <w:rFonts w:hint="default"/>
                <w:color w:val="auto"/>
              </w:rPr>
              <w:t>火灾后不完全燃烧废气对大气的影响</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发生火灾事故处理过程中引发</w:t>
            </w:r>
            <w:r>
              <w:rPr>
                <w:rFonts w:hint="default"/>
                <w:color w:val="auto"/>
                <w:highlight w:val="none"/>
              </w:rPr>
              <w:t>的污染</w:t>
            </w:r>
            <w:r>
              <w:rPr>
                <w:rFonts w:hint="default"/>
                <w:color w:val="auto"/>
              </w:rPr>
              <w:t>主要包括燃烧时产生的烟气</w:t>
            </w:r>
            <w:r>
              <w:rPr>
                <w:rFonts w:hint="eastAsia"/>
                <w:color w:val="auto"/>
                <w:highlight w:val="none"/>
                <w:lang w:eastAsia="zh-CN"/>
              </w:rPr>
              <w:t>(</w:t>
            </w:r>
            <w:r>
              <w:rPr>
                <w:rFonts w:hint="default"/>
                <w:color w:val="auto"/>
              </w:rPr>
              <w:t>主要污染物为苯并芘、烟尘、CO等</w:t>
            </w:r>
            <w:r>
              <w:rPr>
                <w:rFonts w:hint="eastAsia"/>
                <w:color w:val="auto"/>
                <w:highlight w:val="none"/>
                <w:lang w:eastAsia="zh-CN"/>
              </w:rPr>
              <w:t>)</w:t>
            </w:r>
            <w:r>
              <w:rPr>
                <w:rFonts w:hint="default"/>
                <w:color w:val="auto"/>
              </w:rPr>
              <w:t>、扑灭火灾产生的消防水，对周边环境和人群健康产生明显的影响。</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②</w:t>
            </w:r>
            <w:r>
              <w:rPr>
                <w:rFonts w:hint="default"/>
                <w:color w:val="auto"/>
              </w:rPr>
              <w:t>消防废水对水体的影响</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厂区内一旦发生火灾爆炸等事故后，伴随在消防过程中会产生二次环境污染问题，主要体现在含高浓度污染物的消防排水将对项目附近的纳污水体，对纳污水体造成不利的影响。</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事故缓冲设施根《事故状态下水体污染的预防</w:t>
            </w:r>
            <w:r>
              <w:rPr>
                <w:rFonts w:hint="eastAsia"/>
                <w:color w:val="auto"/>
                <w:lang w:val="en-US" w:eastAsia="zh-CN"/>
              </w:rPr>
              <w:t>和控制规范</w:t>
            </w:r>
            <w:r>
              <w:rPr>
                <w:rFonts w:hint="default"/>
                <w:color w:val="auto"/>
                <w:highlight w:val="none"/>
              </w:rPr>
              <w:t>》</w:t>
            </w:r>
            <w:r>
              <w:rPr>
                <w:rFonts w:hint="eastAsia"/>
                <w:color w:val="auto"/>
                <w:highlight w:val="none"/>
                <w:lang w:eastAsia="zh-CN"/>
              </w:rPr>
              <w:t>(</w:t>
            </w:r>
            <w:r>
              <w:rPr>
                <w:rFonts w:hint="default"/>
                <w:color w:val="auto"/>
                <w:highlight w:val="none"/>
              </w:rPr>
              <w:t>Q/SY</w:t>
            </w:r>
            <w:r>
              <w:rPr>
                <w:rFonts w:hint="eastAsia"/>
                <w:color w:val="auto"/>
                <w:highlight w:val="none"/>
                <w:lang w:val="en-US" w:eastAsia="zh-CN"/>
              </w:rPr>
              <w:t>08190-2019</w:t>
            </w:r>
            <w:r>
              <w:rPr>
                <w:rFonts w:hint="eastAsia"/>
                <w:color w:val="auto"/>
                <w:highlight w:val="none"/>
                <w:lang w:eastAsia="zh-CN"/>
              </w:rPr>
              <w:t>)</w:t>
            </w:r>
            <w:r>
              <w:rPr>
                <w:rFonts w:hint="default"/>
                <w:color w:val="auto"/>
              </w:rPr>
              <w:t xml:space="preserve">中的相关规定设置。事故缓冲设施容量按下式计算： </w:t>
            </w:r>
          </w:p>
          <w:p>
            <w:pPr>
              <w:pStyle w:val="27"/>
              <w:keepNext w:val="0"/>
              <w:keepLines w:val="0"/>
              <w:suppressLineNumbers w:val="0"/>
              <w:spacing w:before="0" w:beforeAutospacing="0" w:after="0" w:afterAutospacing="0"/>
              <w:ind w:left="0" w:right="0" w:firstLine="480"/>
              <w:jc w:val="center"/>
              <w:rPr>
                <w:rFonts w:hint="default"/>
                <w:color w:val="auto"/>
              </w:rPr>
            </w:pPr>
            <w:r>
              <w:rPr>
                <w:rFonts w:hint="default"/>
                <w:color w:val="auto"/>
              </w:rPr>
              <w:t>V</w:t>
            </w:r>
            <w:r>
              <w:rPr>
                <w:rFonts w:hint="default"/>
                <w:color w:val="auto"/>
                <w:vertAlign w:val="subscript"/>
              </w:rPr>
              <w:t>总</w:t>
            </w:r>
            <w:r>
              <w:rPr>
                <w:rFonts w:hint="default"/>
                <w:color w:val="auto"/>
              </w:rPr>
              <w:t>=</w:t>
            </w:r>
            <w:r>
              <w:rPr>
                <w:rFonts w:hint="eastAsia"/>
                <w:color w:val="auto"/>
                <w:highlight w:val="none"/>
                <w:lang w:eastAsia="zh-CN"/>
              </w:rPr>
              <w:t>(</w:t>
            </w:r>
            <w:r>
              <w:rPr>
                <w:rFonts w:hint="default"/>
                <w:color w:val="auto"/>
              </w:rPr>
              <w:t>V</w:t>
            </w:r>
            <w:r>
              <w:rPr>
                <w:rFonts w:hint="default"/>
                <w:color w:val="auto"/>
                <w:vertAlign w:val="subscript"/>
              </w:rPr>
              <w:t>1</w:t>
            </w:r>
            <w:r>
              <w:rPr>
                <w:rFonts w:hint="default"/>
                <w:color w:val="auto"/>
              </w:rPr>
              <w:t>+V</w:t>
            </w:r>
            <w:r>
              <w:rPr>
                <w:rFonts w:hint="default"/>
                <w:color w:val="auto"/>
                <w:vertAlign w:val="subscript"/>
              </w:rPr>
              <w:t>2</w:t>
            </w:r>
            <w:r>
              <w:rPr>
                <w:rFonts w:hint="default"/>
                <w:color w:val="auto"/>
              </w:rPr>
              <w:t>-V</w:t>
            </w:r>
            <w:r>
              <w:rPr>
                <w:rFonts w:hint="default"/>
                <w:color w:val="auto"/>
                <w:vertAlign w:val="subscript"/>
              </w:rPr>
              <w:t>3</w:t>
            </w:r>
            <w:r>
              <w:rPr>
                <w:rFonts w:hint="eastAsia"/>
                <w:color w:val="auto"/>
                <w:highlight w:val="none"/>
                <w:lang w:eastAsia="zh-CN"/>
              </w:rPr>
              <w:t>)</w:t>
            </w:r>
            <w:r>
              <w:rPr>
                <w:rFonts w:hint="default"/>
                <w:color w:val="auto"/>
              </w:rPr>
              <w:t>max+V</w:t>
            </w:r>
            <w:r>
              <w:rPr>
                <w:rFonts w:hint="default"/>
                <w:color w:val="auto"/>
                <w:vertAlign w:val="subscript"/>
              </w:rPr>
              <w:t>4</w:t>
            </w:r>
            <w:r>
              <w:rPr>
                <w:rFonts w:hint="default"/>
                <w:color w:val="auto"/>
              </w:rPr>
              <w:t>+V</w:t>
            </w:r>
            <w:r>
              <w:rPr>
                <w:rFonts w:hint="default"/>
                <w:color w:val="auto"/>
                <w:vertAlign w:val="subscript"/>
              </w:rPr>
              <w:t>5</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式中：V</w:t>
            </w:r>
            <w:r>
              <w:rPr>
                <w:rFonts w:hint="default"/>
                <w:color w:val="auto"/>
                <w:vertAlign w:val="subscript"/>
              </w:rPr>
              <w:t>总</w:t>
            </w:r>
            <w:r>
              <w:rPr>
                <w:rFonts w:hint="default"/>
                <w:color w:val="auto"/>
              </w:rPr>
              <w:t xml:space="preserve"> ——事故缓冲设施总有效容积，</w:t>
            </w:r>
            <w:r>
              <w:rPr>
                <w:rFonts w:hint="default"/>
                <w:color w:val="auto"/>
                <w:highlight w:val="none"/>
              </w:rPr>
              <w:t>m</w:t>
            </w:r>
            <w:r>
              <w:rPr>
                <w:rFonts w:hint="default"/>
                <w:color w:val="auto"/>
                <w:highlight w:val="none"/>
                <w:vertAlign w:val="superscript"/>
              </w:rPr>
              <w:t>3</w:t>
            </w:r>
            <w:r>
              <w:rPr>
                <w:rFonts w:hint="default"/>
                <w:color w:val="auto"/>
              </w:rPr>
              <w:t xml:space="preserve">； </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V</w:t>
            </w:r>
            <w:r>
              <w:rPr>
                <w:rFonts w:hint="default"/>
                <w:color w:val="auto"/>
                <w:vertAlign w:val="subscript"/>
              </w:rPr>
              <w:t>1</w:t>
            </w:r>
            <w:r>
              <w:rPr>
                <w:rFonts w:hint="default"/>
                <w:color w:val="auto"/>
              </w:rPr>
              <w:t>——收集系统范围内发生事故的物料量，</w:t>
            </w:r>
            <w:r>
              <w:rPr>
                <w:rFonts w:hint="default"/>
                <w:color w:val="auto"/>
                <w:highlight w:val="none"/>
              </w:rPr>
              <w:t>m</w:t>
            </w:r>
            <w:r>
              <w:rPr>
                <w:rFonts w:hint="default"/>
                <w:color w:val="auto"/>
                <w:highlight w:val="none"/>
                <w:vertAlign w:val="superscript"/>
              </w:rPr>
              <w:t>3</w:t>
            </w:r>
            <w:r>
              <w:rPr>
                <w:rFonts w:hint="default"/>
                <w:color w:val="auto"/>
              </w:rPr>
              <w:t xml:space="preserve">； </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V</w:t>
            </w:r>
            <w:r>
              <w:rPr>
                <w:rFonts w:hint="default"/>
                <w:color w:val="auto"/>
                <w:vertAlign w:val="subscript"/>
              </w:rPr>
              <w:t>2</w:t>
            </w:r>
            <w:r>
              <w:rPr>
                <w:rFonts w:hint="default"/>
                <w:color w:val="auto"/>
              </w:rPr>
              <w:t>——发生事故的储罐、装置或铁路、汽车装卸区的消防水量，</w:t>
            </w:r>
            <w:r>
              <w:rPr>
                <w:rFonts w:hint="default"/>
                <w:color w:val="auto"/>
                <w:highlight w:val="none"/>
              </w:rPr>
              <w:t>m</w:t>
            </w:r>
            <w:r>
              <w:rPr>
                <w:rFonts w:hint="default"/>
                <w:color w:val="auto"/>
                <w:highlight w:val="none"/>
                <w:vertAlign w:val="superscript"/>
              </w:rPr>
              <w:t>3</w:t>
            </w:r>
            <w:r>
              <w:rPr>
                <w:rFonts w:hint="default"/>
                <w:color w:val="auto"/>
              </w:rPr>
              <w:t>；</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V</w:t>
            </w:r>
            <w:r>
              <w:rPr>
                <w:rFonts w:hint="default"/>
                <w:color w:val="auto"/>
                <w:vertAlign w:val="subscript"/>
              </w:rPr>
              <w:t>3</w:t>
            </w:r>
            <w:r>
              <w:rPr>
                <w:rFonts w:hint="default"/>
                <w:color w:val="auto"/>
              </w:rPr>
              <w:t>——发生事故时可以转输到其他储存或处理设施的物料量，</w:t>
            </w:r>
            <w:r>
              <w:rPr>
                <w:rFonts w:hint="default"/>
                <w:color w:val="auto"/>
                <w:highlight w:val="none"/>
              </w:rPr>
              <w:t>m</w:t>
            </w:r>
            <w:r>
              <w:rPr>
                <w:rFonts w:hint="default"/>
                <w:color w:val="auto"/>
                <w:highlight w:val="none"/>
                <w:vertAlign w:val="superscript"/>
              </w:rPr>
              <w:t>3</w:t>
            </w:r>
            <w:r>
              <w:rPr>
                <w:rFonts w:hint="default"/>
                <w:color w:val="auto"/>
              </w:rPr>
              <w:t>；</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V</w:t>
            </w:r>
            <w:r>
              <w:rPr>
                <w:rFonts w:hint="default"/>
                <w:color w:val="auto"/>
                <w:vertAlign w:val="subscript"/>
              </w:rPr>
              <w:t>4</w:t>
            </w:r>
            <w:r>
              <w:rPr>
                <w:rFonts w:hint="default"/>
                <w:color w:val="auto"/>
              </w:rPr>
              <w:t>——发生事故时扔必须进入该收集系统的生产废水量，</w:t>
            </w:r>
            <w:r>
              <w:rPr>
                <w:rFonts w:hint="default"/>
                <w:color w:val="auto"/>
                <w:highlight w:val="none"/>
              </w:rPr>
              <w:t>m</w:t>
            </w:r>
            <w:r>
              <w:rPr>
                <w:rFonts w:hint="default"/>
                <w:color w:val="auto"/>
                <w:highlight w:val="none"/>
                <w:vertAlign w:val="superscript"/>
              </w:rPr>
              <w:t>3</w:t>
            </w:r>
            <w:r>
              <w:rPr>
                <w:rFonts w:hint="default"/>
                <w:color w:val="auto"/>
              </w:rPr>
              <w:t>；</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V</w:t>
            </w:r>
            <w:r>
              <w:rPr>
                <w:rFonts w:hint="default"/>
                <w:color w:val="auto"/>
                <w:vertAlign w:val="subscript"/>
              </w:rPr>
              <w:t>5</w:t>
            </w:r>
            <w:r>
              <w:rPr>
                <w:rFonts w:hint="default"/>
                <w:color w:val="auto"/>
              </w:rPr>
              <w:t>——发生事故时可能进入该系统的降雨量，</w:t>
            </w:r>
            <w:r>
              <w:rPr>
                <w:rFonts w:hint="default"/>
                <w:color w:val="auto"/>
                <w:highlight w:val="none"/>
              </w:rPr>
              <w:t>m</w:t>
            </w:r>
            <w:r>
              <w:rPr>
                <w:rFonts w:hint="default"/>
                <w:color w:val="auto"/>
                <w:highlight w:val="none"/>
                <w:vertAlign w:val="superscript"/>
              </w:rPr>
              <w:t>3</w:t>
            </w:r>
            <w:r>
              <w:rPr>
                <w:rFonts w:hint="default"/>
                <w:color w:val="auto"/>
              </w:rPr>
              <w:t>。</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V</w:t>
            </w:r>
            <w:r>
              <w:rPr>
                <w:rFonts w:hint="default"/>
                <w:color w:val="auto"/>
                <w:vertAlign w:val="subscript"/>
              </w:rPr>
              <w:t>l</w:t>
            </w:r>
            <w:r>
              <w:rPr>
                <w:rFonts w:hint="default"/>
                <w:color w:val="auto"/>
              </w:rPr>
              <w:t>=0m³；</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消防水量V</w:t>
            </w:r>
            <w:r>
              <w:rPr>
                <w:rFonts w:hint="default"/>
                <w:color w:val="auto"/>
                <w:vertAlign w:val="subscript"/>
              </w:rPr>
              <w:t>2</w:t>
            </w:r>
            <w:r>
              <w:rPr>
                <w:rFonts w:hint="default"/>
                <w:color w:val="auto"/>
              </w:rPr>
              <w:t>：发生火灾事故时，利用干粉灭火器、二氧化碳灭火器等进行灭火，</w:t>
            </w:r>
            <w:r>
              <w:rPr>
                <w:rFonts w:hint="default"/>
                <w:color w:val="auto"/>
                <w:lang w:bidi="ar"/>
              </w:rPr>
              <w:t>消防水枪数</w:t>
            </w:r>
            <w:r>
              <w:rPr>
                <w:rFonts w:hint="eastAsia"/>
                <w:color w:val="auto"/>
                <w:lang w:val="en-US" w:eastAsia="zh-CN" w:bidi="ar"/>
              </w:rPr>
              <w:t>1</w:t>
            </w:r>
            <w:r>
              <w:rPr>
                <w:rFonts w:hint="default"/>
                <w:color w:val="auto"/>
                <w:lang w:bidi="ar"/>
              </w:rPr>
              <w:t>支，消火栓设计流量</w:t>
            </w:r>
            <w:r>
              <w:rPr>
                <w:rFonts w:hint="eastAsia"/>
                <w:color w:val="auto"/>
                <w:lang w:val="en-US" w:eastAsia="zh-CN" w:bidi="ar"/>
              </w:rPr>
              <w:t>15</w:t>
            </w:r>
            <w:r>
              <w:rPr>
                <w:rFonts w:hint="default"/>
                <w:color w:val="auto"/>
                <w:lang w:bidi="ar"/>
              </w:rPr>
              <w:t>L/s，消防历</w:t>
            </w:r>
            <w:r>
              <w:rPr>
                <w:rFonts w:hint="eastAsia"/>
                <w:color w:val="auto"/>
                <w:lang w:val="en-US" w:eastAsia="zh-CN"/>
              </w:rPr>
              <w:t>时</w:t>
            </w:r>
            <w:r>
              <w:rPr>
                <w:rFonts w:hint="eastAsia"/>
                <w:color w:val="auto"/>
                <w:lang w:val="en-US" w:eastAsia="zh-CN" w:bidi="ar"/>
              </w:rPr>
              <w:t>1</w:t>
            </w:r>
            <w:r>
              <w:rPr>
                <w:rFonts w:hint="default"/>
                <w:color w:val="auto"/>
                <w:lang w:bidi="ar"/>
              </w:rPr>
              <w:t>h，则</w:t>
            </w:r>
            <w:r>
              <w:rPr>
                <w:rFonts w:hint="default"/>
                <w:color w:val="auto"/>
              </w:rPr>
              <w:t>V</w:t>
            </w:r>
            <w:r>
              <w:rPr>
                <w:rFonts w:hint="default"/>
                <w:color w:val="auto"/>
                <w:vertAlign w:val="subscript"/>
              </w:rPr>
              <w:t>2</w:t>
            </w:r>
            <w:r>
              <w:rPr>
                <w:rFonts w:hint="default"/>
                <w:color w:val="auto"/>
              </w:rPr>
              <w:t>=</w:t>
            </w:r>
            <w:r>
              <w:rPr>
                <w:rFonts w:hint="eastAsia"/>
                <w:color w:val="auto"/>
                <w:lang w:val="en-US" w:eastAsia="zh-CN"/>
              </w:rPr>
              <w:t>36</w:t>
            </w:r>
            <w:r>
              <w:rPr>
                <w:rFonts w:hint="default"/>
                <w:color w:val="auto"/>
              </w:rPr>
              <w:t>m³；</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围堰容积V</w:t>
            </w:r>
            <w:r>
              <w:rPr>
                <w:rFonts w:hint="default"/>
                <w:color w:val="auto"/>
                <w:vertAlign w:val="subscript"/>
              </w:rPr>
              <w:t>3</w:t>
            </w:r>
            <w:r>
              <w:rPr>
                <w:rFonts w:hint="default"/>
                <w:color w:val="auto"/>
              </w:rPr>
              <w:t>=0m³；</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在事故状态时立即停产则V</w:t>
            </w:r>
            <w:r>
              <w:rPr>
                <w:rFonts w:hint="default"/>
                <w:color w:val="auto"/>
                <w:vertAlign w:val="subscript"/>
              </w:rPr>
              <w:t>4</w:t>
            </w:r>
            <w:r>
              <w:rPr>
                <w:rFonts w:hint="default"/>
                <w:color w:val="auto"/>
              </w:rPr>
              <w:t>=0m³；</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降雨量V</w:t>
            </w:r>
            <w:r>
              <w:rPr>
                <w:rFonts w:hint="default"/>
                <w:color w:val="auto"/>
                <w:vertAlign w:val="subscript"/>
              </w:rPr>
              <w:t>5</w:t>
            </w:r>
            <w:r>
              <w:rPr>
                <w:rFonts w:hint="default"/>
                <w:color w:val="auto"/>
              </w:rPr>
              <w:t>：福鼎市年平均降雨量为1710</w:t>
            </w:r>
            <w:r>
              <w:rPr>
                <w:rFonts w:hint="default"/>
                <w:color w:val="auto"/>
                <w:highlight w:val="none"/>
              </w:rPr>
              <w:t>mm</w:t>
            </w:r>
            <w:r>
              <w:rPr>
                <w:rFonts w:hint="default"/>
                <w:color w:val="auto"/>
              </w:rPr>
              <w:t>，年平均降雨日数为172天，F=</w:t>
            </w:r>
            <w:r>
              <w:rPr>
                <w:rFonts w:hint="eastAsia"/>
                <w:color w:val="auto"/>
                <w:lang w:val="en-US" w:eastAsia="zh-CN"/>
              </w:rPr>
              <w:t>0.666</w:t>
            </w:r>
            <w:r>
              <w:rPr>
                <w:rFonts w:hint="default"/>
                <w:color w:val="auto"/>
              </w:rPr>
              <w:t>ha</w:t>
            </w:r>
            <w:r>
              <w:rPr>
                <w:rFonts w:hint="default"/>
                <w:color w:val="auto"/>
                <w:vertAlign w:val="superscript"/>
              </w:rPr>
              <w:t>2</w:t>
            </w:r>
            <w:r>
              <w:rPr>
                <w:rFonts w:hint="default"/>
                <w:color w:val="auto"/>
              </w:rPr>
              <w:t>，则计算得到可能发生事故时可能进入收集系统的雨量为</w:t>
            </w:r>
            <w:r>
              <w:rPr>
                <w:rFonts w:hint="eastAsia"/>
                <w:color w:val="auto"/>
                <w:lang w:val="en-US" w:eastAsia="zh-CN"/>
              </w:rPr>
              <w:t>6.62</w:t>
            </w:r>
            <w:r>
              <w:rPr>
                <w:rFonts w:hint="default"/>
                <w:color w:val="auto"/>
                <w:highlight w:val="none"/>
              </w:rPr>
              <w:t>m</w:t>
            </w:r>
            <w:r>
              <w:rPr>
                <w:rFonts w:hint="default"/>
                <w:color w:val="auto"/>
                <w:highlight w:val="none"/>
                <w:vertAlign w:val="superscript"/>
              </w:rPr>
              <w:t>3</w:t>
            </w:r>
            <w:r>
              <w:rPr>
                <w:rFonts w:hint="default"/>
                <w:color w:val="auto"/>
              </w:rPr>
              <w:t>；</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计算出事故缓存实施总有效容积为</w:t>
            </w:r>
            <w:r>
              <w:rPr>
                <w:rFonts w:hint="eastAsia"/>
                <w:color w:val="auto"/>
                <w:lang w:val="en-US" w:eastAsia="zh-CN"/>
              </w:rPr>
              <w:t>42.62</w:t>
            </w:r>
            <w:r>
              <w:rPr>
                <w:rFonts w:hint="default"/>
                <w:color w:val="auto"/>
              </w:rPr>
              <w:t>m³，现有厂区应急</w:t>
            </w:r>
            <w:r>
              <w:rPr>
                <w:rFonts w:hint="eastAsia"/>
                <w:color w:val="auto"/>
                <w:lang w:val="en-US" w:eastAsia="zh-CN"/>
              </w:rPr>
              <w:t>罐5</w:t>
            </w:r>
            <w:r>
              <w:rPr>
                <w:rFonts w:hint="default"/>
                <w:color w:val="auto"/>
              </w:rPr>
              <w:t>0m</w:t>
            </w:r>
            <w:r>
              <w:rPr>
                <w:rFonts w:hint="default"/>
                <w:color w:val="auto"/>
                <w:vertAlign w:val="superscript"/>
              </w:rPr>
              <w:t>3</w:t>
            </w:r>
            <w:r>
              <w:rPr>
                <w:rFonts w:hint="eastAsia"/>
                <w:color w:val="auto"/>
                <w:vertAlign w:val="baseline"/>
                <w:lang w:val="en-US" w:eastAsia="zh-CN"/>
              </w:rPr>
              <w:t>，</w:t>
            </w:r>
            <w:r>
              <w:rPr>
                <w:rFonts w:hint="default"/>
                <w:color w:val="auto"/>
              </w:rPr>
              <w:t>可满足事故废水的收集和暂存要求。</w:t>
            </w:r>
          </w:p>
          <w:p>
            <w:pPr>
              <w:pStyle w:val="27"/>
              <w:keepNext w:val="0"/>
              <w:keepLines w:val="0"/>
              <w:suppressLineNumbers w:val="0"/>
              <w:spacing w:before="0" w:beforeAutospacing="0" w:after="0" w:afterAutospacing="0"/>
              <w:ind w:left="0" w:right="0" w:firstLine="480"/>
              <w:rPr>
                <w:rFonts w:hint="default"/>
                <w:color w:val="auto"/>
              </w:rPr>
            </w:pPr>
            <w:r>
              <w:rPr>
                <w:rFonts w:hint="eastAsia"/>
                <w:color w:val="auto"/>
                <w:highlight w:val="none"/>
                <w:lang w:eastAsia="zh-CN"/>
              </w:rPr>
              <w:t>(</w:t>
            </w:r>
            <w:r>
              <w:rPr>
                <w:rFonts w:hint="default"/>
                <w:color w:val="auto"/>
              </w:rPr>
              <w:t>2</w:t>
            </w:r>
            <w:r>
              <w:rPr>
                <w:rFonts w:hint="eastAsia"/>
                <w:color w:val="auto"/>
                <w:highlight w:val="none"/>
                <w:lang w:eastAsia="zh-CN"/>
              </w:rPr>
              <w:t>)</w:t>
            </w:r>
            <w:r>
              <w:rPr>
                <w:rFonts w:hint="default"/>
                <w:color w:val="auto"/>
              </w:rPr>
              <w:t>废气处理系统事故对周边环境空气的影响分析</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一旦各种工序废气防治措施出现事故，项目在生产过程中产生各种废气，可由呼吸或皮肤进入到人体内，与人体发生化学作用或物理作用，对人体健康产生危害。本项目在生产过程中产生的颗粒物，若不通过机械通排风收集、处理，会弥漫在厂房及周围大气中，对周边环境空气及居民造成一定的影响。</w:t>
            </w:r>
          </w:p>
          <w:p>
            <w:pPr>
              <w:pStyle w:val="6"/>
              <w:keepNext w:val="0"/>
              <w:keepLines w:val="0"/>
              <w:suppressLineNumbers w:val="0"/>
              <w:spacing w:before="0" w:beforeAutospacing="0" w:after="0" w:afterAutospacing="0"/>
              <w:ind w:left="0" w:right="0"/>
              <w:rPr>
                <w:rFonts w:hint="default"/>
                <w:color w:val="auto"/>
              </w:rPr>
            </w:pPr>
            <w:r>
              <w:rPr>
                <w:rFonts w:hint="default"/>
                <w:color w:val="auto"/>
              </w:rPr>
              <w:t>6.</w:t>
            </w:r>
            <w:r>
              <w:rPr>
                <w:rFonts w:hint="eastAsia"/>
                <w:color w:val="auto"/>
                <w:lang w:val="en-US" w:eastAsia="zh-CN"/>
              </w:rPr>
              <w:t>4</w:t>
            </w:r>
            <w:r>
              <w:rPr>
                <w:rFonts w:hint="default"/>
                <w:color w:val="auto"/>
              </w:rPr>
              <w:t>环境风险防范措施</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针对本项目有可能发生环境风险事故，本环评提出如下措施：</w:t>
            </w:r>
          </w:p>
          <w:p>
            <w:pPr>
              <w:pStyle w:val="27"/>
              <w:keepNext w:val="0"/>
              <w:keepLines w:val="0"/>
              <w:suppressLineNumbers w:val="0"/>
              <w:spacing w:before="0" w:beforeAutospacing="0" w:after="0" w:afterAutospacing="0"/>
              <w:ind w:left="0" w:right="0" w:firstLine="480"/>
              <w:rPr>
                <w:rFonts w:hint="default"/>
                <w:color w:val="auto"/>
              </w:rPr>
            </w:pPr>
            <w:r>
              <w:rPr>
                <w:rFonts w:hint="eastAsia"/>
                <w:color w:val="auto"/>
                <w:highlight w:val="none"/>
                <w:lang w:eastAsia="zh-CN"/>
              </w:rPr>
              <w:t>(</w:t>
            </w:r>
            <w:r>
              <w:rPr>
                <w:rFonts w:hint="default"/>
                <w:color w:val="auto"/>
              </w:rPr>
              <w:t>1</w:t>
            </w:r>
            <w:r>
              <w:rPr>
                <w:rFonts w:hint="eastAsia"/>
                <w:color w:val="auto"/>
                <w:highlight w:val="none"/>
                <w:lang w:eastAsia="zh-CN"/>
              </w:rPr>
              <w:t>)</w:t>
            </w:r>
            <w:r>
              <w:rPr>
                <w:rFonts w:hint="default"/>
                <w:color w:val="auto"/>
              </w:rPr>
              <w:t>危废间地面</w:t>
            </w:r>
            <w:r>
              <w:rPr>
                <w:rFonts w:hint="eastAsia"/>
                <w:color w:val="auto"/>
                <w:lang w:val="en-US" w:eastAsia="zh-CN"/>
              </w:rPr>
              <w:t>及</w:t>
            </w:r>
            <w:r>
              <w:rPr>
                <w:rFonts w:hint="default"/>
                <w:color w:val="auto"/>
              </w:rPr>
              <w:t>墙体防渗漏</w:t>
            </w:r>
          </w:p>
          <w:p>
            <w:pPr>
              <w:pStyle w:val="27"/>
              <w:keepNext w:val="0"/>
              <w:keepLines w:val="0"/>
              <w:suppressLineNumbers w:val="0"/>
              <w:spacing w:before="0" w:beforeAutospacing="0" w:after="0" w:afterAutospacing="0"/>
              <w:ind w:left="0" w:right="0" w:firstLine="480"/>
              <w:rPr>
                <w:rFonts w:hint="default"/>
                <w:color w:val="auto"/>
              </w:rPr>
            </w:pPr>
            <w:r>
              <w:rPr>
                <w:rFonts w:hint="default"/>
                <w:color w:val="auto"/>
              </w:rPr>
              <w:t>危险废物防治区参照GB18597-2015《危险废物贮存污染控制标准》制定防渗设计方案。地表采用25cm厚度混凝土搅拌压实作为基础防渗措施，同时在混凝土表面喷涂防腐防渗油漆加强基础防渗。综合渗透系数应小于1×10</w:t>
            </w:r>
            <w:r>
              <w:rPr>
                <w:rFonts w:hint="default"/>
                <w:color w:val="auto"/>
                <w:vertAlign w:val="superscript"/>
              </w:rPr>
              <w:t>-10</w:t>
            </w:r>
            <w:r>
              <w:rPr>
                <w:rFonts w:hint="default"/>
                <w:color w:val="auto"/>
              </w:rPr>
              <w:t>cm/s。</w:t>
            </w:r>
          </w:p>
          <w:p>
            <w:pPr>
              <w:pStyle w:val="27"/>
              <w:keepNext w:val="0"/>
              <w:keepLines w:val="0"/>
              <w:suppressLineNumbers w:val="0"/>
              <w:spacing w:before="0" w:beforeAutospacing="0" w:after="0" w:afterAutospacing="0"/>
              <w:ind w:left="0" w:right="0" w:firstLine="480"/>
              <w:rPr>
                <w:rFonts w:hint="default"/>
                <w:color w:val="auto"/>
              </w:rPr>
            </w:pPr>
            <w:r>
              <w:rPr>
                <w:rFonts w:hint="eastAsia"/>
                <w:color w:val="auto"/>
                <w:highlight w:val="none"/>
                <w:lang w:eastAsia="zh-CN"/>
              </w:rPr>
              <w:t>(</w:t>
            </w:r>
            <w:r>
              <w:rPr>
                <w:rFonts w:hint="default"/>
                <w:color w:val="auto"/>
              </w:rPr>
              <w:t>2</w:t>
            </w:r>
            <w:r>
              <w:rPr>
                <w:rFonts w:hint="eastAsia"/>
                <w:color w:val="auto"/>
                <w:highlight w:val="none"/>
                <w:lang w:eastAsia="zh-CN"/>
              </w:rPr>
              <w:t>)</w:t>
            </w:r>
            <w:r>
              <w:rPr>
                <w:rFonts w:hint="default"/>
                <w:color w:val="auto"/>
              </w:rPr>
              <w:t>火灾、爆炸风险防范措施</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lang w:val="en-US" w:eastAsia="zh-CN"/>
              </w:rPr>
              <w:t>生产车间及仓库配套</w:t>
            </w:r>
            <w:r>
              <w:rPr>
                <w:rFonts w:hint="default"/>
                <w:color w:val="auto"/>
              </w:rPr>
              <w:t>完善的防火、防静电措施，要求员工严格遵守国家相关管理规定，对工作本着认真负责的态度，在发生事故后能正确采取相应的安全措施和及时启动事故应急预案。</w:t>
            </w:r>
          </w:p>
          <w:p>
            <w:pPr>
              <w:pStyle w:val="25"/>
              <w:keepNext w:val="0"/>
              <w:keepLines w:val="0"/>
              <w:suppressLineNumbers w:val="0"/>
              <w:bidi w:val="0"/>
              <w:spacing w:before="0" w:beforeAutospacing="0" w:after="0" w:afterAutospacing="0"/>
              <w:ind w:left="0" w:right="0"/>
              <w:rPr>
                <w:rFonts w:hint="default"/>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default"/>
                <w:color w:val="auto"/>
              </w:rPr>
              <w:t>预案编制</w:t>
            </w:r>
          </w:p>
          <w:p>
            <w:pPr>
              <w:pStyle w:val="25"/>
              <w:keepNext w:val="0"/>
              <w:keepLines w:val="0"/>
              <w:suppressLineNumbers w:val="0"/>
              <w:bidi w:val="0"/>
              <w:spacing w:before="0" w:beforeAutospacing="0" w:after="0" w:afterAutospacing="0"/>
              <w:ind w:left="0" w:right="0"/>
              <w:rPr>
                <w:rFonts w:hint="eastAsia"/>
                <w:color w:val="auto"/>
                <w:lang w:eastAsia="zh-CN"/>
              </w:rPr>
            </w:pPr>
            <w:r>
              <w:rPr>
                <w:rFonts w:hint="default"/>
                <w:color w:val="auto"/>
              </w:rPr>
              <w:t>本项目应按照《突发环境事件应急管理办法》(部令第34号文)和福建省环保厅转发环保部关于印发《企业事业单位突发环境事件应急预案备案管理办法(试行)》的通知(闽环保应急[2015]2号)要求编制突发环境事件应急预案。在预案中应明确适用范围、环境事件分类与分级、组织机构与职责、监控和预警、应急响应、应急保障、善后处置、预案管理与演练等内容。体现本项目突发环境事件应急预案与园区突发环境事件应急预案区域联动的原则，并与福鼎市突发环境事件应急预案相衔接。</w:t>
            </w:r>
          </w:p>
          <w:p>
            <w:pPr>
              <w:pStyle w:val="27"/>
              <w:keepNext w:val="0"/>
              <w:keepLines w:val="0"/>
              <w:suppressLineNumbers w:val="0"/>
              <w:spacing w:before="0" w:beforeAutospacing="0" w:after="0" w:afterAutospacing="0"/>
              <w:ind w:left="0" w:right="0" w:firstLine="480"/>
              <w:rPr>
                <w:rFonts w:hint="default"/>
                <w:color w:val="auto"/>
              </w:rPr>
            </w:pPr>
            <w:r>
              <w:rPr>
                <w:rFonts w:hint="eastAsia"/>
                <w:color w:val="auto"/>
                <w:highlight w:val="none"/>
                <w:lang w:eastAsia="zh-CN"/>
              </w:rPr>
              <w:t>(</w:t>
            </w:r>
            <w:r>
              <w:rPr>
                <w:rFonts w:hint="eastAsia"/>
                <w:color w:val="auto"/>
                <w:lang w:val="en-US" w:eastAsia="zh-CN"/>
              </w:rPr>
              <w:t>4</w:t>
            </w:r>
            <w:r>
              <w:rPr>
                <w:rFonts w:hint="eastAsia"/>
                <w:color w:val="auto"/>
                <w:highlight w:val="none"/>
                <w:lang w:eastAsia="zh-CN"/>
              </w:rPr>
              <w:t>)</w:t>
            </w:r>
            <w:r>
              <w:rPr>
                <w:rFonts w:hint="default"/>
                <w:color w:val="auto"/>
              </w:rPr>
              <w:t>其他</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①</w:t>
            </w:r>
            <w:r>
              <w:rPr>
                <w:rFonts w:hint="default"/>
                <w:color w:val="auto"/>
              </w:rPr>
              <w:t>定期组织安全隐患排查及整改工作。</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②</w:t>
            </w:r>
            <w:r>
              <w:rPr>
                <w:rFonts w:hint="default"/>
                <w:color w:val="auto"/>
              </w:rPr>
              <w:t>严格执行三级安全教育制度，员工上岗前或转岗必须经过安全教育培训后，经考核合格后才可上岗。操作人员在上岗前应接受有关的安全生产教育，未经培训的新工人，实习人员和临时工不得单独操作，制定有关安全操作规章制度；新员工的安全培训制度：新员工应接受安全教育和培训，在有安全工作经验的职工带领下工作，考核合格后，方可独立工作。</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rPr>
              <w:t>③</w:t>
            </w:r>
            <w:r>
              <w:rPr>
                <w:rFonts w:hint="default"/>
                <w:color w:val="auto"/>
              </w:rPr>
              <w:t>对消防器材定期巡查，保证处于完好状态。</w:t>
            </w:r>
          </w:p>
          <w:p>
            <w:pPr>
              <w:pStyle w:val="27"/>
              <w:keepNext w:val="0"/>
              <w:keepLines w:val="0"/>
              <w:suppressLineNumbers w:val="0"/>
              <w:spacing w:before="0" w:beforeAutospacing="0" w:after="0" w:afterAutospacing="0"/>
              <w:ind w:left="0" w:right="0" w:firstLine="480"/>
              <w:rPr>
                <w:rFonts w:hint="default"/>
                <w:color w:val="auto"/>
              </w:rPr>
            </w:pPr>
            <w:r>
              <w:rPr>
                <w:rFonts w:hint="eastAsia" w:ascii="宋体" w:hAnsi="宋体" w:cs="宋体"/>
                <w:color w:val="auto"/>
                <w:lang w:val="en-US" w:eastAsia="zh-CN"/>
              </w:rPr>
              <w:t>④</w:t>
            </w:r>
            <w:r>
              <w:rPr>
                <w:rFonts w:hint="default"/>
                <w:color w:val="auto"/>
              </w:rPr>
              <w:t>在厂区内设置醒目的安全标志、禁令、警语和告示牌，杜绝明火火源，严禁超速。厂区内严禁吸烟。</w:t>
            </w:r>
          </w:p>
          <w:p>
            <w:pPr>
              <w:pStyle w:val="25"/>
              <w:keepNext w:val="0"/>
              <w:keepLines w:val="0"/>
              <w:suppressLineNumbers w:val="0"/>
              <w:spacing w:before="0" w:beforeAutospacing="0" w:after="0" w:afterAutospacing="0"/>
              <w:ind w:left="0" w:right="0" w:firstLine="480"/>
              <w:rPr>
                <w:rFonts w:hint="default" w:eastAsia="宋体"/>
                <w:color w:val="auto"/>
                <w:highlight w:val="yellow"/>
                <w:lang w:val="en-US" w:eastAsia="zh-CN"/>
              </w:rPr>
            </w:pPr>
          </w:p>
        </w:tc>
      </w:tr>
    </w:tbl>
    <w:p>
      <w:pPr>
        <w:adjustRightInd w:val="0"/>
        <w:snapToGrid w:val="0"/>
        <w:spacing w:line="360" w:lineRule="auto"/>
        <w:rPr>
          <w:rFonts w:ascii="宋体" w:cs="宋体"/>
          <w:b/>
          <w:color w:val="auto"/>
          <w:kern w:val="0"/>
          <w:sz w:val="28"/>
          <w:szCs w:val="28"/>
          <w:highlight w:val="yellow"/>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3"/>
        <w:numPr>
          <w:ilvl w:val="0"/>
          <w:numId w:val="10"/>
        </w:numPr>
        <w:rPr>
          <w:color w:val="auto"/>
          <w:highlight w:val="none"/>
        </w:rPr>
      </w:pPr>
      <w:bookmarkStart w:id="49" w:name="_Hlk54167917"/>
      <w:r>
        <w:rPr>
          <w:rFonts w:hint="eastAsia"/>
          <w:color w:val="auto"/>
          <w:highlight w:val="none"/>
        </w:rPr>
        <w:t>环境保护措施监督检查清单</w:t>
      </w:r>
      <w:bookmarkEnd w:id="49"/>
    </w:p>
    <w:tbl>
      <w:tblPr>
        <w:tblStyle w:val="18"/>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486"/>
        <w:gridCol w:w="1305"/>
        <w:gridCol w:w="1920"/>
        <w:gridCol w:w="3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tcBorders>
              <w:tl2br w:val="single" w:color="auto" w:sz="4" w:space="0"/>
            </w:tcBorders>
          </w:tcPr>
          <w:p>
            <w:pPr>
              <w:keepNext w:val="0"/>
              <w:keepLines w:val="0"/>
              <w:suppressLineNumbers w:val="0"/>
              <w:adjustRightInd w:val="0"/>
              <w:snapToGrid w:val="0"/>
              <w:spacing w:before="0" w:beforeAutospacing="0" w:after="0" w:afterAutospacing="0"/>
              <w:ind w:left="0" w:right="0" w:firstLine="210" w:firstLineChars="100"/>
              <w:rPr>
                <w:rFonts w:hint="default" w:ascii="宋体" w:hAnsi="宋体" w:cs="宋体"/>
                <w:color w:val="auto"/>
                <w:szCs w:val="21"/>
                <w:highlight w:val="none"/>
              </w:rPr>
            </w:pPr>
            <w:r>
              <w:rPr>
                <w:rFonts w:hint="eastAsia" w:ascii="宋体" w:hAnsi="宋体" w:cs="宋体"/>
                <w:color w:val="auto"/>
                <w:szCs w:val="21"/>
                <w:highlight w:val="none"/>
              </w:rPr>
              <w:t>内容</w:t>
            </w:r>
          </w:p>
          <w:p>
            <w:pPr>
              <w:keepNext w:val="0"/>
              <w:keepLines w:val="0"/>
              <w:suppressLineNumbers w:val="0"/>
              <w:adjustRightInd w:val="0"/>
              <w:snapToGrid w:val="0"/>
              <w:spacing w:before="0" w:beforeAutospacing="0" w:after="0" w:afterAutospacing="0"/>
              <w:ind w:left="0" w:right="0"/>
              <w:rPr>
                <w:rFonts w:hint="default" w:ascii="宋体" w:hAnsi="宋体" w:cs="宋体"/>
                <w:color w:val="auto"/>
                <w:szCs w:val="21"/>
                <w:highlight w:val="none"/>
              </w:rPr>
            </w:pPr>
            <w:r>
              <w:rPr>
                <w:rFonts w:hint="eastAsia" w:ascii="宋体" w:hAnsi="宋体" w:cs="宋体"/>
                <w:color w:val="auto"/>
                <w:szCs w:val="21"/>
                <w:highlight w:val="none"/>
              </w:rPr>
              <w:t>要素</w:t>
            </w:r>
          </w:p>
        </w:tc>
        <w:tc>
          <w:tcPr>
            <w:tcW w:w="148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排放口(编号、</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名称)/污染源</w:t>
            </w:r>
          </w:p>
        </w:tc>
        <w:tc>
          <w:tcPr>
            <w:tcW w:w="130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污染物项目</w:t>
            </w:r>
          </w:p>
        </w:tc>
        <w:tc>
          <w:tcPr>
            <w:tcW w:w="192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环境保护措施</w:t>
            </w:r>
          </w:p>
        </w:tc>
        <w:tc>
          <w:tcPr>
            <w:tcW w:w="316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大气环境</w:t>
            </w:r>
          </w:p>
        </w:tc>
        <w:tc>
          <w:tcPr>
            <w:tcW w:w="1486" w:type="dxa"/>
            <w:vAlign w:val="center"/>
          </w:tcPr>
          <w:p>
            <w:pPr>
              <w:pStyle w:val="23"/>
              <w:keepNext w:val="0"/>
              <w:keepLines w:val="0"/>
              <w:suppressLineNumbers w:val="0"/>
              <w:spacing w:before="0" w:beforeAutospacing="0" w:after="0" w:afterAutospacing="0"/>
              <w:ind w:right="0"/>
              <w:rPr>
                <w:rFonts w:hint="eastAsia"/>
                <w:color w:val="auto"/>
                <w:highlight w:val="none"/>
              </w:rPr>
            </w:pPr>
            <w:r>
              <w:rPr>
                <w:rFonts w:hint="eastAsia"/>
                <w:color w:val="auto"/>
                <w:highlight w:val="none"/>
                <w:lang w:val="en-US" w:eastAsia="zh-CN"/>
              </w:rPr>
              <w:t>5#抛丸废气排放口</w:t>
            </w:r>
          </w:p>
        </w:tc>
        <w:tc>
          <w:tcPr>
            <w:tcW w:w="1305"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lang w:val="en-US" w:eastAsia="zh-CN"/>
              </w:rPr>
            </w:pPr>
            <w:r>
              <w:rPr>
                <w:rFonts w:hint="default"/>
                <w:color w:val="auto"/>
                <w:szCs w:val="21"/>
                <w:highlight w:val="none"/>
              </w:rPr>
              <w:t>颗粒物</w:t>
            </w:r>
          </w:p>
        </w:tc>
        <w:tc>
          <w:tcPr>
            <w:tcW w:w="1920" w:type="dxa"/>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抛丸机自带的旋风除尘器+19.5m排气筒</w:t>
            </w:r>
          </w:p>
        </w:tc>
        <w:tc>
          <w:tcPr>
            <w:tcW w:w="3163" w:type="dxa"/>
            <w:vMerge w:val="restart"/>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eastAsia" w:ascii="Times New Roman" w:hAnsi="Times New Roman" w:eastAsia="宋体" w:cs="Times New Roman"/>
                <w:color w:val="auto"/>
                <w:kern w:val="2"/>
                <w:sz w:val="21"/>
                <w:szCs w:val="21"/>
                <w:highlight w:val="none"/>
                <w:lang w:val="en-US" w:eastAsia="zh-CN" w:bidi="ar-SA"/>
              </w:rPr>
              <w:t>《大气污染物综合排放标》（GB16297-1996）表</w:t>
            </w:r>
            <w:r>
              <w:rPr>
                <w:rFonts w:hint="default" w:ascii="Times New Roman" w:hAnsi="Times New Roman" w:eastAsia="宋体" w:cs="Times New Roman"/>
                <w:color w:val="auto"/>
                <w:kern w:val="2"/>
                <w:sz w:val="21"/>
                <w:szCs w:val="21"/>
                <w:highlight w:val="none"/>
                <w:lang w:val="en-US" w:eastAsia="zh-CN" w:bidi="ar-SA"/>
              </w:rPr>
              <w:t>2</w:t>
            </w:r>
            <w:r>
              <w:rPr>
                <w:rFonts w:hint="eastAsia" w:ascii="Times New Roman" w:hAnsi="Times New Roman" w:eastAsia="宋体" w:cs="Times New Roman"/>
                <w:color w:val="auto"/>
                <w:kern w:val="2"/>
                <w:sz w:val="21"/>
                <w:szCs w:val="21"/>
                <w:highlight w:val="none"/>
                <w:lang w:val="en-US" w:eastAsia="zh-CN" w:bidi="ar-SA"/>
              </w:rPr>
              <w:t>标准限值要求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p>
        </w:tc>
        <w:tc>
          <w:tcPr>
            <w:tcW w:w="148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无组织排放</w:t>
            </w:r>
          </w:p>
        </w:tc>
        <w:tc>
          <w:tcPr>
            <w:tcW w:w="130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default"/>
                <w:color w:val="auto"/>
                <w:szCs w:val="21"/>
                <w:highlight w:val="none"/>
              </w:rPr>
              <w:t>颗粒物</w:t>
            </w:r>
          </w:p>
        </w:tc>
        <w:tc>
          <w:tcPr>
            <w:tcW w:w="192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color w:val="auto"/>
                <w:lang w:val="en-US" w:eastAsia="zh-CN"/>
              </w:rPr>
              <w:t>移动式烟尘处理器</w:t>
            </w:r>
          </w:p>
        </w:tc>
        <w:tc>
          <w:tcPr>
            <w:tcW w:w="3163" w:type="dxa"/>
            <w:vMerge w:val="continue"/>
            <w:vAlign w:val="center"/>
          </w:tcPr>
          <w:p>
            <w:pPr>
              <w:pStyle w:val="23"/>
              <w:keepNext w:val="0"/>
              <w:keepLines w:val="0"/>
              <w:suppressLineNumbers w:val="0"/>
              <w:spacing w:before="0" w:beforeAutospacing="0" w:after="0" w:afterAutospacing="0"/>
              <w:ind w:right="0"/>
              <w:rPr>
                <w:rFonts w:hint="default"/>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default" w:ascii="Times New Roman" w:hAnsi="Times New Roman" w:eastAsia="宋体" w:cs="Times New Roman"/>
                <w:color w:val="auto"/>
                <w:sz w:val="21"/>
                <w:szCs w:val="21"/>
                <w:highlight w:val="none"/>
              </w:rPr>
              <w:t>地表水环境</w:t>
            </w:r>
          </w:p>
        </w:tc>
        <w:tc>
          <w:tcPr>
            <w:tcW w:w="148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lang w:val="en-US"/>
              </w:rPr>
            </w:pPr>
            <w:r>
              <w:rPr>
                <w:rFonts w:hint="default" w:ascii="Times New Roman" w:hAnsi="Times New Roman" w:eastAsia="宋体" w:cs="Times New Roman"/>
                <w:color w:val="auto"/>
                <w:sz w:val="21"/>
                <w:szCs w:val="21"/>
                <w:highlight w:val="none"/>
                <w:vertAlign w:val="baseline"/>
                <w:lang w:val="en-US" w:eastAsia="zh-CN"/>
              </w:rPr>
              <w:t>DW001</w:t>
            </w:r>
            <w:r>
              <w:rPr>
                <w:rFonts w:hint="eastAsia" w:cs="Times New Roman"/>
                <w:color w:val="auto"/>
                <w:sz w:val="21"/>
                <w:szCs w:val="21"/>
                <w:highlight w:val="none"/>
                <w:vertAlign w:val="baseline"/>
                <w:lang w:val="en-US" w:eastAsia="zh-CN"/>
              </w:rPr>
              <w:t>生活污水排放口</w:t>
            </w:r>
          </w:p>
        </w:tc>
        <w:tc>
          <w:tcPr>
            <w:tcW w:w="1305" w:type="dxa"/>
            <w:vAlign w:val="center"/>
          </w:tcPr>
          <w:p>
            <w:pPr>
              <w:pStyle w:val="23"/>
              <w:keepNext w:val="0"/>
              <w:keepLines w:val="0"/>
              <w:suppressLineNumbers w:val="0"/>
              <w:spacing w:before="0" w:beforeAutospacing="0" w:after="0" w:afterAutospacing="0"/>
              <w:ind w:right="0"/>
              <w:rPr>
                <w:rFonts w:hint="default"/>
                <w:color w:val="auto"/>
                <w:szCs w:val="21"/>
                <w:highlight w:val="none"/>
                <w:lang w:val="en-US"/>
              </w:rPr>
            </w:pPr>
            <w:r>
              <w:rPr>
                <w:rFonts w:hint="default" w:ascii="Times New Roman" w:hAnsi="Times New Roman" w:eastAsia="宋体" w:cs="Times New Roman"/>
                <w:color w:val="auto"/>
                <w:sz w:val="21"/>
                <w:szCs w:val="21"/>
                <w:highlight w:val="none"/>
                <w:vertAlign w:val="baseline"/>
                <w:lang w:val="en-US" w:eastAsia="zh-CN"/>
              </w:rPr>
              <w:t>pH、COD、BOD</w:t>
            </w:r>
            <w:r>
              <w:rPr>
                <w:rFonts w:hint="default" w:ascii="Times New Roman" w:hAnsi="Times New Roman" w:eastAsia="宋体" w:cs="Times New Roman"/>
                <w:color w:val="auto"/>
                <w:sz w:val="21"/>
                <w:szCs w:val="21"/>
                <w:highlight w:val="none"/>
                <w:vertAlign w:val="subscript"/>
                <w:lang w:val="en-US" w:eastAsia="zh-CN"/>
              </w:rPr>
              <w:t>5</w:t>
            </w:r>
            <w:r>
              <w:rPr>
                <w:rFonts w:hint="default" w:ascii="Times New Roman" w:hAnsi="Times New Roman" w:eastAsia="宋体" w:cs="Times New Roman"/>
                <w:color w:val="auto"/>
                <w:sz w:val="21"/>
                <w:szCs w:val="21"/>
                <w:highlight w:val="none"/>
                <w:vertAlign w:val="baseline"/>
                <w:lang w:val="en-US" w:eastAsia="zh-CN"/>
              </w:rPr>
              <w:t>、SS、氨氮</w:t>
            </w:r>
          </w:p>
        </w:tc>
        <w:tc>
          <w:tcPr>
            <w:tcW w:w="192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cs="Times New Roman"/>
                <w:color w:val="auto"/>
                <w:sz w:val="21"/>
                <w:szCs w:val="21"/>
                <w:highlight w:val="none"/>
                <w:vertAlign w:val="baseline"/>
                <w:lang w:val="en-US" w:eastAsia="zh-CN"/>
              </w:rPr>
              <w:t>化粪池</w:t>
            </w:r>
          </w:p>
        </w:tc>
        <w:tc>
          <w:tcPr>
            <w:tcW w:w="3163" w:type="dxa"/>
            <w:vAlign w:val="center"/>
          </w:tcPr>
          <w:p>
            <w:pPr>
              <w:pStyle w:val="23"/>
              <w:keepNext w:val="0"/>
              <w:keepLines w:val="0"/>
              <w:suppressLineNumbers w:val="0"/>
              <w:spacing w:before="0" w:beforeAutospacing="0" w:after="0" w:afterAutospacing="0"/>
              <w:ind w:right="0"/>
              <w:rPr>
                <w:rFonts w:hint="default"/>
                <w:color w:val="auto"/>
                <w:highlight w:val="none"/>
              </w:rPr>
            </w:pPr>
            <w:r>
              <w:rPr>
                <w:rFonts w:hint="default" w:ascii="Times New Roman" w:hAnsi="Times New Roman" w:eastAsia="宋体" w:cs="Times New Roman"/>
                <w:color w:val="auto"/>
                <w:sz w:val="21"/>
                <w:szCs w:val="21"/>
                <w:highlight w:val="none"/>
              </w:rPr>
              <w:t>《污水综合排放标准》（GB8978-1996）表4中的三级标准（NH</w:t>
            </w:r>
            <w:r>
              <w:rPr>
                <w:rFonts w:hint="default" w:ascii="Times New Roman" w:hAnsi="Times New Roman" w:eastAsia="宋体" w:cs="Times New Roman"/>
                <w:color w:val="auto"/>
                <w:sz w:val="21"/>
                <w:szCs w:val="21"/>
                <w:highlight w:val="none"/>
                <w:vertAlign w:val="subscript"/>
              </w:rPr>
              <w:t>3</w:t>
            </w:r>
            <w:r>
              <w:rPr>
                <w:rFonts w:hint="default" w:ascii="Times New Roman" w:hAnsi="Times New Roman" w:eastAsia="宋体" w:cs="Times New Roman"/>
                <w:color w:val="auto"/>
                <w:sz w:val="21"/>
                <w:szCs w:val="21"/>
                <w:highlight w:val="none"/>
              </w:rPr>
              <w:t>-N参照《污水排入城镇下水道水质标准》（GB/T 31962-2015）表1中B等级标准）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声环境</w:t>
            </w:r>
          </w:p>
        </w:tc>
        <w:tc>
          <w:tcPr>
            <w:tcW w:w="1486" w:type="dxa"/>
            <w:vAlign w:val="center"/>
          </w:tcPr>
          <w:p>
            <w:pPr>
              <w:pStyle w:val="23"/>
              <w:keepNext w:val="0"/>
              <w:keepLines w:val="0"/>
              <w:suppressLineNumbers w:val="0"/>
              <w:spacing w:before="0" w:beforeAutospacing="0" w:after="0" w:afterAutospacing="0"/>
              <w:ind w:right="0"/>
              <w:rPr>
                <w:rFonts w:hint="default" w:ascii="宋体" w:hAnsi="宋体" w:cs="宋体"/>
                <w:color w:val="auto"/>
                <w:szCs w:val="21"/>
                <w:highlight w:val="none"/>
              </w:rPr>
            </w:pPr>
            <w:r>
              <w:rPr>
                <w:rFonts w:hint="default"/>
                <w:color w:val="auto"/>
                <w:highlight w:val="none"/>
              </w:rPr>
              <w:t>厂界噪声</w:t>
            </w:r>
          </w:p>
        </w:tc>
        <w:tc>
          <w:tcPr>
            <w:tcW w:w="1305" w:type="dxa"/>
            <w:vAlign w:val="center"/>
          </w:tcPr>
          <w:p>
            <w:pPr>
              <w:pStyle w:val="23"/>
              <w:keepNext w:val="0"/>
              <w:keepLines w:val="0"/>
              <w:suppressLineNumbers w:val="0"/>
              <w:spacing w:before="0" w:beforeAutospacing="0" w:after="0" w:afterAutospacing="0"/>
              <w:ind w:right="0"/>
              <w:rPr>
                <w:rFonts w:hint="default" w:ascii="宋体" w:hAnsi="宋体" w:cs="宋体"/>
                <w:color w:val="auto"/>
                <w:szCs w:val="21"/>
                <w:highlight w:val="none"/>
              </w:rPr>
            </w:pPr>
            <w:r>
              <w:rPr>
                <w:rFonts w:hint="default"/>
                <w:color w:val="auto"/>
                <w:highlight w:val="none"/>
              </w:rPr>
              <w:t>连续等效A声级</w:t>
            </w:r>
          </w:p>
        </w:tc>
        <w:tc>
          <w:tcPr>
            <w:tcW w:w="1920" w:type="dxa"/>
            <w:vAlign w:val="center"/>
          </w:tcPr>
          <w:p>
            <w:pPr>
              <w:pStyle w:val="23"/>
              <w:keepNext w:val="0"/>
              <w:keepLines w:val="0"/>
              <w:suppressLineNumbers w:val="0"/>
              <w:spacing w:before="0" w:beforeAutospacing="0" w:after="0" w:afterAutospacing="0"/>
              <w:ind w:right="0"/>
              <w:rPr>
                <w:rFonts w:hint="default" w:ascii="宋体" w:hAnsi="宋体" w:cs="宋体"/>
                <w:color w:val="auto"/>
                <w:szCs w:val="21"/>
                <w:highlight w:val="none"/>
              </w:rPr>
            </w:pPr>
            <w:r>
              <w:rPr>
                <w:rFonts w:hint="default"/>
                <w:color w:val="auto"/>
                <w:highlight w:val="none"/>
              </w:rPr>
              <w:t>设备采取隔声降噪减振和消声等措施</w:t>
            </w:r>
          </w:p>
        </w:tc>
        <w:tc>
          <w:tcPr>
            <w:tcW w:w="3163" w:type="dxa"/>
            <w:vAlign w:val="center"/>
          </w:tcPr>
          <w:p>
            <w:pPr>
              <w:pStyle w:val="23"/>
              <w:keepNext w:val="0"/>
              <w:keepLines w:val="0"/>
              <w:suppressLineNumbers w:val="0"/>
              <w:spacing w:before="0" w:beforeAutospacing="0" w:after="0" w:afterAutospacing="0"/>
              <w:ind w:right="0"/>
              <w:rPr>
                <w:rFonts w:hint="default" w:ascii="宋体" w:hAnsi="宋体" w:cs="宋体"/>
                <w:color w:val="auto"/>
                <w:szCs w:val="21"/>
                <w:highlight w:val="none"/>
              </w:rPr>
            </w:pPr>
            <w:r>
              <w:rPr>
                <w:rFonts w:hint="default"/>
                <w:color w:val="auto"/>
                <w:highlight w:val="none"/>
              </w:rPr>
              <w:t>《工业企业厂界环境噪声排放标准》(GB12348-2008)</w:t>
            </w:r>
            <w:r>
              <w:rPr>
                <w:rFonts w:hint="eastAsia"/>
                <w:color w:val="auto"/>
                <w:highlight w:val="none"/>
              </w:rPr>
              <w:t>3</w:t>
            </w:r>
            <w:r>
              <w:rPr>
                <w:rFonts w:hint="default"/>
                <w:color w:val="auto"/>
                <w:highlight w:val="none"/>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电磁</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辐射</w:t>
            </w:r>
          </w:p>
        </w:tc>
        <w:tc>
          <w:tcPr>
            <w:tcW w:w="148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w:t>
            </w:r>
          </w:p>
        </w:tc>
        <w:tc>
          <w:tcPr>
            <w:tcW w:w="130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w:t>
            </w:r>
          </w:p>
        </w:tc>
        <w:tc>
          <w:tcPr>
            <w:tcW w:w="192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w:t>
            </w:r>
          </w:p>
        </w:tc>
        <w:tc>
          <w:tcPr>
            <w:tcW w:w="316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9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固体</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废物</w:t>
            </w:r>
          </w:p>
        </w:tc>
        <w:tc>
          <w:tcPr>
            <w:tcW w:w="7874" w:type="dxa"/>
            <w:gridSpan w:val="4"/>
            <w:vAlign w:val="center"/>
          </w:tcPr>
          <w:p>
            <w:pPr>
              <w:keepNext w:val="0"/>
              <w:keepLines w:val="0"/>
              <w:suppressLineNumbers w:val="0"/>
              <w:adjustRightInd w:val="0"/>
              <w:snapToGrid w:val="0"/>
              <w:spacing w:before="0" w:beforeAutospacing="0" w:after="0" w:afterAutospacing="0"/>
              <w:ind w:left="0" w:right="0"/>
              <w:rPr>
                <w:rFonts w:hint="default"/>
                <w:color w:val="auto"/>
                <w:szCs w:val="21"/>
                <w:highlight w:val="none"/>
              </w:rPr>
            </w:pPr>
            <w:r>
              <w:rPr>
                <w:rFonts w:hint="eastAsia" w:cs="宋体"/>
                <w:color w:val="auto"/>
                <w:szCs w:val="21"/>
                <w:highlight w:val="none"/>
                <w:lang w:bidi="ar"/>
              </w:rPr>
              <w:t>一般工业固废：妥善分类收集后</w:t>
            </w:r>
            <w:r>
              <w:rPr>
                <w:rFonts w:hint="eastAsia" w:cs="宋体"/>
                <w:color w:val="auto"/>
                <w:szCs w:val="21"/>
                <w:highlight w:val="none"/>
                <w:lang w:val="en-US" w:eastAsia="zh-CN" w:bidi="ar"/>
              </w:rPr>
              <w:t>回用于生产或</w:t>
            </w:r>
            <w:r>
              <w:rPr>
                <w:rFonts w:hint="eastAsia" w:cs="宋体"/>
                <w:color w:val="auto"/>
                <w:szCs w:val="21"/>
                <w:highlight w:val="none"/>
                <w:lang w:bidi="ar"/>
              </w:rPr>
              <w:t>外售综合利用；满足</w:t>
            </w:r>
            <w:r>
              <w:rPr>
                <w:rFonts w:hint="eastAsia"/>
                <w:color w:val="auto"/>
                <w:highlight w:val="none"/>
              </w:rPr>
              <w:t>《一般工业固体废物贮存和填埋污染控制标准》（GB18599-2020）</w:t>
            </w:r>
            <w:r>
              <w:rPr>
                <w:rFonts w:hint="eastAsia" w:cs="宋体"/>
                <w:color w:val="auto"/>
                <w:szCs w:val="21"/>
                <w:highlight w:val="none"/>
                <w:lang w:bidi="ar"/>
              </w:rPr>
              <w:t>的相关要求；</w:t>
            </w:r>
          </w:p>
          <w:p>
            <w:pPr>
              <w:keepNext w:val="0"/>
              <w:keepLines w:val="0"/>
              <w:suppressLineNumbers w:val="0"/>
              <w:adjustRightInd w:val="0"/>
              <w:snapToGrid w:val="0"/>
              <w:spacing w:before="0" w:beforeAutospacing="0" w:after="0" w:afterAutospacing="0"/>
              <w:ind w:left="0" w:right="0"/>
              <w:rPr>
                <w:rFonts w:hint="default" w:cs="宋体"/>
                <w:color w:val="auto"/>
                <w:szCs w:val="21"/>
                <w:highlight w:val="none"/>
                <w:lang w:bidi="ar"/>
              </w:rPr>
            </w:pPr>
            <w:r>
              <w:rPr>
                <w:rFonts w:hint="eastAsia" w:cs="宋体"/>
                <w:color w:val="auto"/>
                <w:szCs w:val="21"/>
                <w:highlight w:val="none"/>
                <w:lang w:bidi="ar"/>
              </w:rPr>
              <w:t>危险废物：</w:t>
            </w:r>
            <w:r>
              <w:rPr>
                <w:rFonts w:hint="eastAsia" w:cs="宋体"/>
                <w:color w:val="auto"/>
                <w:szCs w:val="21"/>
                <w:highlight w:val="none"/>
                <w:lang w:val="en-US" w:eastAsia="zh-CN" w:bidi="ar"/>
              </w:rPr>
              <w:t>设置一处危废暂存间，建筑面积约10m</w:t>
            </w:r>
            <w:r>
              <w:rPr>
                <w:rFonts w:hint="eastAsia" w:cs="宋体"/>
                <w:color w:val="auto"/>
                <w:szCs w:val="21"/>
                <w:highlight w:val="none"/>
                <w:vertAlign w:val="superscript"/>
                <w:lang w:val="en-US" w:eastAsia="zh-CN" w:bidi="ar"/>
              </w:rPr>
              <w:t>2</w:t>
            </w:r>
            <w:r>
              <w:rPr>
                <w:rFonts w:hint="eastAsia" w:cs="宋体"/>
                <w:color w:val="auto"/>
                <w:szCs w:val="21"/>
                <w:highlight w:val="none"/>
                <w:vertAlign w:val="baseline"/>
                <w:lang w:val="en-US" w:eastAsia="zh-CN" w:bidi="ar"/>
              </w:rPr>
              <w:t>。危险废物</w:t>
            </w:r>
            <w:r>
              <w:rPr>
                <w:rFonts w:hint="eastAsia" w:cs="宋体"/>
                <w:color w:val="auto"/>
                <w:szCs w:val="21"/>
                <w:highlight w:val="none"/>
                <w:lang w:bidi="ar"/>
              </w:rPr>
              <w:t>分类收集，暂存在危废暂存间，定期委托</w:t>
            </w:r>
            <w:r>
              <w:rPr>
                <w:rFonts w:hint="eastAsia" w:cs="宋体"/>
                <w:color w:val="auto"/>
                <w:szCs w:val="21"/>
                <w:highlight w:val="none"/>
                <w:lang w:val="en-US" w:eastAsia="zh-CN" w:bidi="ar"/>
              </w:rPr>
              <w:t>有资质</w:t>
            </w:r>
            <w:r>
              <w:rPr>
                <w:rFonts w:hint="eastAsia" w:cs="宋体"/>
                <w:color w:val="auto"/>
                <w:szCs w:val="21"/>
                <w:highlight w:val="none"/>
                <w:lang w:bidi="ar"/>
              </w:rPr>
              <w:t>单位处置</w:t>
            </w:r>
            <w:r>
              <w:rPr>
                <w:rFonts w:hint="eastAsia" w:cs="宋体"/>
                <w:color w:val="auto"/>
                <w:szCs w:val="21"/>
                <w:highlight w:val="none"/>
                <w:lang w:eastAsia="zh-CN" w:bidi="ar"/>
              </w:rPr>
              <w:t>，</w:t>
            </w:r>
            <w:r>
              <w:rPr>
                <w:rFonts w:hint="eastAsia" w:cs="宋体"/>
                <w:color w:val="auto"/>
                <w:szCs w:val="21"/>
                <w:highlight w:val="none"/>
                <w:lang w:val="en-US" w:eastAsia="zh-CN" w:bidi="ar"/>
              </w:rPr>
              <w:t>危险废物收集、暂存、装运等需</w:t>
            </w:r>
            <w:r>
              <w:rPr>
                <w:rFonts w:hint="eastAsia" w:cs="宋体"/>
                <w:color w:val="auto"/>
                <w:szCs w:val="21"/>
                <w:highlight w:val="none"/>
                <w:lang w:bidi="ar"/>
              </w:rPr>
              <w:t>满足《危险废物贮存污染控制标准》</w:t>
            </w:r>
            <w:r>
              <w:rPr>
                <w:rFonts w:hint="default"/>
                <w:color w:val="auto"/>
                <w:szCs w:val="21"/>
                <w:highlight w:val="none"/>
                <w:lang w:bidi="ar"/>
              </w:rPr>
              <w:t>(GB 18597-2001)</w:t>
            </w:r>
            <w:r>
              <w:rPr>
                <w:rFonts w:hint="eastAsia" w:cs="宋体"/>
                <w:color w:val="auto"/>
                <w:szCs w:val="21"/>
                <w:highlight w:val="none"/>
                <w:lang w:bidi="ar"/>
              </w:rPr>
              <w:t>及</w:t>
            </w:r>
            <w:r>
              <w:rPr>
                <w:rFonts w:hint="default"/>
                <w:color w:val="auto"/>
                <w:szCs w:val="21"/>
                <w:highlight w:val="none"/>
                <w:lang w:bidi="ar"/>
              </w:rPr>
              <w:t>2013</w:t>
            </w:r>
            <w:r>
              <w:rPr>
                <w:rFonts w:hint="eastAsia" w:cs="宋体"/>
                <w:color w:val="auto"/>
                <w:szCs w:val="21"/>
                <w:highlight w:val="none"/>
                <w:lang w:bidi="ar"/>
              </w:rPr>
              <w:t>年修改单要求。危废转移应严格按《危险废物转移联单管理办法》要求</w:t>
            </w:r>
            <w:r>
              <w:rPr>
                <w:rFonts w:hint="eastAsia" w:cs="宋体"/>
                <w:color w:val="auto"/>
                <w:szCs w:val="21"/>
                <w:highlight w:val="none"/>
                <w:lang w:val="en-US" w:eastAsia="zh-CN" w:bidi="ar"/>
              </w:rPr>
              <w:t>执行</w:t>
            </w:r>
            <w:r>
              <w:rPr>
                <w:rFonts w:hint="eastAsia" w:cs="宋体"/>
                <w:color w:val="auto"/>
                <w:szCs w:val="21"/>
                <w:highlight w:val="none"/>
                <w:lang w:bidi="ar"/>
              </w:rPr>
              <w:t>；</w:t>
            </w:r>
          </w:p>
          <w:p>
            <w:pPr>
              <w:keepNext w:val="0"/>
              <w:keepLines w:val="0"/>
              <w:suppressLineNumbers w:val="0"/>
              <w:adjustRightInd w:val="0"/>
              <w:snapToGrid w:val="0"/>
              <w:spacing w:before="0" w:beforeAutospacing="0" w:after="0" w:afterAutospacing="0"/>
              <w:ind w:left="0" w:right="0"/>
              <w:jc w:val="both"/>
              <w:rPr>
                <w:rFonts w:hint="eastAsia" w:ascii="宋体" w:hAnsi="宋体" w:eastAsia="宋体" w:cs="宋体"/>
                <w:color w:val="auto"/>
                <w:szCs w:val="21"/>
                <w:highlight w:val="none"/>
                <w:lang w:eastAsia="zh-CN"/>
              </w:rPr>
            </w:pPr>
            <w:r>
              <w:rPr>
                <w:rFonts w:hint="eastAsia"/>
                <w:color w:val="auto"/>
                <w:szCs w:val="21"/>
                <w:highlight w:val="none"/>
                <w:lang w:bidi="ar"/>
              </w:rPr>
              <w:t>生活垃圾：由垃圾桶收集，由市政环卫部门统一清运处理</w:t>
            </w:r>
            <w:r>
              <w:rPr>
                <w:rFonts w:hint="eastAsia"/>
                <w:color w:val="auto"/>
                <w:szCs w:val="21"/>
                <w:highlight w:val="none"/>
                <w:lang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9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土壤及地下水污染防治措施</w:t>
            </w:r>
          </w:p>
        </w:tc>
        <w:tc>
          <w:tcPr>
            <w:tcW w:w="7874" w:type="dxa"/>
            <w:gridSpan w:val="4"/>
            <w:vAlign w:val="center"/>
          </w:tcPr>
          <w:p>
            <w:pPr>
              <w:pStyle w:val="25"/>
              <w:keepNext w:val="0"/>
              <w:keepLines w:val="0"/>
              <w:suppressLineNumbers w:val="0"/>
              <w:spacing w:before="0" w:beforeAutospacing="0" w:after="0" w:afterAutospacing="0"/>
              <w:ind w:left="0" w:right="0" w:firstLine="420"/>
              <w:rPr>
                <w:rFonts w:hint="default" w:ascii="宋体" w:hAnsi="宋体" w:cs="宋体"/>
                <w:color w:val="auto"/>
                <w:sz w:val="21"/>
                <w:szCs w:val="21"/>
                <w:highlight w:val="none"/>
              </w:rPr>
            </w:pPr>
            <w:r>
              <w:rPr>
                <w:rFonts w:hint="default" w:ascii="Times New Roman" w:hAnsi="Times New Roman" w:eastAsia="宋体" w:cs="Times New Roman"/>
                <w:color w:val="auto"/>
                <w:sz w:val="21"/>
                <w:szCs w:val="21"/>
                <w:highlight w:val="none"/>
              </w:rPr>
              <w:t>按照“源头控制、</w:t>
            </w:r>
            <w:r>
              <w:rPr>
                <w:rFonts w:hint="default" w:ascii="Times New Roman" w:hAnsi="Times New Roman" w:eastAsia="宋体" w:cs="Times New Roman"/>
                <w:color w:val="auto"/>
                <w:sz w:val="21"/>
                <w:szCs w:val="21"/>
                <w:highlight w:val="none"/>
                <w:lang w:val="en-US"/>
              </w:rPr>
              <w:t>分区</w:t>
            </w:r>
            <w:r>
              <w:rPr>
                <w:rFonts w:hint="default" w:ascii="Times New Roman" w:hAnsi="Times New Roman" w:eastAsia="宋体" w:cs="Times New Roman"/>
                <w:color w:val="auto"/>
                <w:sz w:val="21"/>
                <w:szCs w:val="21"/>
                <w:highlight w:val="none"/>
              </w:rPr>
              <w:t>防治、污染监控、应急响应”相结合的原则全阶段进行控制</w:t>
            </w:r>
            <w:r>
              <w:rPr>
                <w:rFonts w:hint="eastAsia"/>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生态保护措施</w:t>
            </w:r>
          </w:p>
        </w:tc>
        <w:tc>
          <w:tcPr>
            <w:tcW w:w="7874" w:type="dxa"/>
            <w:gridSpan w:val="4"/>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9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pacing w:val="-8"/>
                <w:szCs w:val="21"/>
                <w:highlight w:val="none"/>
              </w:rPr>
            </w:pPr>
            <w:r>
              <w:rPr>
                <w:rFonts w:hint="eastAsia" w:ascii="宋体" w:hAnsi="宋体" w:cs="宋体"/>
                <w:color w:val="auto"/>
                <w:spacing w:val="-8"/>
                <w:szCs w:val="21"/>
                <w:highlight w:val="none"/>
              </w:rPr>
              <w:t>环境风险防范措施</w:t>
            </w:r>
          </w:p>
        </w:tc>
        <w:tc>
          <w:tcPr>
            <w:tcW w:w="7874" w:type="dxa"/>
            <w:gridSpan w:val="4"/>
            <w:vAlign w:val="center"/>
          </w:tcPr>
          <w:p>
            <w:pPr>
              <w:pStyle w:val="25"/>
              <w:keepNext w:val="0"/>
              <w:keepLines w:val="0"/>
              <w:suppressLineNumbers w:val="0"/>
              <w:spacing w:before="0" w:beforeAutospacing="0" w:after="0" w:afterAutospacing="0" w:line="240" w:lineRule="auto"/>
              <w:ind w:left="0" w:right="0" w:firstLine="0" w:firstLineChars="0"/>
              <w:rPr>
                <w:rFonts w:hint="default"/>
                <w:color w:val="auto"/>
                <w:sz w:val="21"/>
                <w:szCs w:val="21"/>
                <w:highlight w:val="none"/>
              </w:rPr>
            </w:pPr>
            <w:r>
              <w:rPr>
                <w:rFonts w:hint="eastAsia"/>
                <w:color w:val="auto"/>
                <w:sz w:val="21"/>
                <w:szCs w:val="21"/>
                <w:highlight w:val="none"/>
              </w:rPr>
              <w:t>①</w:t>
            </w:r>
            <w:r>
              <w:rPr>
                <w:rFonts w:hint="eastAsia"/>
                <w:color w:val="auto"/>
                <w:sz w:val="21"/>
                <w:szCs w:val="21"/>
                <w:highlight w:val="none"/>
                <w:lang w:val="en-US" w:eastAsia="zh-CN"/>
              </w:rPr>
              <w:t>项目依托厂区现有应急罐，容积为50m</w:t>
            </w:r>
            <w:r>
              <w:rPr>
                <w:rFonts w:hint="eastAsia"/>
                <w:color w:val="auto"/>
                <w:sz w:val="21"/>
                <w:szCs w:val="21"/>
                <w:highlight w:val="none"/>
                <w:vertAlign w:val="superscript"/>
                <w:lang w:val="en-US" w:eastAsia="zh-CN"/>
              </w:rPr>
              <w:t>3</w:t>
            </w:r>
            <w:r>
              <w:rPr>
                <w:rFonts w:hint="default"/>
                <w:color w:val="auto"/>
                <w:sz w:val="21"/>
                <w:szCs w:val="21"/>
                <w:highlight w:val="none"/>
              </w:rPr>
              <w:t>。</w:t>
            </w:r>
          </w:p>
          <w:p>
            <w:pPr>
              <w:pStyle w:val="25"/>
              <w:keepNext w:val="0"/>
              <w:keepLines w:val="0"/>
              <w:suppressLineNumbers w:val="0"/>
              <w:spacing w:before="0" w:beforeAutospacing="0" w:after="0" w:afterAutospacing="0" w:line="240" w:lineRule="auto"/>
              <w:ind w:left="0" w:right="0" w:firstLine="0" w:firstLineChars="0"/>
              <w:rPr>
                <w:rFonts w:hint="default"/>
                <w:color w:val="auto"/>
                <w:sz w:val="21"/>
                <w:szCs w:val="21"/>
                <w:highlight w:val="none"/>
              </w:rPr>
            </w:pPr>
            <w:r>
              <w:rPr>
                <w:rFonts w:hint="eastAsia"/>
                <w:color w:val="auto"/>
                <w:sz w:val="21"/>
                <w:szCs w:val="21"/>
                <w:highlight w:val="none"/>
              </w:rPr>
              <w:t>②</w:t>
            </w:r>
            <w:r>
              <w:rPr>
                <w:rFonts w:hint="default"/>
                <w:color w:val="auto"/>
                <w:sz w:val="21"/>
                <w:szCs w:val="21"/>
                <w:highlight w:val="none"/>
              </w:rPr>
              <w:t>加强职工管理，进行必要的安全消防教育，并做好个人防护。</w:t>
            </w:r>
          </w:p>
          <w:p>
            <w:pPr>
              <w:pStyle w:val="25"/>
              <w:keepNext w:val="0"/>
              <w:keepLines w:val="0"/>
              <w:suppressLineNumbers w:val="0"/>
              <w:spacing w:before="0" w:beforeAutospacing="0" w:after="0" w:afterAutospacing="0" w:line="240" w:lineRule="auto"/>
              <w:ind w:left="0" w:right="0" w:firstLine="0" w:firstLineChars="0"/>
              <w:rPr>
                <w:rFonts w:hint="default"/>
                <w:color w:val="auto"/>
                <w:sz w:val="21"/>
                <w:szCs w:val="21"/>
                <w:highlight w:val="none"/>
              </w:rPr>
            </w:pPr>
            <w:r>
              <w:rPr>
                <w:rFonts w:hint="eastAsia"/>
                <w:color w:val="auto"/>
                <w:sz w:val="21"/>
                <w:szCs w:val="21"/>
                <w:highlight w:val="none"/>
              </w:rPr>
              <w:t>③</w:t>
            </w:r>
            <w:r>
              <w:rPr>
                <w:rFonts w:hint="default"/>
                <w:color w:val="auto"/>
                <w:sz w:val="21"/>
                <w:szCs w:val="21"/>
                <w:highlight w:val="none"/>
              </w:rPr>
              <w:t>企业应加强设备管理，确保设备完好，并制定严格的操作、管理制度，工作人员应培训上岗，定期对池体进行检查，杜绝“跑、冒、滴、漏”的发生。</w:t>
            </w:r>
          </w:p>
          <w:p>
            <w:pPr>
              <w:pStyle w:val="25"/>
              <w:keepNext w:val="0"/>
              <w:keepLines w:val="0"/>
              <w:suppressLineNumbers w:val="0"/>
              <w:spacing w:before="0" w:beforeAutospacing="0" w:after="0" w:afterAutospacing="0" w:line="240" w:lineRule="auto"/>
              <w:ind w:left="0" w:right="0" w:firstLine="0" w:firstLineChars="0"/>
              <w:rPr>
                <w:rFonts w:hint="default"/>
                <w:color w:val="auto"/>
                <w:sz w:val="21"/>
                <w:szCs w:val="21"/>
                <w:highlight w:val="none"/>
              </w:rPr>
            </w:pPr>
            <w:r>
              <w:rPr>
                <w:rFonts w:hint="eastAsia"/>
                <w:color w:val="auto"/>
                <w:sz w:val="21"/>
                <w:szCs w:val="21"/>
                <w:highlight w:val="none"/>
              </w:rPr>
              <w:t>④</w:t>
            </w:r>
            <w:r>
              <w:rPr>
                <w:rFonts w:hint="eastAsia"/>
                <w:color w:val="auto"/>
                <w:sz w:val="21"/>
                <w:szCs w:val="21"/>
                <w:highlight w:val="none"/>
                <w:lang w:val="en-US" w:eastAsia="zh-CN"/>
              </w:rPr>
              <w:t>危废间、油房等</w:t>
            </w:r>
            <w:r>
              <w:rPr>
                <w:rFonts w:hint="default"/>
                <w:color w:val="auto"/>
                <w:sz w:val="21"/>
                <w:szCs w:val="21"/>
                <w:highlight w:val="none"/>
              </w:rPr>
              <w:t>应涂上环氧树脂防渗材料。</w:t>
            </w:r>
          </w:p>
          <w:p>
            <w:pPr>
              <w:pStyle w:val="25"/>
              <w:keepNext w:val="0"/>
              <w:keepLines w:val="0"/>
              <w:suppressLineNumbers w:val="0"/>
              <w:spacing w:before="0" w:beforeAutospacing="0" w:after="0" w:afterAutospacing="0" w:line="240" w:lineRule="auto"/>
              <w:ind w:left="0" w:right="0" w:firstLine="0" w:firstLineChars="0"/>
              <w:rPr>
                <w:rFonts w:hint="default"/>
                <w:color w:val="auto"/>
                <w:sz w:val="21"/>
                <w:szCs w:val="21"/>
                <w:highlight w:val="none"/>
                <w:lang w:val="en-US" w:eastAsia="zh-CN"/>
              </w:rPr>
            </w:pPr>
            <w:r>
              <w:rPr>
                <w:rFonts w:hint="default"/>
                <w:color w:val="auto"/>
                <w:sz w:val="21"/>
                <w:szCs w:val="21"/>
                <w:highlight w:val="none"/>
              </w:rPr>
              <w:fldChar w:fldCharType="begin"/>
            </w:r>
            <w:r>
              <w:rPr>
                <w:rFonts w:hint="default"/>
                <w:color w:val="auto"/>
                <w:sz w:val="21"/>
                <w:szCs w:val="21"/>
                <w:highlight w:val="none"/>
              </w:rPr>
              <w:instrText xml:space="preserve"> </w:instrText>
            </w:r>
            <w:r>
              <w:rPr>
                <w:rFonts w:hint="eastAsia"/>
                <w:color w:val="auto"/>
                <w:sz w:val="21"/>
                <w:szCs w:val="21"/>
                <w:highlight w:val="none"/>
              </w:rPr>
              <w:instrText xml:space="preserve">= 5 \* GB3</w:instrText>
            </w:r>
            <w:r>
              <w:rPr>
                <w:rFonts w:hint="default"/>
                <w:color w:val="auto"/>
                <w:sz w:val="21"/>
                <w:szCs w:val="21"/>
                <w:highlight w:val="none"/>
              </w:rPr>
              <w:instrText xml:space="preserve"> </w:instrText>
            </w:r>
            <w:r>
              <w:rPr>
                <w:rFonts w:hint="default"/>
                <w:color w:val="auto"/>
                <w:sz w:val="21"/>
                <w:szCs w:val="21"/>
                <w:highlight w:val="none"/>
              </w:rPr>
              <w:fldChar w:fldCharType="separate"/>
            </w:r>
            <w:r>
              <w:rPr>
                <w:rFonts w:hint="eastAsia"/>
                <w:color w:val="auto"/>
                <w:sz w:val="21"/>
                <w:szCs w:val="21"/>
                <w:highlight w:val="none"/>
              </w:rPr>
              <w:t>⑤</w:t>
            </w:r>
            <w:r>
              <w:rPr>
                <w:rFonts w:hint="default"/>
                <w:color w:val="auto"/>
                <w:sz w:val="21"/>
                <w:szCs w:val="21"/>
                <w:highlight w:val="none"/>
              </w:rPr>
              <w:fldChar w:fldCharType="end"/>
            </w:r>
            <w:r>
              <w:rPr>
                <w:rFonts w:hint="eastAsia"/>
                <w:color w:val="auto"/>
                <w:sz w:val="21"/>
                <w:szCs w:val="21"/>
                <w:highlight w:val="none"/>
                <w:lang w:val="en-US" w:eastAsia="zh-CN"/>
              </w:rPr>
              <w:t>根据扩建项目建设内容修编厂区应急预案。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2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pacing w:val="-8"/>
                <w:szCs w:val="21"/>
                <w:highlight w:val="yellow"/>
              </w:rPr>
            </w:pPr>
            <w:r>
              <w:rPr>
                <w:rFonts w:hint="eastAsia" w:ascii="宋体" w:hAnsi="宋体" w:cs="宋体"/>
                <w:color w:val="auto"/>
                <w:spacing w:val="-8"/>
                <w:szCs w:val="21"/>
                <w:highlight w:val="none"/>
              </w:rPr>
              <w:t>其他环境管理要求</w:t>
            </w:r>
          </w:p>
        </w:tc>
        <w:tc>
          <w:tcPr>
            <w:tcW w:w="7874" w:type="dxa"/>
            <w:gridSpan w:val="4"/>
            <w:vAlign w:val="center"/>
          </w:tcPr>
          <w:p>
            <w:pPr>
              <w:keepNext w:val="0"/>
              <w:keepLines w:val="0"/>
              <w:widowControl w:val="0"/>
              <w:suppressLineNumbers w:val="0"/>
              <w:spacing w:before="0" w:beforeAutospacing="0" w:after="0" w:afterAutospacing="0"/>
              <w:ind w:left="420" w:right="0" w:hanging="420"/>
              <w:rPr>
                <w:rFonts w:hint="default" w:ascii="Times New Roman" w:hAnsi="Times New Roman"/>
                <w:color w:val="auto"/>
                <w:sz w:val="21"/>
                <w:szCs w:val="21"/>
                <w:highlight w:val="none"/>
              </w:rPr>
            </w:pPr>
            <w:r>
              <w:rPr>
                <w:rFonts w:hint="eastAsia" w:ascii="Times New Roman" w:hAnsi="Times New Roman"/>
                <w:color w:val="auto"/>
                <w:sz w:val="21"/>
                <w:szCs w:val="21"/>
                <w:highlight w:val="none"/>
              </w:rPr>
              <w:t>①</w:t>
            </w:r>
            <w:r>
              <w:rPr>
                <w:rFonts w:hint="default" w:ascii="Times New Roman" w:hAnsi="Times New Roman"/>
                <w:color w:val="auto"/>
                <w:sz w:val="21"/>
                <w:szCs w:val="21"/>
                <w:highlight w:val="none"/>
              </w:rPr>
              <w:t>设立专门的环保机构，配备专职环保工作人员。</w:t>
            </w:r>
          </w:p>
          <w:p>
            <w:pPr>
              <w:keepNext w:val="0"/>
              <w:keepLines w:val="0"/>
              <w:widowControl w:val="0"/>
              <w:suppressLineNumbers w:val="0"/>
              <w:spacing w:before="0" w:beforeAutospacing="0" w:after="0" w:afterAutospacing="0"/>
              <w:ind w:left="420" w:right="0" w:hanging="420"/>
              <w:rPr>
                <w:rFonts w:hint="default" w:ascii="Times New Roman" w:hAnsi="Times New Roman"/>
                <w:color w:val="auto"/>
                <w:sz w:val="21"/>
                <w:szCs w:val="21"/>
                <w:highlight w:val="none"/>
              </w:rPr>
            </w:pPr>
            <w:r>
              <w:rPr>
                <w:rFonts w:hint="eastAsia" w:ascii="Times New Roman" w:hAnsi="Times New Roman"/>
                <w:color w:val="auto"/>
                <w:sz w:val="21"/>
                <w:szCs w:val="21"/>
                <w:highlight w:val="none"/>
              </w:rPr>
              <w:t>②建立日常环境管理制度和环境管理工作计划。</w:t>
            </w:r>
          </w:p>
          <w:p>
            <w:pPr>
              <w:keepNext w:val="0"/>
              <w:keepLines w:val="0"/>
              <w:widowControl/>
              <w:suppressLineNumbers w:val="0"/>
              <w:spacing w:before="0" w:beforeAutospacing="0" w:after="0" w:afterAutospacing="0"/>
              <w:ind w:left="0" w:right="0"/>
              <w:jc w:val="left"/>
              <w:rPr>
                <w:rFonts w:hint="default"/>
                <w:color w:val="auto"/>
                <w:kern w:val="0"/>
                <w:szCs w:val="21"/>
                <w:highlight w:val="none"/>
              </w:rPr>
            </w:pPr>
            <w:r>
              <w:rPr>
                <w:rFonts w:hint="eastAsia"/>
                <w:color w:val="auto"/>
                <w:kern w:val="0"/>
                <w:szCs w:val="21"/>
                <w:highlight w:val="none"/>
              </w:rPr>
              <w:t>③加强环保设施运行管理维护，建立环保设施运行台账，确保环保设施正常运行及污染物稳定达标排放。</w:t>
            </w:r>
          </w:p>
          <w:p>
            <w:pPr>
              <w:keepNext w:val="0"/>
              <w:keepLines w:val="0"/>
              <w:suppressLineNumbers w:val="0"/>
              <w:spacing w:before="0" w:beforeAutospacing="0" w:after="0" w:afterAutospacing="0"/>
              <w:ind w:left="0" w:right="0" w:firstLine="0"/>
              <w:rPr>
                <w:rFonts w:hint="default"/>
                <w:color w:val="auto"/>
                <w:kern w:val="0"/>
                <w:szCs w:val="21"/>
                <w:highlight w:val="none"/>
              </w:rPr>
            </w:pPr>
            <w:r>
              <w:rPr>
                <w:rFonts w:hint="eastAsia"/>
                <w:color w:val="auto"/>
                <w:szCs w:val="21"/>
                <w:highlight w:val="none"/>
              </w:rPr>
              <w:t>④</w:t>
            </w:r>
            <w:r>
              <w:rPr>
                <w:rFonts w:hint="default"/>
                <w:color w:val="auto"/>
                <w:kern w:val="0"/>
                <w:szCs w:val="21"/>
                <w:highlight w:val="none"/>
              </w:rPr>
              <w:t>企业投产前应按照《排污许可证申请与核发技术规范  总则》（HJ942-2018）等有关要求，在国家排污许可证管理信息平台上填报并提交排污许可证申请，同时向有核发权</w:t>
            </w:r>
            <w:r>
              <w:rPr>
                <w:rFonts w:hint="eastAsia"/>
                <w:color w:val="auto"/>
                <w:kern w:val="0"/>
                <w:szCs w:val="21"/>
                <w:highlight w:val="none"/>
              </w:rPr>
              <w:t>限的环境保护主管部门提交通过平台印制的书面申请材料，及时申领排污许可证。</w:t>
            </w:r>
          </w:p>
          <w:p>
            <w:pPr>
              <w:pStyle w:val="25"/>
              <w:keepNext w:val="0"/>
              <w:keepLines w:val="0"/>
              <w:suppressLineNumbers w:val="0"/>
              <w:spacing w:before="0" w:beforeAutospacing="0" w:after="0" w:afterAutospacing="0" w:line="240" w:lineRule="auto"/>
              <w:ind w:left="0" w:right="0" w:firstLine="0" w:firstLineChars="0"/>
              <w:rPr>
                <w:rFonts w:hint="default" w:ascii="宋体" w:hAnsi="宋体" w:cs="宋体"/>
                <w:color w:val="auto"/>
                <w:sz w:val="21"/>
                <w:szCs w:val="21"/>
                <w:highlight w:val="yellow"/>
              </w:rPr>
            </w:pPr>
            <w:r>
              <w:rPr>
                <w:rFonts w:hint="default"/>
                <w:color w:val="auto"/>
                <w:sz w:val="21"/>
                <w:szCs w:val="21"/>
                <w:highlight w:val="none"/>
              </w:rPr>
              <w:fldChar w:fldCharType="begin"/>
            </w:r>
            <w:r>
              <w:rPr>
                <w:rFonts w:hint="default"/>
                <w:color w:val="auto"/>
                <w:sz w:val="21"/>
                <w:szCs w:val="21"/>
                <w:highlight w:val="none"/>
              </w:rPr>
              <w:instrText xml:space="preserve"> </w:instrText>
            </w:r>
            <w:r>
              <w:rPr>
                <w:rFonts w:hint="eastAsia"/>
                <w:color w:val="auto"/>
                <w:sz w:val="21"/>
                <w:szCs w:val="21"/>
                <w:highlight w:val="none"/>
              </w:rPr>
              <w:instrText xml:space="preserve">= 5 \* GB3</w:instrText>
            </w:r>
            <w:r>
              <w:rPr>
                <w:rFonts w:hint="default"/>
                <w:color w:val="auto"/>
                <w:sz w:val="21"/>
                <w:szCs w:val="21"/>
                <w:highlight w:val="none"/>
              </w:rPr>
              <w:instrText xml:space="preserve"> </w:instrText>
            </w:r>
            <w:r>
              <w:rPr>
                <w:rFonts w:hint="default"/>
                <w:color w:val="auto"/>
                <w:sz w:val="21"/>
                <w:szCs w:val="21"/>
                <w:highlight w:val="none"/>
              </w:rPr>
              <w:fldChar w:fldCharType="separate"/>
            </w:r>
            <w:r>
              <w:rPr>
                <w:rFonts w:hint="eastAsia"/>
                <w:color w:val="auto"/>
                <w:sz w:val="21"/>
                <w:szCs w:val="21"/>
                <w:highlight w:val="none"/>
              </w:rPr>
              <w:t>⑤</w:t>
            </w:r>
            <w:r>
              <w:rPr>
                <w:rFonts w:hint="default"/>
                <w:color w:val="auto"/>
                <w:sz w:val="21"/>
                <w:szCs w:val="21"/>
                <w:highlight w:val="none"/>
              </w:rPr>
              <w:fldChar w:fldCharType="end"/>
            </w:r>
            <w:r>
              <w:rPr>
                <w:rFonts w:hint="eastAsia"/>
                <w:color w:val="auto"/>
                <w:kern w:val="0"/>
                <w:sz w:val="21"/>
                <w:szCs w:val="21"/>
                <w:highlight w:val="none"/>
              </w:rPr>
              <w:t>根据《建设项目竣工环境保护验收暂行办法》的规定，建设项目竣工后，建设单位应当如实查验、监测、记载建设项目环境保护设施的建设和调试情况，编制验收监测报告表。</w:t>
            </w:r>
          </w:p>
        </w:tc>
      </w:tr>
    </w:tbl>
    <w:p>
      <w:pPr>
        <w:pStyle w:val="3"/>
        <w:numPr>
          <w:ilvl w:val="0"/>
          <w:numId w:val="10"/>
        </w:numPr>
        <w:rPr>
          <w:rFonts w:ascii="黑体" w:hAnsi="黑体"/>
          <w:snapToGrid w:val="0"/>
          <w:color w:val="auto"/>
          <w:highlight w:val="none"/>
        </w:rPr>
      </w:pPr>
      <w:r>
        <w:rPr>
          <w:snapToGrid w:val="0"/>
          <w:color w:val="auto"/>
          <w:highlight w:val="yellow"/>
        </w:rPr>
        <w:br w:type="page"/>
      </w:r>
      <w:r>
        <w:rPr>
          <w:rFonts w:hint="eastAsia" w:ascii="黑体" w:hAnsi="黑体"/>
          <w:snapToGrid w:val="0"/>
          <w:color w:val="auto"/>
          <w:highlight w:val="none"/>
        </w:rPr>
        <w:t>结论</w:t>
      </w:r>
    </w:p>
    <w:tbl>
      <w:tblPr>
        <w:tblStyle w:val="18"/>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pStyle w:val="25"/>
              <w:keepNext w:val="0"/>
              <w:keepLines w:val="0"/>
              <w:suppressLineNumbers w:val="0"/>
              <w:spacing w:before="0" w:beforeAutospacing="0" w:after="0" w:afterAutospacing="0"/>
              <w:ind w:left="0" w:right="0" w:firstLine="480"/>
              <w:rPr>
                <w:rFonts w:hint="default"/>
                <w:color w:val="auto"/>
                <w:highlight w:val="none"/>
              </w:rPr>
            </w:pPr>
            <w:r>
              <w:rPr>
                <w:rFonts w:hint="eastAsia"/>
                <w:color w:val="auto"/>
                <w:highlight w:val="none"/>
              </w:rPr>
              <w:t>福建省超达锻造有限公司阀门锻件技改项目</w:t>
            </w:r>
            <w:r>
              <w:rPr>
                <w:rFonts w:hint="default"/>
                <w:color w:val="auto"/>
                <w:highlight w:val="none"/>
              </w:rPr>
              <w:t>的建设符合国家有关产业政策，项目选址合理</w:t>
            </w:r>
            <w:r>
              <w:rPr>
                <w:rFonts w:hint="default"/>
                <w:color w:val="auto"/>
                <w:highlight w:val="none"/>
                <w:lang w:val="zh-CN"/>
              </w:rPr>
              <w:t>，</w:t>
            </w:r>
            <w:r>
              <w:rPr>
                <w:rFonts w:hint="eastAsia"/>
                <w:color w:val="auto"/>
                <w:highlight w:val="none"/>
              </w:rPr>
              <w:t>平面布局可行。</w:t>
            </w:r>
            <w:r>
              <w:rPr>
                <w:rFonts w:hint="default"/>
                <w:color w:val="auto"/>
                <w:highlight w:val="none"/>
              </w:rPr>
              <w:t>项目运营后产生的污水、废气、噪声、固废通过采取相应的措施治理，能够实现污染物的达标排放，</w:t>
            </w:r>
            <w:r>
              <w:rPr>
                <w:rFonts w:hint="eastAsia"/>
                <w:color w:val="auto"/>
                <w:highlight w:val="none"/>
              </w:rPr>
              <w:t>对环境造成影响较小</w:t>
            </w:r>
            <w:r>
              <w:rPr>
                <w:rFonts w:hint="default"/>
                <w:color w:val="auto"/>
                <w:highlight w:val="none"/>
              </w:rPr>
              <w:t>。在工程建设中，严格执行“三同时”制度，项目投产后，严格</w:t>
            </w:r>
            <w:r>
              <w:rPr>
                <w:rFonts w:hint="eastAsia"/>
                <w:color w:val="auto"/>
                <w:highlight w:val="none"/>
              </w:rPr>
              <w:t>遵守</w:t>
            </w:r>
            <w:r>
              <w:rPr>
                <w:rFonts w:hint="default"/>
                <w:color w:val="auto"/>
                <w:highlight w:val="none"/>
              </w:rPr>
              <w:t>国家有关法律法规</w:t>
            </w:r>
            <w:r>
              <w:rPr>
                <w:rFonts w:hint="eastAsia"/>
                <w:color w:val="auto"/>
                <w:highlight w:val="none"/>
              </w:rPr>
              <w:t>，严格执行相关标准和</w:t>
            </w:r>
            <w:r>
              <w:rPr>
                <w:rFonts w:hint="default"/>
                <w:color w:val="auto"/>
                <w:highlight w:val="none"/>
              </w:rPr>
              <w:t>技术规范，</w:t>
            </w:r>
            <w:r>
              <w:rPr>
                <w:rFonts w:hint="eastAsia"/>
                <w:color w:val="auto"/>
                <w:highlight w:val="none"/>
              </w:rPr>
              <w:t>严格</w:t>
            </w:r>
            <w:r>
              <w:rPr>
                <w:rFonts w:hint="default"/>
                <w:color w:val="auto"/>
                <w:highlight w:val="none"/>
              </w:rPr>
              <w:t>落实各项环境风险防范措施，确保污染物排放总量控制在经环保行政主管部门核定的范围内，污染物达标排放的前提下，对周边环境影响较小，</w:t>
            </w:r>
            <w:r>
              <w:rPr>
                <w:rFonts w:hint="eastAsia"/>
                <w:color w:val="auto"/>
                <w:highlight w:val="none"/>
              </w:rPr>
              <w:t>该项目可实现经济效益、环境效益的协调性发展。</w:t>
            </w:r>
            <w:r>
              <w:rPr>
                <w:rFonts w:hint="default"/>
                <w:color w:val="auto"/>
                <w:highlight w:val="none"/>
              </w:rPr>
              <w:t>从环境保护的角度分析，该项目的建设是可行的。</w:t>
            </w:r>
          </w:p>
          <w:p>
            <w:pPr>
              <w:keepNext w:val="0"/>
              <w:keepLines w:val="0"/>
              <w:suppressLineNumbers w:val="0"/>
              <w:spacing w:before="0" w:beforeAutospacing="0" w:after="0" w:afterAutospacing="0"/>
              <w:ind w:left="0" w:right="0"/>
              <w:rPr>
                <w:rFonts w:hint="default"/>
                <w:color w:val="auto"/>
                <w:highlight w:val="none"/>
              </w:rPr>
            </w:pPr>
          </w:p>
          <w:p>
            <w:pPr>
              <w:keepNext w:val="0"/>
              <w:keepLines w:val="0"/>
              <w:suppressLineNumbers w:val="0"/>
              <w:spacing w:before="0" w:beforeAutospacing="0" w:after="0" w:afterAutospacing="0"/>
              <w:ind w:left="0" w:right="0"/>
              <w:rPr>
                <w:rFonts w:hint="default"/>
                <w:color w:val="auto"/>
                <w:sz w:val="24"/>
                <w:szCs w:val="24"/>
                <w:highlight w:val="none"/>
              </w:rPr>
            </w:pPr>
          </w:p>
          <w:p>
            <w:pPr>
              <w:keepNext w:val="0"/>
              <w:keepLines w:val="0"/>
              <w:suppressLineNumbers w:val="0"/>
              <w:spacing w:before="0" w:beforeAutospacing="0" w:after="0" w:afterAutospacing="0"/>
              <w:ind w:left="0" w:right="0"/>
              <w:rPr>
                <w:rFonts w:hint="default"/>
                <w:color w:val="auto"/>
                <w:sz w:val="24"/>
                <w:szCs w:val="24"/>
                <w:highlight w:val="none"/>
              </w:rPr>
            </w:pPr>
          </w:p>
          <w:p>
            <w:pPr>
              <w:keepNext w:val="0"/>
              <w:keepLines w:val="0"/>
              <w:suppressLineNumbers w:val="0"/>
              <w:spacing w:before="0" w:beforeAutospacing="0" w:after="0" w:afterAutospacing="0"/>
              <w:ind w:left="0" w:right="0"/>
              <w:rPr>
                <w:rFonts w:hint="default"/>
                <w:color w:val="auto"/>
                <w:sz w:val="24"/>
                <w:szCs w:val="24"/>
                <w:highlight w:val="none"/>
              </w:rPr>
            </w:pPr>
          </w:p>
          <w:p>
            <w:pPr>
              <w:keepNext w:val="0"/>
              <w:keepLines w:val="0"/>
              <w:suppressLineNumbers w:val="0"/>
              <w:spacing w:before="0" w:beforeAutospacing="0" w:after="0" w:afterAutospacing="0"/>
              <w:ind w:left="0" w:right="0"/>
              <w:rPr>
                <w:rFonts w:hint="default"/>
                <w:color w:val="auto"/>
                <w:sz w:val="24"/>
                <w:szCs w:val="24"/>
                <w:highlight w:val="none"/>
              </w:rPr>
            </w:pPr>
          </w:p>
          <w:p>
            <w:pPr>
              <w:keepNext w:val="0"/>
              <w:keepLines w:val="0"/>
              <w:suppressLineNumbers w:val="0"/>
              <w:spacing w:before="0" w:beforeAutospacing="0" w:after="0" w:afterAutospacing="0"/>
              <w:ind w:left="0" w:right="0"/>
              <w:rPr>
                <w:rFonts w:hint="default"/>
                <w:color w:val="auto"/>
                <w:sz w:val="24"/>
                <w:szCs w:val="24"/>
                <w:highlight w:val="none"/>
              </w:rPr>
            </w:pPr>
          </w:p>
          <w:p>
            <w:pPr>
              <w:keepNext w:val="0"/>
              <w:keepLines w:val="0"/>
              <w:suppressLineNumbers w:val="0"/>
              <w:spacing w:before="0" w:beforeAutospacing="0" w:after="0" w:afterAutospacing="0"/>
              <w:ind w:left="0" w:right="0"/>
              <w:rPr>
                <w:rFonts w:hint="default"/>
                <w:color w:val="auto"/>
                <w:sz w:val="24"/>
                <w:szCs w:val="24"/>
                <w:highlight w:val="none"/>
              </w:rPr>
            </w:pPr>
          </w:p>
          <w:p>
            <w:pPr>
              <w:keepNext w:val="0"/>
              <w:keepLines w:val="0"/>
              <w:suppressLineNumbers w:val="0"/>
              <w:spacing w:before="0" w:beforeAutospacing="0" w:after="0" w:afterAutospacing="0"/>
              <w:ind w:left="0" w:right="0"/>
              <w:jc w:val="right"/>
              <w:rPr>
                <w:rFonts w:hint="default"/>
                <w:b/>
                <w:bCs/>
                <w:color w:val="auto"/>
                <w:sz w:val="24"/>
                <w:highlight w:val="none"/>
              </w:rPr>
            </w:pPr>
            <w:r>
              <w:rPr>
                <w:rFonts w:hint="default"/>
                <w:b/>
                <w:bCs/>
                <w:color w:val="auto"/>
                <w:sz w:val="24"/>
                <w:highlight w:val="none"/>
              </w:rPr>
              <w:t>福建省闽创环保科技有限公司</w:t>
            </w:r>
          </w:p>
          <w:p>
            <w:pPr>
              <w:keepNext w:val="0"/>
              <w:keepLines w:val="0"/>
              <w:suppressLineNumbers w:val="0"/>
              <w:spacing w:before="0" w:beforeAutospacing="0" w:after="0" w:afterAutospacing="0"/>
              <w:ind w:left="0" w:right="0"/>
              <w:jc w:val="right"/>
              <w:rPr>
                <w:rFonts w:hint="default"/>
                <w:b/>
                <w:bCs/>
                <w:color w:val="auto"/>
                <w:sz w:val="24"/>
                <w:highlight w:val="none"/>
                <w:lang w:val="zh-CN"/>
              </w:rPr>
            </w:pPr>
            <w:r>
              <w:rPr>
                <w:rFonts w:hint="default"/>
                <w:b/>
                <w:bCs/>
                <w:color w:val="auto"/>
                <w:sz w:val="24"/>
                <w:highlight w:val="none"/>
                <w:lang w:val="zh-CN"/>
              </w:rPr>
              <w:t>202</w:t>
            </w:r>
            <w:r>
              <w:rPr>
                <w:rFonts w:hint="eastAsia"/>
                <w:b/>
                <w:bCs/>
                <w:color w:val="auto"/>
                <w:sz w:val="24"/>
                <w:highlight w:val="none"/>
                <w:lang w:val="en-US" w:eastAsia="zh-CN"/>
              </w:rPr>
              <w:t>2</w:t>
            </w:r>
            <w:r>
              <w:rPr>
                <w:rFonts w:hint="default"/>
                <w:b/>
                <w:bCs/>
                <w:color w:val="auto"/>
                <w:sz w:val="24"/>
                <w:highlight w:val="none"/>
                <w:lang w:val="zh-CN"/>
              </w:rPr>
              <w:t>年</w:t>
            </w:r>
            <w:r>
              <w:rPr>
                <w:rFonts w:hint="eastAsia"/>
                <w:b/>
                <w:bCs/>
                <w:color w:val="auto"/>
                <w:sz w:val="24"/>
                <w:highlight w:val="none"/>
                <w:lang w:val="en-US" w:eastAsia="zh-CN"/>
              </w:rPr>
              <w:t>3</w:t>
            </w:r>
            <w:r>
              <w:rPr>
                <w:rFonts w:hint="default"/>
                <w:b/>
                <w:bCs/>
                <w:color w:val="auto"/>
                <w:sz w:val="24"/>
                <w:highlight w:val="none"/>
                <w:lang w:val="zh-CN"/>
              </w:rPr>
              <w:t>月</w:t>
            </w:r>
          </w:p>
          <w:p>
            <w:pPr>
              <w:keepNext w:val="0"/>
              <w:keepLines w:val="0"/>
              <w:suppressLineNumbers w:val="0"/>
              <w:spacing w:before="0" w:beforeAutospacing="0" w:after="0" w:afterAutospacing="0" w:line="360" w:lineRule="auto"/>
              <w:ind w:left="0" w:right="0"/>
              <w:rPr>
                <w:rFonts w:hint="default" w:ascii="宋体" w:cs="宋体"/>
                <w:color w:val="auto"/>
                <w:sz w:val="24"/>
                <w:highlight w:val="none"/>
              </w:rPr>
            </w:pPr>
          </w:p>
        </w:tc>
      </w:tr>
    </w:tbl>
    <w:p>
      <w:pPr>
        <w:rPr>
          <w:rFonts w:hint="default"/>
          <w:color w:val="auto"/>
          <w:lang w:val="en-US" w:eastAsia="zh-CN"/>
        </w:rPr>
      </w:pPr>
      <w:bookmarkStart w:id="50" w:name="_GoBack"/>
      <w:bookmarkEnd w:id="50"/>
    </w:p>
    <w:sectPr>
      <w:headerReference r:id="rId6" w:type="default"/>
      <w:footerReference r:id="rId7" w:type="default"/>
      <w:pgSz w:w="11905" w:h="16838"/>
      <w:pgMar w:top="1417" w:right="1417" w:bottom="1417" w:left="1417" w:header="851" w:footer="1077" w:gutter="0"/>
      <w:pgBorders>
        <w:top w:val="none" w:sz="0" w:space="0"/>
        <w:left w:val="none" w:sz="0" w:space="0"/>
        <w:bottom w:val="none" w:sz="0" w:space="0"/>
        <w:right w:val="none" w:sz="0" w:space="0"/>
      </w:pgBorders>
      <w:pgNumType w:fmt="decimal"/>
      <w:cols w:space="0" w:num="1"/>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 wne:kcmPrimary="0633">
      <wne:acd wne:acdName="acd1"/>
    </wne:keymap>
    <wne:keymap wne:kcmPrimary="0634">
      <wne:acd wne:acdName="acd2"/>
    </wne:keymap>
    <wne:keymap wne:kcmPrimary="0635">
      <wne:acd wne:acdName="acd3"/>
    </wne:keymap>
    <wne:keymap wne:kcmPrimary="0642">
      <wne:acd wne:acdName="acd4"/>
    </wne:keymap>
    <wne:keymap wne:kcmPrimary="0647">
      <wne:acd wne:acdName="acd5"/>
    </wne:keymap>
    <wne:keymap wne:kcmPrimary="06DE">
      <wne:acd wne:acdName="acd6"/>
    </wne:keymap>
  </wne:keymap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gBoiDxoB2iYmA==" wne:acdName="acd4" wne:fciIndexBasedOn="0065"/>
    <wne:acd wne:argValue="AgD+VodlB2iYmA==" wne:acdName="acd5" wne:fciIndexBasedOn="0065"/>
    <wne:acd wne:argValue="AgD9lRtSpWJKVGNrh2U=" wne:acdName="acd6"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- 80 -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- 80 -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4" w:lineRule="auto"/>
      <w:ind w:firstLine="1535"/>
      <w:rPr>
        <w:rFonts w:ascii="宋体" w:hAnsi="宋体" w:eastAsia="宋体" w:cs="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13950"/>
    <w:multiLevelType w:val="multilevel"/>
    <w:tmpl w:val="ACD13950"/>
    <w:lvl w:ilvl="0" w:tentative="0">
      <w:start w:val="1"/>
      <w:numFmt w:val="chineseCounting"/>
      <w:pStyle w:val="3"/>
      <w:suff w:val="nothing"/>
      <w:lvlText w:val="%1、"/>
      <w:lvlJc w:val="left"/>
      <w:pPr>
        <w:tabs>
          <w:tab w:val="left" w:pos="420"/>
        </w:tabs>
        <w:ind w:left="432" w:hanging="432"/>
      </w:pPr>
      <w:rPr>
        <w:rFonts w:hint="eastAsia" w:ascii="Times New Roman" w:hAnsi="Times New Roman" w:eastAsia="黑体" w:cs="宋体"/>
        <w:b w:val="0"/>
        <w:bCs w:val="0"/>
        <w:sz w:val="30"/>
        <w:szCs w:val="32"/>
      </w:rPr>
    </w:lvl>
    <w:lvl w:ilvl="1" w:tentative="0">
      <w:start w:val="1"/>
      <w:numFmt w:val="decimal"/>
      <w:pStyle w:val="4"/>
      <w:isLgl/>
      <w:suff w:val="space"/>
      <w:lvlText w:val="%2"/>
      <w:lvlJc w:val="left"/>
      <w:pPr>
        <w:tabs>
          <w:tab w:val="left" w:pos="420"/>
        </w:tabs>
        <w:ind w:left="0" w:firstLine="0"/>
      </w:pPr>
      <w:rPr>
        <w:rFonts w:hint="eastAsia" w:ascii="Times New Roman" w:hAnsi="Times New Roman" w:eastAsia="宋体" w:cs="宋体"/>
        <w:b/>
        <w:bCs/>
        <w:sz w:val="28"/>
        <w:szCs w:val="30"/>
      </w:rPr>
    </w:lvl>
    <w:lvl w:ilvl="2" w:tentative="0">
      <w:start w:val="1"/>
      <w:numFmt w:val="decimal"/>
      <w:pStyle w:val="5"/>
      <w:isLgl/>
      <w:suff w:val="space"/>
      <w:lvlText w:val="%2.%3"/>
      <w:lvlJc w:val="left"/>
      <w:pPr>
        <w:tabs>
          <w:tab w:val="left" w:pos="0"/>
        </w:tabs>
        <w:ind w:left="720" w:hanging="720"/>
      </w:pPr>
      <w:rPr>
        <w:rFonts w:hint="eastAsia" w:ascii="Times New Roman" w:hAnsi="Times New Roman" w:eastAsia="宋体" w:cs="宋体"/>
        <w:b/>
        <w:bCs w:val="0"/>
        <w:i w:val="0"/>
        <w:sz w:val="24"/>
        <w:szCs w:val="24"/>
      </w:rPr>
    </w:lvl>
    <w:lvl w:ilvl="3" w:tentative="0">
      <w:start w:val="1"/>
      <w:numFmt w:val="decimal"/>
      <w:pStyle w:val="7"/>
      <w:isLgl/>
      <w:suff w:val="space"/>
      <w:lvlText w:val="%2.%3.%4"/>
      <w:lvlJc w:val="left"/>
      <w:pPr>
        <w:tabs>
          <w:tab w:val="left" w:pos="0"/>
        </w:tabs>
        <w:ind w:left="3174" w:hanging="864"/>
      </w:pPr>
      <w:rPr>
        <w:rFonts w:hint="eastAsia" w:ascii="Times New Roman" w:hAnsi="Times New Roman" w:eastAsia="宋体" w:cs="宋体"/>
        <w:sz w:val="24"/>
        <w:szCs w:val="24"/>
      </w:rPr>
    </w:lvl>
    <w:lvl w:ilvl="4" w:tentative="0">
      <w:start w:val="1"/>
      <w:numFmt w:val="decimal"/>
      <w:isLgl/>
      <w:suff w:val="nothing"/>
      <w:lvlText w:val="   （%5）"/>
      <w:lvlJc w:val="left"/>
      <w:pPr>
        <w:tabs>
          <w:tab w:val="left" w:pos="420"/>
        </w:tabs>
        <w:ind w:left="0" w:firstLine="0"/>
      </w:pPr>
      <w:rPr>
        <w:rFonts w:hint="eastAsia" w:ascii="Times New Roman" w:hAnsi="Times New Roman" w:eastAsia="宋体" w:cs="宋体"/>
        <w:sz w:val="24"/>
        <w:szCs w:val="24"/>
      </w:rPr>
    </w:lvl>
    <w:lvl w:ilvl="5" w:tentative="0">
      <w:start w:val="1"/>
      <w:numFmt w:val="decimalEnclosedCircleChinese"/>
      <w:suff w:val="nothing"/>
      <w:lvlText w:val="%6"/>
      <w:lvlJc w:val="left"/>
      <w:pPr>
        <w:tabs>
          <w:tab w:val="left" w:pos="420"/>
        </w:tabs>
        <w:ind w:left="1151" w:hanging="1151"/>
      </w:pPr>
      <w:rPr>
        <w:rFonts w:hint="eastAsia" w:ascii="宋体" w:hAnsi="宋体" w:eastAsia="宋体" w:cs="宋体"/>
      </w:rPr>
    </w:lvl>
    <w:lvl w:ilvl="6" w:tentative="0">
      <w:start w:val="1"/>
      <w:numFmt w:val="upperLetter"/>
      <w:lvlText w:val="%7."/>
      <w:lvlJc w:val="left"/>
      <w:pPr>
        <w:tabs>
          <w:tab w:val="left" w:pos="420"/>
        </w:tabs>
        <w:ind w:left="1296" w:hanging="1296"/>
      </w:pPr>
      <w:rPr>
        <w:rFonts w:hint="eastAsia" w:ascii="Times New Roman" w:hAnsi="Times New Roman" w:eastAsia="宋体" w:cs="宋体"/>
      </w:rPr>
    </w:lvl>
    <w:lvl w:ilvl="7" w:tentative="0">
      <w:start w:val="1"/>
      <w:numFmt w:val="decimal"/>
      <w:lvlRestart w:val="0"/>
      <w:pStyle w:val="22"/>
      <w:isLgl/>
      <w:suff w:val="space"/>
      <w:lvlText w:val="表%8"/>
      <w:lvlJc w:val="left"/>
      <w:pPr>
        <w:tabs>
          <w:tab w:val="left" w:pos="0"/>
        </w:tabs>
        <w:ind w:left="1440" w:hanging="1440"/>
      </w:pPr>
      <w:rPr>
        <w:rFonts w:hint="eastAsia" w:ascii="Times New Roman" w:hAnsi="Times New Roman" w:eastAsia="宋体" w:cs="宋体"/>
      </w:rPr>
    </w:lvl>
    <w:lvl w:ilvl="8" w:tentative="0">
      <w:start w:val="1"/>
      <w:numFmt w:val="decimal"/>
      <w:lvlRestart w:val="0"/>
      <w:pStyle w:val="24"/>
      <w:isLgl/>
      <w:suff w:val="space"/>
      <w:lvlText w:val="图%9"/>
      <w:lvlJc w:val="left"/>
      <w:pPr>
        <w:tabs>
          <w:tab w:val="left" w:pos="0"/>
        </w:tabs>
        <w:ind w:left="1583" w:hanging="1583"/>
      </w:pPr>
      <w:rPr>
        <w:rFonts w:hint="default" w:ascii="Times New Roman" w:hAnsi="Times New Roman" w:eastAsia="宋体" w:cs="Times New Roman"/>
        <w:sz w:val="24"/>
        <w:szCs w:val="24"/>
      </w:rPr>
    </w:lvl>
  </w:abstractNum>
  <w:abstractNum w:abstractNumId="1">
    <w:nsid w:val="B69FF084"/>
    <w:multiLevelType w:val="singleLevel"/>
    <w:tmpl w:val="B69FF084"/>
    <w:lvl w:ilvl="0" w:tentative="0">
      <w:start w:val="1"/>
      <w:numFmt w:val="decimal"/>
      <w:suff w:val="nothing"/>
      <w:lvlText w:val="（%1）"/>
      <w:lvlJc w:val="left"/>
    </w:lvl>
  </w:abstractNum>
  <w:abstractNum w:abstractNumId="2">
    <w:nsid w:val="EF01B836"/>
    <w:multiLevelType w:val="singleLevel"/>
    <w:tmpl w:val="EF01B836"/>
    <w:lvl w:ilvl="0" w:tentative="0">
      <w:start w:val="1"/>
      <w:numFmt w:val="decimal"/>
      <w:suff w:val="nothing"/>
      <w:lvlText w:val="（%1）"/>
      <w:lvlJc w:val="left"/>
    </w:lvl>
  </w:abstractNum>
  <w:abstractNum w:abstractNumId="3">
    <w:nsid w:val="614F3D4F"/>
    <w:multiLevelType w:val="multilevel"/>
    <w:tmpl w:val="614F3D4F"/>
    <w:lvl w:ilvl="0" w:tentative="0">
      <w:start w:val="1"/>
      <w:numFmt w:val="chineseCounting"/>
      <w:suff w:val="space"/>
      <w:lvlText w:val="%1、"/>
      <w:lvlJc w:val="left"/>
      <w:pPr>
        <w:tabs>
          <w:tab w:val="left" w:pos="0"/>
        </w:tabs>
        <w:ind w:left="432" w:hanging="432"/>
      </w:pPr>
      <w:rPr>
        <w:rFonts w:hint="eastAsia" w:ascii="宋体" w:hAnsi="宋体" w:eastAsia="宋体" w:cs="宋体"/>
        <w:b/>
        <w:bCs/>
        <w:sz w:val="32"/>
        <w:szCs w:val="32"/>
      </w:rPr>
    </w:lvl>
    <w:lvl w:ilvl="1" w:tentative="0">
      <w:start w:val="1"/>
      <w:numFmt w:val="decimal"/>
      <w:isLgl/>
      <w:suff w:val="space"/>
      <w:lvlText w:val="%1.%2"/>
      <w:lvlJc w:val="left"/>
      <w:pPr>
        <w:tabs>
          <w:tab w:val="left" w:pos="0"/>
        </w:tabs>
        <w:ind w:left="0" w:firstLine="0"/>
      </w:pPr>
      <w:rPr>
        <w:rFonts w:hint="eastAsia" w:ascii="Times New Roman" w:hAnsi="Times New Roman" w:eastAsia="宋体" w:cs="楷体_GB2312"/>
        <w:b/>
        <w:bCs/>
        <w:sz w:val="30"/>
        <w:szCs w:val="30"/>
      </w:rPr>
    </w:lvl>
    <w:lvl w:ilvl="2" w:tentative="0">
      <w:start w:val="1"/>
      <w:numFmt w:val="decimal"/>
      <w:isLgl/>
      <w:suff w:val="space"/>
      <w:lvlText w:val="%1.%2.%3"/>
      <w:lvlJc w:val="left"/>
      <w:pPr>
        <w:tabs>
          <w:tab w:val="left" w:pos="0"/>
        </w:tabs>
        <w:ind w:left="720" w:hanging="720"/>
      </w:pPr>
      <w:rPr>
        <w:rFonts w:hint="eastAsia" w:ascii="Times New Roman" w:hAnsi="Times New Roman" w:eastAsia="宋体" w:cs="楷体_GB2312"/>
        <w:b/>
        <w:bCs/>
        <w:sz w:val="24"/>
        <w:szCs w:val="28"/>
      </w:rPr>
    </w:lvl>
    <w:lvl w:ilvl="3" w:tentative="0">
      <w:start w:val="1"/>
      <w:numFmt w:val="decimal"/>
      <w:isLgl/>
      <w:suff w:val="space"/>
      <w:lvlText w:val="%1.%2.%3.%4"/>
      <w:lvlJc w:val="left"/>
      <w:pPr>
        <w:tabs>
          <w:tab w:val="left" w:pos="420"/>
        </w:tabs>
        <w:ind w:left="864" w:hanging="864"/>
      </w:pPr>
      <w:rPr>
        <w:rFonts w:hint="eastAsia" w:ascii="Times New Roman" w:hAnsi="Times New Roman" w:eastAsia="宋体" w:cs="宋体"/>
        <w:sz w:val="24"/>
        <w:szCs w:val="24"/>
      </w:rPr>
    </w:lvl>
    <w:lvl w:ilvl="4" w:tentative="0">
      <w:start w:val="1"/>
      <w:numFmt w:val="decimal"/>
      <w:pStyle w:val="8"/>
      <w:isLgl/>
      <w:suff w:val="nothing"/>
      <w:lvlText w:val="（%5）"/>
      <w:lvlJc w:val="left"/>
      <w:pPr>
        <w:tabs>
          <w:tab w:val="left" w:pos="420"/>
        </w:tabs>
        <w:ind w:left="-300" w:firstLine="0"/>
      </w:pPr>
      <w:rPr>
        <w:rFonts w:hint="eastAsia" w:ascii="Times New Roman" w:hAnsi="Times New Roman" w:eastAsia="宋体" w:cs="宋体"/>
        <w:sz w:val="21"/>
        <w:szCs w:val="24"/>
      </w:rPr>
    </w:lvl>
    <w:lvl w:ilvl="5" w:tentative="0">
      <w:start w:val="1"/>
      <w:numFmt w:val="decimalEnclosedCircleChinese"/>
      <w:pStyle w:val="9"/>
      <w:suff w:val="nothing"/>
      <w:lvlText w:val="%6"/>
      <w:lvlJc w:val="left"/>
      <w:pPr>
        <w:tabs>
          <w:tab w:val="left" w:pos="0"/>
        </w:tabs>
        <w:ind w:left="1151" w:hanging="1151"/>
      </w:pPr>
      <w:rPr>
        <w:rFonts w:hint="eastAsia" w:ascii="宋体" w:hAnsi="宋体" w:eastAsia="宋体" w:cs="宋体"/>
        <w:sz w:val="24"/>
        <w:szCs w:val="24"/>
      </w:rPr>
    </w:lvl>
    <w:lvl w:ilvl="6" w:tentative="0">
      <w:start w:val="1"/>
      <w:numFmt w:val="upperLetter"/>
      <w:pStyle w:val="10"/>
      <w:lvlText w:val="%7."/>
      <w:lvlJc w:val="left"/>
      <w:pPr>
        <w:tabs>
          <w:tab w:val="left" w:pos="420"/>
        </w:tabs>
        <w:ind w:left="1296" w:hanging="1296"/>
      </w:pPr>
      <w:rPr>
        <w:rFonts w:hint="eastAsia" w:ascii="Times New Roman" w:hAnsi="Times New Roman" w:eastAsia="宋体" w:cs="楷体_GB2312"/>
      </w:rPr>
    </w:lvl>
    <w:lvl w:ilvl="7" w:tentative="0">
      <w:start w:val="1"/>
      <w:numFmt w:val="decimal"/>
      <w:lvlRestart w:val="2"/>
      <w:isLgl/>
      <w:suff w:val="space"/>
      <w:lvlText w:val="表%1.%2-%8"/>
      <w:lvlJc w:val="left"/>
      <w:pPr>
        <w:tabs>
          <w:tab w:val="left" w:pos="0"/>
        </w:tabs>
        <w:ind w:left="1440" w:hanging="1440"/>
      </w:pPr>
      <w:rPr>
        <w:rFonts w:hint="eastAsia" w:ascii="Times New Roman" w:hAnsi="Times New Roman" w:eastAsia="宋体" w:cs="楷体_GB2312"/>
      </w:rPr>
    </w:lvl>
    <w:lvl w:ilvl="8" w:tentative="0">
      <w:start w:val="1"/>
      <w:numFmt w:val="decimal"/>
      <w:lvlRestart w:val="2"/>
      <w:isLgl/>
      <w:suff w:val="space"/>
      <w:lvlText w:val="图%1.%2-%9"/>
      <w:lvlJc w:val="left"/>
      <w:pPr>
        <w:tabs>
          <w:tab w:val="left" w:pos="0"/>
        </w:tabs>
        <w:ind w:left="1583" w:hanging="1583"/>
      </w:pPr>
      <w:rPr>
        <w:rFonts w:hint="eastAsia" w:ascii="Times New Roman" w:hAnsi="Times New Roman" w:eastAsia="宋体" w:cs="宋体"/>
        <w:sz w:val="21"/>
      </w:rPr>
    </w:lvl>
  </w:abstractNum>
  <w:abstractNum w:abstractNumId="4">
    <w:nsid w:val="71931736"/>
    <w:multiLevelType w:val="singleLevel"/>
    <w:tmpl w:val="71931736"/>
    <w:lvl w:ilvl="0" w:tentative="0">
      <w:start w:val="1"/>
      <w:numFmt w:val="decimal"/>
      <w:suff w:val="nothing"/>
      <w:lvlText w:val="（%1）"/>
      <w:lvlJc w:val="left"/>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0B3"/>
    <w:rsid w:val="00014502"/>
    <w:rsid w:val="0004364B"/>
    <w:rsid w:val="00061B1F"/>
    <w:rsid w:val="000733C4"/>
    <w:rsid w:val="00074783"/>
    <w:rsid w:val="0008070B"/>
    <w:rsid w:val="000810AC"/>
    <w:rsid w:val="00081A02"/>
    <w:rsid w:val="00082231"/>
    <w:rsid w:val="00092D38"/>
    <w:rsid w:val="0009377B"/>
    <w:rsid w:val="000A002F"/>
    <w:rsid w:val="000A20C9"/>
    <w:rsid w:val="000B058F"/>
    <w:rsid w:val="000B4467"/>
    <w:rsid w:val="000B4DB9"/>
    <w:rsid w:val="000C09AC"/>
    <w:rsid w:val="000C767F"/>
    <w:rsid w:val="000D5A44"/>
    <w:rsid w:val="000E18F5"/>
    <w:rsid w:val="000E3ED2"/>
    <w:rsid w:val="00101AE9"/>
    <w:rsid w:val="00102CD5"/>
    <w:rsid w:val="00131F42"/>
    <w:rsid w:val="001357F1"/>
    <w:rsid w:val="00140FA8"/>
    <w:rsid w:val="00142FEB"/>
    <w:rsid w:val="00143A2D"/>
    <w:rsid w:val="00145A41"/>
    <w:rsid w:val="00151675"/>
    <w:rsid w:val="00157435"/>
    <w:rsid w:val="00165D28"/>
    <w:rsid w:val="00172A27"/>
    <w:rsid w:val="0017504D"/>
    <w:rsid w:val="0017671A"/>
    <w:rsid w:val="00177422"/>
    <w:rsid w:val="00184590"/>
    <w:rsid w:val="001870D1"/>
    <w:rsid w:val="0018781E"/>
    <w:rsid w:val="0019262D"/>
    <w:rsid w:val="001A1B35"/>
    <w:rsid w:val="001A48A2"/>
    <w:rsid w:val="001A6F61"/>
    <w:rsid w:val="001B72B8"/>
    <w:rsid w:val="001C048E"/>
    <w:rsid w:val="001C69B3"/>
    <w:rsid w:val="001D5595"/>
    <w:rsid w:val="001D7874"/>
    <w:rsid w:val="001D7F22"/>
    <w:rsid w:val="001F0F17"/>
    <w:rsid w:val="001F3347"/>
    <w:rsid w:val="001F69E4"/>
    <w:rsid w:val="002125B4"/>
    <w:rsid w:val="002155B8"/>
    <w:rsid w:val="00224839"/>
    <w:rsid w:val="002249B2"/>
    <w:rsid w:val="00225378"/>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054C"/>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6C16"/>
    <w:rsid w:val="003D794D"/>
    <w:rsid w:val="003E3058"/>
    <w:rsid w:val="003E76A9"/>
    <w:rsid w:val="003F0809"/>
    <w:rsid w:val="003F6A8C"/>
    <w:rsid w:val="003F755C"/>
    <w:rsid w:val="00406F01"/>
    <w:rsid w:val="004143C6"/>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3823"/>
    <w:rsid w:val="004A563B"/>
    <w:rsid w:val="004E616D"/>
    <w:rsid w:val="004E6946"/>
    <w:rsid w:val="004F1AD8"/>
    <w:rsid w:val="005024C2"/>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94D77"/>
    <w:rsid w:val="005969E4"/>
    <w:rsid w:val="005A06B7"/>
    <w:rsid w:val="005A1759"/>
    <w:rsid w:val="005A68A7"/>
    <w:rsid w:val="005D36AB"/>
    <w:rsid w:val="005D7B04"/>
    <w:rsid w:val="00615EA1"/>
    <w:rsid w:val="00617CC3"/>
    <w:rsid w:val="006364FC"/>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20D1D"/>
    <w:rsid w:val="00732922"/>
    <w:rsid w:val="0075162E"/>
    <w:rsid w:val="00754034"/>
    <w:rsid w:val="00755DF0"/>
    <w:rsid w:val="00756556"/>
    <w:rsid w:val="007618C4"/>
    <w:rsid w:val="00767980"/>
    <w:rsid w:val="00770B19"/>
    <w:rsid w:val="0077463F"/>
    <w:rsid w:val="007756D0"/>
    <w:rsid w:val="007836EA"/>
    <w:rsid w:val="00784117"/>
    <w:rsid w:val="00784CDA"/>
    <w:rsid w:val="007906C4"/>
    <w:rsid w:val="007940EA"/>
    <w:rsid w:val="007967E8"/>
    <w:rsid w:val="007A2170"/>
    <w:rsid w:val="007A22BF"/>
    <w:rsid w:val="007A3323"/>
    <w:rsid w:val="007B72B8"/>
    <w:rsid w:val="007B7A58"/>
    <w:rsid w:val="007C21B5"/>
    <w:rsid w:val="007E4BD2"/>
    <w:rsid w:val="007E4CA5"/>
    <w:rsid w:val="00801393"/>
    <w:rsid w:val="00802F88"/>
    <w:rsid w:val="0081293E"/>
    <w:rsid w:val="00815465"/>
    <w:rsid w:val="00816BCF"/>
    <w:rsid w:val="00817E9A"/>
    <w:rsid w:val="008306BD"/>
    <w:rsid w:val="00831A80"/>
    <w:rsid w:val="00833743"/>
    <w:rsid w:val="008340A4"/>
    <w:rsid w:val="008466CD"/>
    <w:rsid w:val="00847B53"/>
    <w:rsid w:val="0087135F"/>
    <w:rsid w:val="00872D94"/>
    <w:rsid w:val="00880364"/>
    <w:rsid w:val="00891592"/>
    <w:rsid w:val="00891E9E"/>
    <w:rsid w:val="008A2F68"/>
    <w:rsid w:val="008B01E6"/>
    <w:rsid w:val="008B4FA6"/>
    <w:rsid w:val="008B50DB"/>
    <w:rsid w:val="008B5282"/>
    <w:rsid w:val="008B7C17"/>
    <w:rsid w:val="008C2D01"/>
    <w:rsid w:val="008C40E6"/>
    <w:rsid w:val="008D0F7A"/>
    <w:rsid w:val="008D254B"/>
    <w:rsid w:val="008D68E4"/>
    <w:rsid w:val="008E0128"/>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16053"/>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D5792"/>
    <w:rsid w:val="00AF0CBF"/>
    <w:rsid w:val="00AF257F"/>
    <w:rsid w:val="00AF33CF"/>
    <w:rsid w:val="00AF4D50"/>
    <w:rsid w:val="00AF6179"/>
    <w:rsid w:val="00B1295A"/>
    <w:rsid w:val="00B170F2"/>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3682"/>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B1EB4"/>
    <w:rsid w:val="00CB5DEF"/>
    <w:rsid w:val="00CC489B"/>
    <w:rsid w:val="00CD2BCD"/>
    <w:rsid w:val="00CD3A4C"/>
    <w:rsid w:val="00CE10E9"/>
    <w:rsid w:val="00CE2910"/>
    <w:rsid w:val="00CE5393"/>
    <w:rsid w:val="00CF36BE"/>
    <w:rsid w:val="00CF6000"/>
    <w:rsid w:val="00D003F3"/>
    <w:rsid w:val="00D0364F"/>
    <w:rsid w:val="00D06834"/>
    <w:rsid w:val="00D308ED"/>
    <w:rsid w:val="00D3480E"/>
    <w:rsid w:val="00D36D86"/>
    <w:rsid w:val="00D428AA"/>
    <w:rsid w:val="00D50A34"/>
    <w:rsid w:val="00D53EFA"/>
    <w:rsid w:val="00D94A7C"/>
    <w:rsid w:val="00D95896"/>
    <w:rsid w:val="00DA7B99"/>
    <w:rsid w:val="00DB2983"/>
    <w:rsid w:val="00DC1257"/>
    <w:rsid w:val="00DC3DC0"/>
    <w:rsid w:val="00DC5A96"/>
    <w:rsid w:val="00DC5B2B"/>
    <w:rsid w:val="00DD318D"/>
    <w:rsid w:val="00DF184A"/>
    <w:rsid w:val="00DF2E12"/>
    <w:rsid w:val="00DF514A"/>
    <w:rsid w:val="00DF6690"/>
    <w:rsid w:val="00DF6804"/>
    <w:rsid w:val="00DF744C"/>
    <w:rsid w:val="00E0358D"/>
    <w:rsid w:val="00E04323"/>
    <w:rsid w:val="00E070A2"/>
    <w:rsid w:val="00E2656A"/>
    <w:rsid w:val="00E40E08"/>
    <w:rsid w:val="00E412D0"/>
    <w:rsid w:val="00E56322"/>
    <w:rsid w:val="00E60982"/>
    <w:rsid w:val="00E62C62"/>
    <w:rsid w:val="00E654C1"/>
    <w:rsid w:val="00E65D97"/>
    <w:rsid w:val="00E72A5A"/>
    <w:rsid w:val="00E73354"/>
    <w:rsid w:val="00E753BA"/>
    <w:rsid w:val="00E9242D"/>
    <w:rsid w:val="00EB5255"/>
    <w:rsid w:val="00EB5C47"/>
    <w:rsid w:val="00ED0639"/>
    <w:rsid w:val="00EE26E1"/>
    <w:rsid w:val="00EF4755"/>
    <w:rsid w:val="00EF7135"/>
    <w:rsid w:val="00F027DB"/>
    <w:rsid w:val="00F14A7A"/>
    <w:rsid w:val="00F22985"/>
    <w:rsid w:val="00F3383E"/>
    <w:rsid w:val="00F41E66"/>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153701"/>
    <w:rsid w:val="011A2159"/>
    <w:rsid w:val="011A24F4"/>
    <w:rsid w:val="01290F7E"/>
    <w:rsid w:val="012D6713"/>
    <w:rsid w:val="01541EA9"/>
    <w:rsid w:val="015C2727"/>
    <w:rsid w:val="015D1E09"/>
    <w:rsid w:val="016C0FA1"/>
    <w:rsid w:val="016E1F8C"/>
    <w:rsid w:val="017A4110"/>
    <w:rsid w:val="01816CD0"/>
    <w:rsid w:val="01957007"/>
    <w:rsid w:val="01C963F3"/>
    <w:rsid w:val="01D63375"/>
    <w:rsid w:val="01DE010B"/>
    <w:rsid w:val="01E86154"/>
    <w:rsid w:val="01ED62C2"/>
    <w:rsid w:val="02134FF2"/>
    <w:rsid w:val="022644D4"/>
    <w:rsid w:val="0227311A"/>
    <w:rsid w:val="022C0F47"/>
    <w:rsid w:val="022E3B75"/>
    <w:rsid w:val="0230687F"/>
    <w:rsid w:val="02520FE2"/>
    <w:rsid w:val="02697903"/>
    <w:rsid w:val="026C6B78"/>
    <w:rsid w:val="026C6D7F"/>
    <w:rsid w:val="026E6F9B"/>
    <w:rsid w:val="02806AAC"/>
    <w:rsid w:val="02AE57EC"/>
    <w:rsid w:val="02CA613F"/>
    <w:rsid w:val="02DA018C"/>
    <w:rsid w:val="02E96336"/>
    <w:rsid w:val="02F0175E"/>
    <w:rsid w:val="02F96569"/>
    <w:rsid w:val="02FA082F"/>
    <w:rsid w:val="030D0562"/>
    <w:rsid w:val="03127926"/>
    <w:rsid w:val="033469D1"/>
    <w:rsid w:val="03363FD7"/>
    <w:rsid w:val="034A3845"/>
    <w:rsid w:val="03685798"/>
    <w:rsid w:val="036D1B55"/>
    <w:rsid w:val="036F4D79"/>
    <w:rsid w:val="038F71C9"/>
    <w:rsid w:val="03A10CAA"/>
    <w:rsid w:val="03B94246"/>
    <w:rsid w:val="03BE23E8"/>
    <w:rsid w:val="03C230FA"/>
    <w:rsid w:val="03CA0201"/>
    <w:rsid w:val="03E02FC4"/>
    <w:rsid w:val="03E80687"/>
    <w:rsid w:val="03EA7B21"/>
    <w:rsid w:val="03FD4132"/>
    <w:rsid w:val="040305E5"/>
    <w:rsid w:val="0408706B"/>
    <w:rsid w:val="04096282"/>
    <w:rsid w:val="041B0A5C"/>
    <w:rsid w:val="043B7C40"/>
    <w:rsid w:val="044B1342"/>
    <w:rsid w:val="046D0A27"/>
    <w:rsid w:val="047563BF"/>
    <w:rsid w:val="04812FB5"/>
    <w:rsid w:val="04926F71"/>
    <w:rsid w:val="04987BCD"/>
    <w:rsid w:val="04A035FB"/>
    <w:rsid w:val="04C37ADC"/>
    <w:rsid w:val="04E864CC"/>
    <w:rsid w:val="04ED23F9"/>
    <w:rsid w:val="05014EAF"/>
    <w:rsid w:val="050339CA"/>
    <w:rsid w:val="05213B00"/>
    <w:rsid w:val="052F14D7"/>
    <w:rsid w:val="053242B0"/>
    <w:rsid w:val="05491E30"/>
    <w:rsid w:val="05510789"/>
    <w:rsid w:val="05526700"/>
    <w:rsid w:val="055A55B4"/>
    <w:rsid w:val="05660618"/>
    <w:rsid w:val="05665D07"/>
    <w:rsid w:val="056D7F8C"/>
    <w:rsid w:val="05882122"/>
    <w:rsid w:val="05883ED0"/>
    <w:rsid w:val="059B1E55"/>
    <w:rsid w:val="05A33817"/>
    <w:rsid w:val="05A76A4C"/>
    <w:rsid w:val="05CD355C"/>
    <w:rsid w:val="05DF5482"/>
    <w:rsid w:val="05E81FCA"/>
    <w:rsid w:val="05F83EAE"/>
    <w:rsid w:val="0602268B"/>
    <w:rsid w:val="061D6D0E"/>
    <w:rsid w:val="06272084"/>
    <w:rsid w:val="06385D83"/>
    <w:rsid w:val="063E7D85"/>
    <w:rsid w:val="06523C24"/>
    <w:rsid w:val="065C61C6"/>
    <w:rsid w:val="065F10D4"/>
    <w:rsid w:val="066C1A43"/>
    <w:rsid w:val="067F5587"/>
    <w:rsid w:val="06915006"/>
    <w:rsid w:val="06935222"/>
    <w:rsid w:val="06B036DE"/>
    <w:rsid w:val="06BB1D77"/>
    <w:rsid w:val="06E20FAC"/>
    <w:rsid w:val="06E8731C"/>
    <w:rsid w:val="06F21F49"/>
    <w:rsid w:val="06FA704F"/>
    <w:rsid w:val="06FD0428"/>
    <w:rsid w:val="06FF01C2"/>
    <w:rsid w:val="071C5217"/>
    <w:rsid w:val="07293586"/>
    <w:rsid w:val="07295285"/>
    <w:rsid w:val="072D08DE"/>
    <w:rsid w:val="072F103D"/>
    <w:rsid w:val="073065CD"/>
    <w:rsid w:val="073A38EF"/>
    <w:rsid w:val="074C0E53"/>
    <w:rsid w:val="075F5104"/>
    <w:rsid w:val="07636392"/>
    <w:rsid w:val="07770C56"/>
    <w:rsid w:val="078132CC"/>
    <w:rsid w:val="078A4EC4"/>
    <w:rsid w:val="079E3E7E"/>
    <w:rsid w:val="07A67C50"/>
    <w:rsid w:val="07A86AAB"/>
    <w:rsid w:val="07AA276E"/>
    <w:rsid w:val="07AE6051"/>
    <w:rsid w:val="07C10101"/>
    <w:rsid w:val="07C1191B"/>
    <w:rsid w:val="07C66F31"/>
    <w:rsid w:val="07DA30EB"/>
    <w:rsid w:val="07E03F1B"/>
    <w:rsid w:val="07F81DAE"/>
    <w:rsid w:val="08002443"/>
    <w:rsid w:val="08117291"/>
    <w:rsid w:val="08275C22"/>
    <w:rsid w:val="08321BB2"/>
    <w:rsid w:val="084402CA"/>
    <w:rsid w:val="08517143"/>
    <w:rsid w:val="085675C2"/>
    <w:rsid w:val="0857678E"/>
    <w:rsid w:val="085E2F15"/>
    <w:rsid w:val="08756A05"/>
    <w:rsid w:val="087E766B"/>
    <w:rsid w:val="089808CE"/>
    <w:rsid w:val="08A11B29"/>
    <w:rsid w:val="08A51D28"/>
    <w:rsid w:val="08DE5EB6"/>
    <w:rsid w:val="08E7715F"/>
    <w:rsid w:val="08F5187C"/>
    <w:rsid w:val="08FC6E3E"/>
    <w:rsid w:val="09155A79"/>
    <w:rsid w:val="092217DD"/>
    <w:rsid w:val="09320D22"/>
    <w:rsid w:val="093A7294"/>
    <w:rsid w:val="09433C21"/>
    <w:rsid w:val="09440A55"/>
    <w:rsid w:val="0946032A"/>
    <w:rsid w:val="094B5940"/>
    <w:rsid w:val="096B4234"/>
    <w:rsid w:val="099A7FE1"/>
    <w:rsid w:val="099F5C8C"/>
    <w:rsid w:val="099F68B1"/>
    <w:rsid w:val="09A01020"/>
    <w:rsid w:val="09AA0BA3"/>
    <w:rsid w:val="09D31321"/>
    <w:rsid w:val="0A1F4C3E"/>
    <w:rsid w:val="0A263993"/>
    <w:rsid w:val="0A274649"/>
    <w:rsid w:val="0A2D3AC2"/>
    <w:rsid w:val="0A402FCB"/>
    <w:rsid w:val="0A42742A"/>
    <w:rsid w:val="0A4754A4"/>
    <w:rsid w:val="0A546A76"/>
    <w:rsid w:val="0A6A0048"/>
    <w:rsid w:val="0A76201F"/>
    <w:rsid w:val="0A8455AD"/>
    <w:rsid w:val="0A854E82"/>
    <w:rsid w:val="0A856C30"/>
    <w:rsid w:val="0AA2252B"/>
    <w:rsid w:val="0AA755DF"/>
    <w:rsid w:val="0AA8771B"/>
    <w:rsid w:val="0AD100C7"/>
    <w:rsid w:val="0AD1311B"/>
    <w:rsid w:val="0ADE4261"/>
    <w:rsid w:val="0AE778EA"/>
    <w:rsid w:val="0AEB73DB"/>
    <w:rsid w:val="0AEF054D"/>
    <w:rsid w:val="0AFA1765"/>
    <w:rsid w:val="0AFB5144"/>
    <w:rsid w:val="0AFC15E8"/>
    <w:rsid w:val="0B120D44"/>
    <w:rsid w:val="0B1C65EE"/>
    <w:rsid w:val="0B21104E"/>
    <w:rsid w:val="0B26422A"/>
    <w:rsid w:val="0B321943"/>
    <w:rsid w:val="0B3253D1"/>
    <w:rsid w:val="0B46156B"/>
    <w:rsid w:val="0B5C264E"/>
    <w:rsid w:val="0B6C1151"/>
    <w:rsid w:val="0B76218D"/>
    <w:rsid w:val="0B7849E6"/>
    <w:rsid w:val="0B845139"/>
    <w:rsid w:val="0B8A316F"/>
    <w:rsid w:val="0B9F1F73"/>
    <w:rsid w:val="0BB85C0A"/>
    <w:rsid w:val="0BC1013B"/>
    <w:rsid w:val="0BD27BF6"/>
    <w:rsid w:val="0BE22648"/>
    <w:rsid w:val="0BE24B51"/>
    <w:rsid w:val="0BE532AD"/>
    <w:rsid w:val="0BF202F5"/>
    <w:rsid w:val="0C061FF2"/>
    <w:rsid w:val="0C192317"/>
    <w:rsid w:val="0C2C7CAB"/>
    <w:rsid w:val="0C324B95"/>
    <w:rsid w:val="0C347D9F"/>
    <w:rsid w:val="0C370697"/>
    <w:rsid w:val="0C3B3C7D"/>
    <w:rsid w:val="0C41302A"/>
    <w:rsid w:val="0C42388B"/>
    <w:rsid w:val="0C465A73"/>
    <w:rsid w:val="0C5C4289"/>
    <w:rsid w:val="0C714BCF"/>
    <w:rsid w:val="0C7451AE"/>
    <w:rsid w:val="0C76085A"/>
    <w:rsid w:val="0C8F1FE8"/>
    <w:rsid w:val="0C9358E9"/>
    <w:rsid w:val="0C947910"/>
    <w:rsid w:val="0CAB2EAE"/>
    <w:rsid w:val="0CAF2BD7"/>
    <w:rsid w:val="0CBD657D"/>
    <w:rsid w:val="0CED3447"/>
    <w:rsid w:val="0D004C0A"/>
    <w:rsid w:val="0D0B521A"/>
    <w:rsid w:val="0D183D8B"/>
    <w:rsid w:val="0D2C3CDA"/>
    <w:rsid w:val="0D3338BC"/>
    <w:rsid w:val="0D4921AC"/>
    <w:rsid w:val="0D4C2100"/>
    <w:rsid w:val="0D621C7D"/>
    <w:rsid w:val="0D7579F8"/>
    <w:rsid w:val="0D7731A8"/>
    <w:rsid w:val="0D7F02AE"/>
    <w:rsid w:val="0D8257DE"/>
    <w:rsid w:val="0D880F3E"/>
    <w:rsid w:val="0D8A2C79"/>
    <w:rsid w:val="0D906017"/>
    <w:rsid w:val="0D9D2DE1"/>
    <w:rsid w:val="0DE325EB"/>
    <w:rsid w:val="0DE545B5"/>
    <w:rsid w:val="0E0407B3"/>
    <w:rsid w:val="0E097B78"/>
    <w:rsid w:val="0E2232E7"/>
    <w:rsid w:val="0E3D1D40"/>
    <w:rsid w:val="0E4A4418"/>
    <w:rsid w:val="0E4D215A"/>
    <w:rsid w:val="0E540384"/>
    <w:rsid w:val="0E715E49"/>
    <w:rsid w:val="0E72207A"/>
    <w:rsid w:val="0E73034D"/>
    <w:rsid w:val="0E794CFD"/>
    <w:rsid w:val="0E7E74A1"/>
    <w:rsid w:val="0E8740A0"/>
    <w:rsid w:val="0E931FD4"/>
    <w:rsid w:val="0E9E4E0C"/>
    <w:rsid w:val="0EA234AD"/>
    <w:rsid w:val="0EB145AC"/>
    <w:rsid w:val="0EBC3B83"/>
    <w:rsid w:val="0EC70897"/>
    <w:rsid w:val="0ED14B39"/>
    <w:rsid w:val="0EFD76DC"/>
    <w:rsid w:val="0F053294"/>
    <w:rsid w:val="0F096081"/>
    <w:rsid w:val="0F0F1B34"/>
    <w:rsid w:val="0F0F7410"/>
    <w:rsid w:val="0F13775A"/>
    <w:rsid w:val="0F1B3A30"/>
    <w:rsid w:val="0F1C3FB7"/>
    <w:rsid w:val="0F1C5C77"/>
    <w:rsid w:val="0F1F23E8"/>
    <w:rsid w:val="0F215EBA"/>
    <w:rsid w:val="0F36499C"/>
    <w:rsid w:val="0F3A57FA"/>
    <w:rsid w:val="0F4019A7"/>
    <w:rsid w:val="0F44530B"/>
    <w:rsid w:val="0F461537"/>
    <w:rsid w:val="0F4C2412"/>
    <w:rsid w:val="0F52491F"/>
    <w:rsid w:val="0F527FE9"/>
    <w:rsid w:val="0F5372FC"/>
    <w:rsid w:val="0F571727"/>
    <w:rsid w:val="0F5970BC"/>
    <w:rsid w:val="0F5F45FE"/>
    <w:rsid w:val="0F5F5CA1"/>
    <w:rsid w:val="0F6349C9"/>
    <w:rsid w:val="0F69741B"/>
    <w:rsid w:val="0F814C14"/>
    <w:rsid w:val="0F847DFE"/>
    <w:rsid w:val="0F8B4CE8"/>
    <w:rsid w:val="0F931B9F"/>
    <w:rsid w:val="0F9A112B"/>
    <w:rsid w:val="0FA02F99"/>
    <w:rsid w:val="0FA638D0"/>
    <w:rsid w:val="0FB93169"/>
    <w:rsid w:val="0FC3709B"/>
    <w:rsid w:val="0FC43178"/>
    <w:rsid w:val="0FD02849"/>
    <w:rsid w:val="10046849"/>
    <w:rsid w:val="100E4C32"/>
    <w:rsid w:val="100F779E"/>
    <w:rsid w:val="1013728F"/>
    <w:rsid w:val="102A1EA4"/>
    <w:rsid w:val="106D2F64"/>
    <w:rsid w:val="108E7658"/>
    <w:rsid w:val="109B71AD"/>
    <w:rsid w:val="10A1053B"/>
    <w:rsid w:val="10A122E9"/>
    <w:rsid w:val="10A40643"/>
    <w:rsid w:val="10A83678"/>
    <w:rsid w:val="10B568AB"/>
    <w:rsid w:val="10B63710"/>
    <w:rsid w:val="10C52184"/>
    <w:rsid w:val="10C771ED"/>
    <w:rsid w:val="10D34C5C"/>
    <w:rsid w:val="10DD1B89"/>
    <w:rsid w:val="10EA74A4"/>
    <w:rsid w:val="10F10820"/>
    <w:rsid w:val="10F45DEF"/>
    <w:rsid w:val="10FF7941"/>
    <w:rsid w:val="110A634C"/>
    <w:rsid w:val="110B61A3"/>
    <w:rsid w:val="111B6540"/>
    <w:rsid w:val="111C2F7A"/>
    <w:rsid w:val="11220AF8"/>
    <w:rsid w:val="112665D1"/>
    <w:rsid w:val="11427629"/>
    <w:rsid w:val="1154735C"/>
    <w:rsid w:val="11573208"/>
    <w:rsid w:val="11627CCB"/>
    <w:rsid w:val="11665CA1"/>
    <w:rsid w:val="116C6D9B"/>
    <w:rsid w:val="1176519E"/>
    <w:rsid w:val="118A4764"/>
    <w:rsid w:val="1196667E"/>
    <w:rsid w:val="11A7090D"/>
    <w:rsid w:val="11B81FE1"/>
    <w:rsid w:val="11D6004D"/>
    <w:rsid w:val="11E3705D"/>
    <w:rsid w:val="11E76422"/>
    <w:rsid w:val="120D40DA"/>
    <w:rsid w:val="121C62B6"/>
    <w:rsid w:val="123969CC"/>
    <w:rsid w:val="123F000C"/>
    <w:rsid w:val="12466BB6"/>
    <w:rsid w:val="1264347E"/>
    <w:rsid w:val="12695089"/>
    <w:rsid w:val="127203E1"/>
    <w:rsid w:val="12745F08"/>
    <w:rsid w:val="12837EF9"/>
    <w:rsid w:val="128D6FC9"/>
    <w:rsid w:val="12957C2C"/>
    <w:rsid w:val="1299771C"/>
    <w:rsid w:val="12BE53D5"/>
    <w:rsid w:val="12C329EB"/>
    <w:rsid w:val="12D44DD3"/>
    <w:rsid w:val="12DD1CFF"/>
    <w:rsid w:val="12DE7825"/>
    <w:rsid w:val="12E1131A"/>
    <w:rsid w:val="12F72695"/>
    <w:rsid w:val="12FE1C75"/>
    <w:rsid w:val="13003800"/>
    <w:rsid w:val="130306AC"/>
    <w:rsid w:val="131941EA"/>
    <w:rsid w:val="131C4291"/>
    <w:rsid w:val="132D5847"/>
    <w:rsid w:val="133236CD"/>
    <w:rsid w:val="13385187"/>
    <w:rsid w:val="13410AB9"/>
    <w:rsid w:val="1344477A"/>
    <w:rsid w:val="13460A4F"/>
    <w:rsid w:val="13482EF0"/>
    <w:rsid w:val="134E49AB"/>
    <w:rsid w:val="13557655"/>
    <w:rsid w:val="13721650"/>
    <w:rsid w:val="13951726"/>
    <w:rsid w:val="13AB37B4"/>
    <w:rsid w:val="13B86E94"/>
    <w:rsid w:val="13C729FF"/>
    <w:rsid w:val="13ED44FF"/>
    <w:rsid w:val="13EF703E"/>
    <w:rsid w:val="13FD017F"/>
    <w:rsid w:val="14327E28"/>
    <w:rsid w:val="14396509"/>
    <w:rsid w:val="14504752"/>
    <w:rsid w:val="145A2EDB"/>
    <w:rsid w:val="145F48BF"/>
    <w:rsid w:val="14634486"/>
    <w:rsid w:val="146D7C2A"/>
    <w:rsid w:val="14834729"/>
    <w:rsid w:val="14860174"/>
    <w:rsid w:val="14885E70"/>
    <w:rsid w:val="149C34F4"/>
    <w:rsid w:val="14AA1DA6"/>
    <w:rsid w:val="14AA3E63"/>
    <w:rsid w:val="14B4083D"/>
    <w:rsid w:val="14DD2C3C"/>
    <w:rsid w:val="14DF59D1"/>
    <w:rsid w:val="14FB2910"/>
    <w:rsid w:val="14FC21E4"/>
    <w:rsid w:val="15095086"/>
    <w:rsid w:val="15115C90"/>
    <w:rsid w:val="1517080A"/>
    <w:rsid w:val="151E347F"/>
    <w:rsid w:val="152063A5"/>
    <w:rsid w:val="15323E58"/>
    <w:rsid w:val="153F7167"/>
    <w:rsid w:val="15797B54"/>
    <w:rsid w:val="158E6FF2"/>
    <w:rsid w:val="15D11068"/>
    <w:rsid w:val="15DA35DD"/>
    <w:rsid w:val="15E211F7"/>
    <w:rsid w:val="15EE286B"/>
    <w:rsid w:val="15EE7622"/>
    <w:rsid w:val="15EE7D7F"/>
    <w:rsid w:val="16087E1D"/>
    <w:rsid w:val="16157DE9"/>
    <w:rsid w:val="162714E3"/>
    <w:rsid w:val="163836F0"/>
    <w:rsid w:val="163D4598"/>
    <w:rsid w:val="164756E1"/>
    <w:rsid w:val="164F5963"/>
    <w:rsid w:val="165837CB"/>
    <w:rsid w:val="16704C38"/>
    <w:rsid w:val="16770F7C"/>
    <w:rsid w:val="16787B3F"/>
    <w:rsid w:val="168A5C34"/>
    <w:rsid w:val="168D57EA"/>
    <w:rsid w:val="168D7E8C"/>
    <w:rsid w:val="168E1562"/>
    <w:rsid w:val="16970417"/>
    <w:rsid w:val="16A12A14"/>
    <w:rsid w:val="16B15B8F"/>
    <w:rsid w:val="16B40FC8"/>
    <w:rsid w:val="16B52705"/>
    <w:rsid w:val="16B56AEF"/>
    <w:rsid w:val="16B8213B"/>
    <w:rsid w:val="16D33724"/>
    <w:rsid w:val="16E81EA3"/>
    <w:rsid w:val="173369B9"/>
    <w:rsid w:val="17526AFC"/>
    <w:rsid w:val="17582680"/>
    <w:rsid w:val="17604CAC"/>
    <w:rsid w:val="17615BDE"/>
    <w:rsid w:val="176D73C9"/>
    <w:rsid w:val="17701D14"/>
    <w:rsid w:val="17726B6D"/>
    <w:rsid w:val="17735226"/>
    <w:rsid w:val="177C13BA"/>
    <w:rsid w:val="17823B68"/>
    <w:rsid w:val="17884203"/>
    <w:rsid w:val="17991F6C"/>
    <w:rsid w:val="179E4FBA"/>
    <w:rsid w:val="17AE5E35"/>
    <w:rsid w:val="17C04657"/>
    <w:rsid w:val="17C76AD9"/>
    <w:rsid w:val="17D2722C"/>
    <w:rsid w:val="17DA4A5F"/>
    <w:rsid w:val="17DE3E23"/>
    <w:rsid w:val="17DF40AE"/>
    <w:rsid w:val="17E56F60"/>
    <w:rsid w:val="17EF7DDE"/>
    <w:rsid w:val="17F20716"/>
    <w:rsid w:val="181141F9"/>
    <w:rsid w:val="18237A0D"/>
    <w:rsid w:val="182614DC"/>
    <w:rsid w:val="183121A5"/>
    <w:rsid w:val="183C74C7"/>
    <w:rsid w:val="183F0D66"/>
    <w:rsid w:val="1851697A"/>
    <w:rsid w:val="185340A1"/>
    <w:rsid w:val="185A5EAF"/>
    <w:rsid w:val="18626802"/>
    <w:rsid w:val="18850948"/>
    <w:rsid w:val="188B3FAB"/>
    <w:rsid w:val="188E71FD"/>
    <w:rsid w:val="189664AC"/>
    <w:rsid w:val="189F624C"/>
    <w:rsid w:val="18AB01A9"/>
    <w:rsid w:val="18B2778A"/>
    <w:rsid w:val="18B674D8"/>
    <w:rsid w:val="18C0612C"/>
    <w:rsid w:val="18D426C3"/>
    <w:rsid w:val="18FC4D43"/>
    <w:rsid w:val="1909120F"/>
    <w:rsid w:val="19346481"/>
    <w:rsid w:val="19362169"/>
    <w:rsid w:val="194067F6"/>
    <w:rsid w:val="19440029"/>
    <w:rsid w:val="19445E70"/>
    <w:rsid w:val="195C3C3F"/>
    <w:rsid w:val="19662322"/>
    <w:rsid w:val="19687E48"/>
    <w:rsid w:val="19726F19"/>
    <w:rsid w:val="198D18B3"/>
    <w:rsid w:val="199450E1"/>
    <w:rsid w:val="19C72DC1"/>
    <w:rsid w:val="19D76D7C"/>
    <w:rsid w:val="19E82D37"/>
    <w:rsid w:val="19EF489F"/>
    <w:rsid w:val="19FD3530"/>
    <w:rsid w:val="1A006F3B"/>
    <w:rsid w:val="1A077661"/>
    <w:rsid w:val="1A18361C"/>
    <w:rsid w:val="1A1C66C0"/>
    <w:rsid w:val="1A226249"/>
    <w:rsid w:val="1A300D5A"/>
    <w:rsid w:val="1A42393B"/>
    <w:rsid w:val="1A4C32C6"/>
    <w:rsid w:val="1A6467F8"/>
    <w:rsid w:val="1A6C5716"/>
    <w:rsid w:val="1A7D683C"/>
    <w:rsid w:val="1A8213DE"/>
    <w:rsid w:val="1A8C400A"/>
    <w:rsid w:val="1AAD45DE"/>
    <w:rsid w:val="1AC30C61"/>
    <w:rsid w:val="1AC30F79"/>
    <w:rsid w:val="1AD25EC1"/>
    <w:rsid w:val="1AF5570C"/>
    <w:rsid w:val="1AFD2812"/>
    <w:rsid w:val="1B041DF3"/>
    <w:rsid w:val="1B046F80"/>
    <w:rsid w:val="1B1778DC"/>
    <w:rsid w:val="1B245FF1"/>
    <w:rsid w:val="1B3267B5"/>
    <w:rsid w:val="1B3C50FB"/>
    <w:rsid w:val="1B3E5305"/>
    <w:rsid w:val="1B40161D"/>
    <w:rsid w:val="1B414F46"/>
    <w:rsid w:val="1B441859"/>
    <w:rsid w:val="1B4B5485"/>
    <w:rsid w:val="1B6606B1"/>
    <w:rsid w:val="1B737673"/>
    <w:rsid w:val="1B7E3953"/>
    <w:rsid w:val="1B9211AC"/>
    <w:rsid w:val="1B957D42"/>
    <w:rsid w:val="1B9A77FE"/>
    <w:rsid w:val="1B9E5059"/>
    <w:rsid w:val="1BA15893"/>
    <w:rsid w:val="1BA64C58"/>
    <w:rsid w:val="1BC03F6C"/>
    <w:rsid w:val="1BCF5117"/>
    <w:rsid w:val="1BE962BA"/>
    <w:rsid w:val="1BEF4851"/>
    <w:rsid w:val="1BF445C6"/>
    <w:rsid w:val="1BF96BFB"/>
    <w:rsid w:val="1C0134EE"/>
    <w:rsid w:val="1C112A19"/>
    <w:rsid w:val="1C163B8C"/>
    <w:rsid w:val="1C257FE7"/>
    <w:rsid w:val="1C367C2C"/>
    <w:rsid w:val="1C3861F8"/>
    <w:rsid w:val="1C435820"/>
    <w:rsid w:val="1C592CFF"/>
    <w:rsid w:val="1C5E7925"/>
    <w:rsid w:val="1C6C3736"/>
    <w:rsid w:val="1C71533D"/>
    <w:rsid w:val="1C751AA9"/>
    <w:rsid w:val="1CA9437C"/>
    <w:rsid w:val="1CB17D58"/>
    <w:rsid w:val="1CBE2D2C"/>
    <w:rsid w:val="1CC161ED"/>
    <w:rsid w:val="1CCD3060"/>
    <w:rsid w:val="1CDD127F"/>
    <w:rsid w:val="1CDD28FB"/>
    <w:rsid w:val="1CDF75E5"/>
    <w:rsid w:val="1CE02CE3"/>
    <w:rsid w:val="1CE42B6E"/>
    <w:rsid w:val="1CEC226F"/>
    <w:rsid w:val="1CEC2B3E"/>
    <w:rsid w:val="1CFD070F"/>
    <w:rsid w:val="1D091942"/>
    <w:rsid w:val="1D314BD9"/>
    <w:rsid w:val="1D326C0F"/>
    <w:rsid w:val="1D383FD6"/>
    <w:rsid w:val="1D3F35B6"/>
    <w:rsid w:val="1D5A14D3"/>
    <w:rsid w:val="1D5C1A72"/>
    <w:rsid w:val="1D5E1629"/>
    <w:rsid w:val="1D5F6196"/>
    <w:rsid w:val="1D6132A5"/>
    <w:rsid w:val="1D821737"/>
    <w:rsid w:val="1D840FC9"/>
    <w:rsid w:val="1D8E56D5"/>
    <w:rsid w:val="1DAA4ED3"/>
    <w:rsid w:val="1DC85359"/>
    <w:rsid w:val="1DCB7CD3"/>
    <w:rsid w:val="1DDB2D71"/>
    <w:rsid w:val="1DDC2BB3"/>
    <w:rsid w:val="1DDD0ADB"/>
    <w:rsid w:val="1DFB572F"/>
    <w:rsid w:val="1DFC0135"/>
    <w:rsid w:val="1E036392"/>
    <w:rsid w:val="1E042BCD"/>
    <w:rsid w:val="1E114F52"/>
    <w:rsid w:val="1E2527AC"/>
    <w:rsid w:val="1E2F362A"/>
    <w:rsid w:val="1E343E4D"/>
    <w:rsid w:val="1E5310C7"/>
    <w:rsid w:val="1E596A29"/>
    <w:rsid w:val="1E650E42"/>
    <w:rsid w:val="1E721D6B"/>
    <w:rsid w:val="1E763007"/>
    <w:rsid w:val="1E7A43DA"/>
    <w:rsid w:val="1E7E3C6A"/>
    <w:rsid w:val="1E8438B3"/>
    <w:rsid w:val="1E890F8D"/>
    <w:rsid w:val="1E8E65A3"/>
    <w:rsid w:val="1E92440A"/>
    <w:rsid w:val="1E961EEB"/>
    <w:rsid w:val="1EAA3C27"/>
    <w:rsid w:val="1EB15C63"/>
    <w:rsid w:val="1EE6018D"/>
    <w:rsid w:val="1EF34658"/>
    <w:rsid w:val="1EF67CA4"/>
    <w:rsid w:val="1F38206B"/>
    <w:rsid w:val="1F4B4494"/>
    <w:rsid w:val="1F505C31"/>
    <w:rsid w:val="1F810A2E"/>
    <w:rsid w:val="1F8A547E"/>
    <w:rsid w:val="1F8F4381"/>
    <w:rsid w:val="1F9A4AD4"/>
    <w:rsid w:val="1FD004F5"/>
    <w:rsid w:val="1FE7539E"/>
    <w:rsid w:val="1FEC0C4E"/>
    <w:rsid w:val="1FF24910"/>
    <w:rsid w:val="1FFB37C4"/>
    <w:rsid w:val="201C373B"/>
    <w:rsid w:val="2020147D"/>
    <w:rsid w:val="20401B1F"/>
    <w:rsid w:val="204953F8"/>
    <w:rsid w:val="20671BE0"/>
    <w:rsid w:val="20800CCA"/>
    <w:rsid w:val="208F3B0D"/>
    <w:rsid w:val="209475A3"/>
    <w:rsid w:val="20963CB8"/>
    <w:rsid w:val="209C6D3F"/>
    <w:rsid w:val="209E45AB"/>
    <w:rsid w:val="20A81A1B"/>
    <w:rsid w:val="20B07FB6"/>
    <w:rsid w:val="20B646FB"/>
    <w:rsid w:val="20CF4C51"/>
    <w:rsid w:val="20EA3839"/>
    <w:rsid w:val="210C6D52"/>
    <w:rsid w:val="212807D0"/>
    <w:rsid w:val="213351E0"/>
    <w:rsid w:val="213B74B1"/>
    <w:rsid w:val="21423675"/>
    <w:rsid w:val="214340ED"/>
    <w:rsid w:val="21492DD7"/>
    <w:rsid w:val="21576062"/>
    <w:rsid w:val="215A2310"/>
    <w:rsid w:val="21810B0D"/>
    <w:rsid w:val="21893052"/>
    <w:rsid w:val="21894E00"/>
    <w:rsid w:val="21926DB7"/>
    <w:rsid w:val="21A606D7"/>
    <w:rsid w:val="21B53E47"/>
    <w:rsid w:val="21B75E11"/>
    <w:rsid w:val="21C35A33"/>
    <w:rsid w:val="21D16EDD"/>
    <w:rsid w:val="21D20555"/>
    <w:rsid w:val="21DC5870"/>
    <w:rsid w:val="21DD6EFA"/>
    <w:rsid w:val="21DE318A"/>
    <w:rsid w:val="21E12E8E"/>
    <w:rsid w:val="21E14C3C"/>
    <w:rsid w:val="21EE1107"/>
    <w:rsid w:val="21EF5B80"/>
    <w:rsid w:val="21F05C44"/>
    <w:rsid w:val="220F17A9"/>
    <w:rsid w:val="222B5EB7"/>
    <w:rsid w:val="222F1E4B"/>
    <w:rsid w:val="222F2D19"/>
    <w:rsid w:val="225004C4"/>
    <w:rsid w:val="225336D8"/>
    <w:rsid w:val="22576990"/>
    <w:rsid w:val="22665141"/>
    <w:rsid w:val="22717444"/>
    <w:rsid w:val="228026A7"/>
    <w:rsid w:val="228D0C62"/>
    <w:rsid w:val="22AD2D70"/>
    <w:rsid w:val="22B36A63"/>
    <w:rsid w:val="22C14300"/>
    <w:rsid w:val="22CC0453"/>
    <w:rsid w:val="22F47480"/>
    <w:rsid w:val="22FA4207"/>
    <w:rsid w:val="230C3F3A"/>
    <w:rsid w:val="231921B3"/>
    <w:rsid w:val="232037E7"/>
    <w:rsid w:val="2326029C"/>
    <w:rsid w:val="232A3240"/>
    <w:rsid w:val="232E01C8"/>
    <w:rsid w:val="23334310"/>
    <w:rsid w:val="233B2251"/>
    <w:rsid w:val="233F357F"/>
    <w:rsid w:val="23603B94"/>
    <w:rsid w:val="236C6787"/>
    <w:rsid w:val="237C27B7"/>
    <w:rsid w:val="237C4C1C"/>
    <w:rsid w:val="23812232"/>
    <w:rsid w:val="23856E8A"/>
    <w:rsid w:val="23900F7D"/>
    <w:rsid w:val="239D1036"/>
    <w:rsid w:val="23C2284B"/>
    <w:rsid w:val="23DA5DE6"/>
    <w:rsid w:val="23DE1C48"/>
    <w:rsid w:val="23E822B1"/>
    <w:rsid w:val="23F32A04"/>
    <w:rsid w:val="23FD637A"/>
    <w:rsid w:val="240036A6"/>
    <w:rsid w:val="240210CD"/>
    <w:rsid w:val="24042E63"/>
    <w:rsid w:val="24154794"/>
    <w:rsid w:val="242478B3"/>
    <w:rsid w:val="243B5370"/>
    <w:rsid w:val="24417249"/>
    <w:rsid w:val="24480FA2"/>
    <w:rsid w:val="245B2E8E"/>
    <w:rsid w:val="24615170"/>
    <w:rsid w:val="246D6C5B"/>
    <w:rsid w:val="24992818"/>
    <w:rsid w:val="249B3580"/>
    <w:rsid w:val="24AA3A0B"/>
    <w:rsid w:val="24BB5C18"/>
    <w:rsid w:val="24BF09F7"/>
    <w:rsid w:val="24CD14A7"/>
    <w:rsid w:val="24CF5A0D"/>
    <w:rsid w:val="24D97E4C"/>
    <w:rsid w:val="24EE3E42"/>
    <w:rsid w:val="24F133E8"/>
    <w:rsid w:val="24F430F9"/>
    <w:rsid w:val="24FF34E2"/>
    <w:rsid w:val="251315B0"/>
    <w:rsid w:val="251D291E"/>
    <w:rsid w:val="252D53FE"/>
    <w:rsid w:val="253A1753"/>
    <w:rsid w:val="253D5FF7"/>
    <w:rsid w:val="25457290"/>
    <w:rsid w:val="25461985"/>
    <w:rsid w:val="25511C93"/>
    <w:rsid w:val="257A33DD"/>
    <w:rsid w:val="258A0D66"/>
    <w:rsid w:val="258B55EA"/>
    <w:rsid w:val="25A91F14"/>
    <w:rsid w:val="25AB17E9"/>
    <w:rsid w:val="25B74631"/>
    <w:rsid w:val="25C30C44"/>
    <w:rsid w:val="25C66622"/>
    <w:rsid w:val="25CF1AA3"/>
    <w:rsid w:val="25D857E8"/>
    <w:rsid w:val="25D86356"/>
    <w:rsid w:val="25E45D7F"/>
    <w:rsid w:val="25EC2D81"/>
    <w:rsid w:val="260B73DA"/>
    <w:rsid w:val="261B349C"/>
    <w:rsid w:val="26296BB1"/>
    <w:rsid w:val="26551754"/>
    <w:rsid w:val="26555BF8"/>
    <w:rsid w:val="26597496"/>
    <w:rsid w:val="268F48B7"/>
    <w:rsid w:val="2691110E"/>
    <w:rsid w:val="26962499"/>
    <w:rsid w:val="26C17A18"/>
    <w:rsid w:val="26C35E64"/>
    <w:rsid w:val="26D72D6F"/>
    <w:rsid w:val="26DE4B23"/>
    <w:rsid w:val="26E155BF"/>
    <w:rsid w:val="26E825C8"/>
    <w:rsid w:val="2706734A"/>
    <w:rsid w:val="27090D37"/>
    <w:rsid w:val="273677D8"/>
    <w:rsid w:val="27670866"/>
    <w:rsid w:val="277057A2"/>
    <w:rsid w:val="27710810"/>
    <w:rsid w:val="277976C4"/>
    <w:rsid w:val="27803E9E"/>
    <w:rsid w:val="278748AF"/>
    <w:rsid w:val="27914A0E"/>
    <w:rsid w:val="27915A35"/>
    <w:rsid w:val="27AF7F81"/>
    <w:rsid w:val="27D5743B"/>
    <w:rsid w:val="27F37477"/>
    <w:rsid w:val="27F679C7"/>
    <w:rsid w:val="28090A48"/>
    <w:rsid w:val="281A0EA7"/>
    <w:rsid w:val="2829733C"/>
    <w:rsid w:val="282D57F7"/>
    <w:rsid w:val="283720F8"/>
    <w:rsid w:val="283D5CD3"/>
    <w:rsid w:val="284E0B51"/>
    <w:rsid w:val="28545E7B"/>
    <w:rsid w:val="28653CEA"/>
    <w:rsid w:val="28681C13"/>
    <w:rsid w:val="28687E65"/>
    <w:rsid w:val="28724840"/>
    <w:rsid w:val="28B32244"/>
    <w:rsid w:val="28D44C9D"/>
    <w:rsid w:val="28D472A8"/>
    <w:rsid w:val="28ED2118"/>
    <w:rsid w:val="28ED3DAD"/>
    <w:rsid w:val="28FD67FF"/>
    <w:rsid w:val="2906166E"/>
    <w:rsid w:val="29206EB8"/>
    <w:rsid w:val="29552B8F"/>
    <w:rsid w:val="29595666"/>
    <w:rsid w:val="296249CA"/>
    <w:rsid w:val="296F0D7F"/>
    <w:rsid w:val="2973261D"/>
    <w:rsid w:val="29787372"/>
    <w:rsid w:val="298167A6"/>
    <w:rsid w:val="29874881"/>
    <w:rsid w:val="29A8082D"/>
    <w:rsid w:val="29AA0009"/>
    <w:rsid w:val="29B72C26"/>
    <w:rsid w:val="29B827CE"/>
    <w:rsid w:val="29BC16E5"/>
    <w:rsid w:val="29C30C90"/>
    <w:rsid w:val="29DA08EE"/>
    <w:rsid w:val="29E325E0"/>
    <w:rsid w:val="2A0C4820"/>
    <w:rsid w:val="2A0D0ECC"/>
    <w:rsid w:val="2A375D41"/>
    <w:rsid w:val="2A3824C7"/>
    <w:rsid w:val="2A452503"/>
    <w:rsid w:val="2A497822"/>
    <w:rsid w:val="2A633EC8"/>
    <w:rsid w:val="2A68414C"/>
    <w:rsid w:val="2A7A1E5F"/>
    <w:rsid w:val="2A7C3754"/>
    <w:rsid w:val="2A7E3970"/>
    <w:rsid w:val="2A826DD5"/>
    <w:rsid w:val="2A8E413C"/>
    <w:rsid w:val="2A9711E3"/>
    <w:rsid w:val="2AA20617"/>
    <w:rsid w:val="2AAA76C0"/>
    <w:rsid w:val="2AAF3B29"/>
    <w:rsid w:val="2ABC1DA2"/>
    <w:rsid w:val="2ABF0633"/>
    <w:rsid w:val="2AC1560A"/>
    <w:rsid w:val="2AD0584D"/>
    <w:rsid w:val="2AD44BB4"/>
    <w:rsid w:val="2ADA411F"/>
    <w:rsid w:val="2AE56772"/>
    <w:rsid w:val="2AF459E0"/>
    <w:rsid w:val="2AF62F4B"/>
    <w:rsid w:val="2AFC2AE6"/>
    <w:rsid w:val="2B0D039D"/>
    <w:rsid w:val="2B1C6CE5"/>
    <w:rsid w:val="2B2D4A4E"/>
    <w:rsid w:val="2B560404"/>
    <w:rsid w:val="2B591CE7"/>
    <w:rsid w:val="2B6770E4"/>
    <w:rsid w:val="2B786611"/>
    <w:rsid w:val="2B7F223A"/>
    <w:rsid w:val="2B912EA4"/>
    <w:rsid w:val="2BA936A8"/>
    <w:rsid w:val="2BBE1B4A"/>
    <w:rsid w:val="2BC53D32"/>
    <w:rsid w:val="2BCB00DF"/>
    <w:rsid w:val="2BE04F9E"/>
    <w:rsid w:val="2BE27F2E"/>
    <w:rsid w:val="2BE36D50"/>
    <w:rsid w:val="2BEC66B7"/>
    <w:rsid w:val="2BFB2D9E"/>
    <w:rsid w:val="2C2422F5"/>
    <w:rsid w:val="2C29790B"/>
    <w:rsid w:val="2C315A5A"/>
    <w:rsid w:val="2C364EF6"/>
    <w:rsid w:val="2C46366C"/>
    <w:rsid w:val="2C4754C1"/>
    <w:rsid w:val="2C477D91"/>
    <w:rsid w:val="2C4B1C25"/>
    <w:rsid w:val="2C5A3F68"/>
    <w:rsid w:val="2C80730E"/>
    <w:rsid w:val="2C8617EF"/>
    <w:rsid w:val="2CBF458F"/>
    <w:rsid w:val="2CC17C4B"/>
    <w:rsid w:val="2CC75A9B"/>
    <w:rsid w:val="2CCB6AD8"/>
    <w:rsid w:val="2CEA623F"/>
    <w:rsid w:val="2D047A30"/>
    <w:rsid w:val="2D287BC3"/>
    <w:rsid w:val="2D30119A"/>
    <w:rsid w:val="2D4A0FCF"/>
    <w:rsid w:val="2D5C786C"/>
    <w:rsid w:val="2D6C0D7C"/>
    <w:rsid w:val="2D962D7E"/>
    <w:rsid w:val="2D9B4EB4"/>
    <w:rsid w:val="2D9E56F5"/>
    <w:rsid w:val="2DA1674D"/>
    <w:rsid w:val="2DB87198"/>
    <w:rsid w:val="2DD37B2E"/>
    <w:rsid w:val="2DF16206"/>
    <w:rsid w:val="2E014236"/>
    <w:rsid w:val="2E141EF5"/>
    <w:rsid w:val="2E24038A"/>
    <w:rsid w:val="2E2965DD"/>
    <w:rsid w:val="2E2E09AE"/>
    <w:rsid w:val="2E440A2C"/>
    <w:rsid w:val="2E60513A"/>
    <w:rsid w:val="2E6469D8"/>
    <w:rsid w:val="2E667F96"/>
    <w:rsid w:val="2E69421A"/>
    <w:rsid w:val="2E6E3CFB"/>
    <w:rsid w:val="2E76670C"/>
    <w:rsid w:val="2E8226AB"/>
    <w:rsid w:val="2E8E614B"/>
    <w:rsid w:val="2E914DCC"/>
    <w:rsid w:val="2E960B5C"/>
    <w:rsid w:val="2EA9088F"/>
    <w:rsid w:val="2EB73D3B"/>
    <w:rsid w:val="2EB91EB6"/>
    <w:rsid w:val="2EBE0273"/>
    <w:rsid w:val="2EDD5083"/>
    <w:rsid w:val="2EF712E8"/>
    <w:rsid w:val="2EF76A64"/>
    <w:rsid w:val="2EF97F40"/>
    <w:rsid w:val="2F0106CB"/>
    <w:rsid w:val="2F050FB6"/>
    <w:rsid w:val="2F0D3DD9"/>
    <w:rsid w:val="2F273027"/>
    <w:rsid w:val="2F2C0104"/>
    <w:rsid w:val="2F320B79"/>
    <w:rsid w:val="2F413EBE"/>
    <w:rsid w:val="2F4154E4"/>
    <w:rsid w:val="2F416D1A"/>
    <w:rsid w:val="2F527F64"/>
    <w:rsid w:val="2F6F1E64"/>
    <w:rsid w:val="2F8F217B"/>
    <w:rsid w:val="2F950B5C"/>
    <w:rsid w:val="2FA774C5"/>
    <w:rsid w:val="2FB35E69"/>
    <w:rsid w:val="2FD065E6"/>
    <w:rsid w:val="2FD73C79"/>
    <w:rsid w:val="2FD96870"/>
    <w:rsid w:val="2FDE4AAA"/>
    <w:rsid w:val="2FFB15BE"/>
    <w:rsid w:val="300706AB"/>
    <w:rsid w:val="300A3A13"/>
    <w:rsid w:val="301A5EE8"/>
    <w:rsid w:val="30246D65"/>
    <w:rsid w:val="303A20E7"/>
    <w:rsid w:val="303D7627"/>
    <w:rsid w:val="30515A9D"/>
    <w:rsid w:val="30567DCD"/>
    <w:rsid w:val="30580BC9"/>
    <w:rsid w:val="305D4027"/>
    <w:rsid w:val="30782EB1"/>
    <w:rsid w:val="3085056E"/>
    <w:rsid w:val="308A649E"/>
    <w:rsid w:val="308C0468"/>
    <w:rsid w:val="30A8101C"/>
    <w:rsid w:val="30AE3AAE"/>
    <w:rsid w:val="30B359F5"/>
    <w:rsid w:val="30C47C02"/>
    <w:rsid w:val="30DA743E"/>
    <w:rsid w:val="30DF2C8E"/>
    <w:rsid w:val="30FB6416"/>
    <w:rsid w:val="31177DF5"/>
    <w:rsid w:val="311E2ED7"/>
    <w:rsid w:val="313A113F"/>
    <w:rsid w:val="31442AF1"/>
    <w:rsid w:val="315619EE"/>
    <w:rsid w:val="315A0F54"/>
    <w:rsid w:val="315C449C"/>
    <w:rsid w:val="317F24AF"/>
    <w:rsid w:val="3195334D"/>
    <w:rsid w:val="319B6BB5"/>
    <w:rsid w:val="31A0508F"/>
    <w:rsid w:val="31A517E2"/>
    <w:rsid w:val="31AF0F87"/>
    <w:rsid w:val="31B5748C"/>
    <w:rsid w:val="31B82709"/>
    <w:rsid w:val="31BF6DEC"/>
    <w:rsid w:val="31BF7929"/>
    <w:rsid w:val="31C84FFD"/>
    <w:rsid w:val="31CB6D6E"/>
    <w:rsid w:val="31D05482"/>
    <w:rsid w:val="31D10829"/>
    <w:rsid w:val="31D21ED3"/>
    <w:rsid w:val="31F133B5"/>
    <w:rsid w:val="31F664E1"/>
    <w:rsid w:val="31FE5396"/>
    <w:rsid w:val="320209E2"/>
    <w:rsid w:val="320C1861"/>
    <w:rsid w:val="32192990"/>
    <w:rsid w:val="32244DFC"/>
    <w:rsid w:val="322C3CB1"/>
    <w:rsid w:val="322F554F"/>
    <w:rsid w:val="32400B34"/>
    <w:rsid w:val="32431B78"/>
    <w:rsid w:val="327B0795"/>
    <w:rsid w:val="328A2056"/>
    <w:rsid w:val="32942864"/>
    <w:rsid w:val="329E6876"/>
    <w:rsid w:val="32A8749F"/>
    <w:rsid w:val="32B32B85"/>
    <w:rsid w:val="32B37F2E"/>
    <w:rsid w:val="32E14A9C"/>
    <w:rsid w:val="32EE71B8"/>
    <w:rsid w:val="32FB3683"/>
    <w:rsid w:val="33114AAD"/>
    <w:rsid w:val="331F7E2B"/>
    <w:rsid w:val="333015F2"/>
    <w:rsid w:val="333948D8"/>
    <w:rsid w:val="333B55CC"/>
    <w:rsid w:val="3340497E"/>
    <w:rsid w:val="334B6320"/>
    <w:rsid w:val="334E5EA9"/>
    <w:rsid w:val="3350577D"/>
    <w:rsid w:val="33590AD6"/>
    <w:rsid w:val="335B711A"/>
    <w:rsid w:val="336D3602"/>
    <w:rsid w:val="33992DB8"/>
    <w:rsid w:val="33B72F85"/>
    <w:rsid w:val="33C3132F"/>
    <w:rsid w:val="33C87A09"/>
    <w:rsid w:val="33CB12A8"/>
    <w:rsid w:val="33CB5519"/>
    <w:rsid w:val="33D8257C"/>
    <w:rsid w:val="33D91C17"/>
    <w:rsid w:val="33D934D4"/>
    <w:rsid w:val="33F20F2A"/>
    <w:rsid w:val="33FE2F6A"/>
    <w:rsid w:val="340E07E5"/>
    <w:rsid w:val="341B5471"/>
    <w:rsid w:val="34235BF7"/>
    <w:rsid w:val="34362BC5"/>
    <w:rsid w:val="34384B8F"/>
    <w:rsid w:val="344352E2"/>
    <w:rsid w:val="3459059E"/>
    <w:rsid w:val="345E211C"/>
    <w:rsid w:val="34772FF0"/>
    <w:rsid w:val="34790D04"/>
    <w:rsid w:val="349618B6"/>
    <w:rsid w:val="349F1A1E"/>
    <w:rsid w:val="34C24459"/>
    <w:rsid w:val="34D348B8"/>
    <w:rsid w:val="34F24439"/>
    <w:rsid w:val="34F860CC"/>
    <w:rsid w:val="350332F6"/>
    <w:rsid w:val="351667B5"/>
    <w:rsid w:val="351A0CDF"/>
    <w:rsid w:val="3538471B"/>
    <w:rsid w:val="355F7EFA"/>
    <w:rsid w:val="356426E3"/>
    <w:rsid w:val="35690D78"/>
    <w:rsid w:val="35700D38"/>
    <w:rsid w:val="35773495"/>
    <w:rsid w:val="357A69D2"/>
    <w:rsid w:val="35847960"/>
    <w:rsid w:val="358C5FA8"/>
    <w:rsid w:val="359978AF"/>
    <w:rsid w:val="359A7184"/>
    <w:rsid w:val="359F29EC"/>
    <w:rsid w:val="35B8363B"/>
    <w:rsid w:val="35BA63B1"/>
    <w:rsid w:val="35BC5D36"/>
    <w:rsid w:val="35C15DF1"/>
    <w:rsid w:val="35C720CE"/>
    <w:rsid w:val="35DE00BD"/>
    <w:rsid w:val="35F66AB0"/>
    <w:rsid w:val="35F819BD"/>
    <w:rsid w:val="36074A7F"/>
    <w:rsid w:val="360B1E2F"/>
    <w:rsid w:val="361D34FF"/>
    <w:rsid w:val="364414B7"/>
    <w:rsid w:val="36452627"/>
    <w:rsid w:val="364F7F6E"/>
    <w:rsid w:val="36804DC1"/>
    <w:rsid w:val="368816D2"/>
    <w:rsid w:val="36923549"/>
    <w:rsid w:val="36932551"/>
    <w:rsid w:val="36963DEF"/>
    <w:rsid w:val="36A658FF"/>
    <w:rsid w:val="36AA01BB"/>
    <w:rsid w:val="36B75FBF"/>
    <w:rsid w:val="36BD0C45"/>
    <w:rsid w:val="36C1233B"/>
    <w:rsid w:val="36C66189"/>
    <w:rsid w:val="36C97D20"/>
    <w:rsid w:val="36DD37CC"/>
    <w:rsid w:val="36EF2223"/>
    <w:rsid w:val="36F9612C"/>
    <w:rsid w:val="370A1CBE"/>
    <w:rsid w:val="37164F30"/>
    <w:rsid w:val="371754F7"/>
    <w:rsid w:val="371B3D91"/>
    <w:rsid w:val="371F60C8"/>
    <w:rsid w:val="37256F21"/>
    <w:rsid w:val="373360C5"/>
    <w:rsid w:val="373F708B"/>
    <w:rsid w:val="3748151D"/>
    <w:rsid w:val="3772660A"/>
    <w:rsid w:val="37781747"/>
    <w:rsid w:val="377C1237"/>
    <w:rsid w:val="37890A3B"/>
    <w:rsid w:val="3789574D"/>
    <w:rsid w:val="378C0D4E"/>
    <w:rsid w:val="3796032D"/>
    <w:rsid w:val="379B16D9"/>
    <w:rsid w:val="37A20571"/>
    <w:rsid w:val="37D72911"/>
    <w:rsid w:val="37DC1CD5"/>
    <w:rsid w:val="37E00298"/>
    <w:rsid w:val="380B4282"/>
    <w:rsid w:val="3838395F"/>
    <w:rsid w:val="38563836"/>
    <w:rsid w:val="385B0E4C"/>
    <w:rsid w:val="38765C86"/>
    <w:rsid w:val="38850B1F"/>
    <w:rsid w:val="389205E6"/>
    <w:rsid w:val="389971FE"/>
    <w:rsid w:val="389A3D42"/>
    <w:rsid w:val="389F4DD5"/>
    <w:rsid w:val="38A96D1A"/>
    <w:rsid w:val="38B302F9"/>
    <w:rsid w:val="38B95B73"/>
    <w:rsid w:val="38C5491B"/>
    <w:rsid w:val="38EA0422"/>
    <w:rsid w:val="38F12CD3"/>
    <w:rsid w:val="38F94775"/>
    <w:rsid w:val="391C4200"/>
    <w:rsid w:val="39237490"/>
    <w:rsid w:val="392971ED"/>
    <w:rsid w:val="39325651"/>
    <w:rsid w:val="393873DF"/>
    <w:rsid w:val="3939368B"/>
    <w:rsid w:val="3942025E"/>
    <w:rsid w:val="394A0EC1"/>
    <w:rsid w:val="39691347"/>
    <w:rsid w:val="397A3554"/>
    <w:rsid w:val="397D4DF2"/>
    <w:rsid w:val="398306E1"/>
    <w:rsid w:val="39965BC1"/>
    <w:rsid w:val="399A59A4"/>
    <w:rsid w:val="39A02A01"/>
    <w:rsid w:val="39BD78E5"/>
    <w:rsid w:val="39C649EB"/>
    <w:rsid w:val="39D74E2F"/>
    <w:rsid w:val="39E906DA"/>
    <w:rsid w:val="3A0D261A"/>
    <w:rsid w:val="3A1B2499"/>
    <w:rsid w:val="3A236211"/>
    <w:rsid w:val="3A2846C7"/>
    <w:rsid w:val="3A5B7F6B"/>
    <w:rsid w:val="3A5C4B59"/>
    <w:rsid w:val="3A654204"/>
    <w:rsid w:val="3A716DDB"/>
    <w:rsid w:val="3A872856"/>
    <w:rsid w:val="3A983332"/>
    <w:rsid w:val="3AB24C7F"/>
    <w:rsid w:val="3AC3717D"/>
    <w:rsid w:val="3AD153F6"/>
    <w:rsid w:val="3ADE3FB6"/>
    <w:rsid w:val="3AE35129"/>
    <w:rsid w:val="3AEA7B3F"/>
    <w:rsid w:val="3AF630AE"/>
    <w:rsid w:val="3AFF5F0C"/>
    <w:rsid w:val="3B191D08"/>
    <w:rsid w:val="3B236212"/>
    <w:rsid w:val="3B3763D1"/>
    <w:rsid w:val="3B4172BD"/>
    <w:rsid w:val="3B457B92"/>
    <w:rsid w:val="3B482B60"/>
    <w:rsid w:val="3B547A58"/>
    <w:rsid w:val="3B85718B"/>
    <w:rsid w:val="3B96663F"/>
    <w:rsid w:val="3B9F54F4"/>
    <w:rsid w:val="3BA1126C"/>
    <w:rsid w:val="3BA90120"/>
    <w:rsid w:val="3BC907C3"/>
    <w:rsid w:val="3BD31641"/>
    <w:rsid w:val="3BE3111D"/>
    <w:rsid w:val="3BF07AFD"/>
    <w:rsid w:val="3BFA4E20"/>
    <w:rsid w:val="3C074630"/>
    <w:rsid w:val="3C2562FF"/>
    <w:rsid w:val="3C2F6E1E"/>
    <w:rsid w:val="3C4E2A76"/>
    <w:rsid w:val="3C4F64BA"/>
    <w:rsid w:val="3C6856AF"/>
    <w:rsid w:val="3C89753B"/>
    <w:rsid w:val="3C8C1F1C"/>
    <w:rsid w:val="3C9E0432"/>
    <w:rsid w:val="3C9F3137"/>
    <w:rsid w:val="3CA11C42"/>
    <w:rsid w:val="3CA1704A"/>
    <w:rsid w:val="3CA408E8"/>
    <w:rsid w:val="3CBD0375"/>
    <w:rsid w:val="3CC744BE"/>
    <w:rsid w:val="3CD45671"/>
    <w:rsid w:val="3CDA245A"/>
    <w:rsid w:val="3CDE204C"/>
    <w:rsid w:val="3CE82ECA"/>
    <w:rsid w:val="3CF17FD1"/>
    <w:rsid w:val="3CFF4228"/>
    <w:rsid w:val="3D031AB2"/>
    <w:rsid w:val="3D1E06B7"/>
    <w:rsid w:val="3D202664"/>
    <w:rsid w:val="3D2D6B2F"/>
    <w:rsid w:val="3D31661F"/>
    <w:rsid w:val="3D363C36"/>
    <w:rsid w:val="3D3659E4"/>
    <w:rsid w:val="3D3B56F0"/>
    <w:rsid w:val="3D590E2D"/>
    <w:rsid w:val="3D5C2E79"/>
    <w:rsid w:val="3D6D2722"/>
    <w:rsid w:val="3D6D517E"/>
    <w:rsid w:val="3D6F0EF6"/>
    <w:rsid w:val="3D747C71"/>
    <w:rsid w:val="3D891FB8"/>
    <w:rsid w:val="3D8A3F82"/>
    <w:rsid w:val="3DA45043"/>
    <w:rsid w:val="3DB14F5F"/>
    <w:rsid w:val="3DB8289D"/>
    <w:rsid w:val="3DBF00CF"/>
    <w:rsid w:val="3DD63A95"/>
    <w:rsid w:val="3DDA6CB7"/>
    <w:rsid w:val="3DE460B2"/>
    <w:rsid w:val="3E17509D"/>
    <w:rsid w:val="3E1806D7"/>
    <w:rsid w:val="3E1D6BA4"/>
    <w:rsid w:val="3E375EB7"/>
    <w:rsid w:val="3E3B4763"/>
    <w:rsid w:val="3E4A09EA"/>
    <w:rsid w:val="3E4F4D0A"/>
    <w:rsid w:val="3E584C2E"/>
    <w:rsid w:val="3E5A5D0D"/>
    <w:rsid w:val="3E732457"/>
    <w:rsid w:val="3E831EFD"/>
    <w:rsid w:val="3E987349"/>
    <w:rsid w:val="3EA303A3"/>
    <w:rsid w:val="3EAF0F5F"/>
    <w:rsid w:val="3EB92D70"/>
    <w:rsid w:val="3EBE2135"/>
    <w:rsid w:val="3EBE40A8"/>
    <w:rsid w:val="3EC139D3"/>
    <w:rsid w:val="3EC84D62"/>
    <w:rsid w:val="3ECC2AA4"/>
    <w:rsid w:val="3ED226FE"/>
    <w:rsid w:val="3EDA0523"/>
    <w:rsid w:val="3EE43DBA"/>
    <w:rsid w:val="3EE72BD5"/>
    <w:rsid w:val="3EFD787E"/>
    <w:rsid w:val="3F0205F3"/>
    <w:rsid w:val="3F1F2B73"/>
    <w:rsid w:val="3F3243E3"/>
    <w:rsid w:val="3F7E18C4"/>
    <w:rsid w:val="3F816941"/>
    <w:rsid w:val="3F8A6E94"/>
    <w:rsid w:val="3F9133A5"/>
    <w:rsid w:val="3F92209E"/>
    <w:rsid w:val="3F9D61EE"/>
    <w:rsid w:val="3FA667A1"/>
    <w:rsid w:val="3FA915D5"/>
    <w:rsid w:val="3FB92B0C"/>
    <w:rsid w:val="3FC0285B"/>
    <w:rsid w:val="3FD314D0"/>
    <w:rsid w:val="3FD87C0D"/>
    <w:rsid w:val="3FE71217"/>
    <w:rsid w:val="3FE91433"/>
    <w:rsid w:val="3FEE25A6"/>
    <w:rsid w:val="3FF539A1"/>
    <w:rsid w:val="3FF83425"/>
    <w:rsid w:val="404455B8"/>
    <w:rsid w:val="404E1296"/>
    <w:rsid w:val="40531957"/>
    <w:rsid w:val="40694322"/>
    <w:rsid w:val="407A6407"/>
    <w:rsid w:val="408903F2"/>
    <w:rsid w:val="40980764"/>
    <w:rsid w:val="40A11D0E"/>
    <w:rsid w:val="40C5433D"/>
    <w:rsid w:val="40C71F4C"/>
    <w:rsid w:val="40C814D7"/>
    <w:rsid w:val="40D20119"/>
    <w:rsid w:val="40DF3730"/>
    <w:rsid w:val="40E873A8"/>
    <w:rsid w:val="40EE0D48"/>
    <w:rsid w:val="40F872A9"/>
    <w:rsid w:val="40F903D3"/>
    <w:rsid w:val="41016309"/>
    <w:rsid w:val="41036525"/>
    <w:rsid w:val="41151DB4"/>
    <w:rsid w:val="412169AB"/>
    <w:rsid w:val="414D59F2"/>
    <w:rsid w:val="41520EE0"/>
    <w:rsid w:val="416B1261"/>
    <w:rsid w:val="41744BF7"/>
    <w:rsid w:val="418036D2"/>
    <w:rsid w:val="41A606D2"/>
    <w:rsid w:val="41AC2719"/>
    <w:rsid w:val="41B22DBF"/>
    <w:rsid w:val="41C8447D"/>
    <w:rsid w:val="41CA6E30"/>
    <w:rsid w:val="41EB0E29"/>
    <w:rsid w:val="4200449D"/>
    <w:rsid w:val="420A743F"/>
    <w:rsid w:val="420C2C86"/>
    <w:rsid w:val="42213106"/>
    <w:rsid w:val="422A6B5E"/>
    <w:rsid w:val="42354768"/>
    <w:rsid w:val="423A3BCC"/>
    <w:rsid w:val="424C0218"/>
    <w:rsid w:val="424E57D2"/>
    <w:rsid w:val="42530DE6"/>
    <w:rsid w:val="42537038"/>
    <w:rsid w:val="425970E3"/>
    <w:rsid w:val="426E5C20"/>
    <w:rsid w:val="427B1CFA"/>
    <w:rsid w:val="428E1783"/>
    <w:rsid w:val="428E1E1E"/>
    <w:rsid w:val="42905B96"/>
    <w:rsid w:val="429213AA"/>
    <w:rsid w:val="42980EEF"/>
    <w:rsid w:val="42A359F3"/>
    <w:rsid w:val="42A37D1B"/>
    <w:rsid w:val="42AF1B9E"/>
    <w:rsid w:val="42B26C49"/>
    <w:rsid w:val="42C2447E"/>
    <w:rsid w:val="42C56F23"/>
    <w:rsid w:val="42D31EB4"/>
    <w:rsid w:val="42D91672"/>
    <w:rsid w:val="42D9578F"/>
    <w:rsid w:val="42DD672F"/>
    <w:rsid w:val="42E41371"/>
    <w:rsid w:val="42E50189"/>
    <w:rsid w:val="42E631BF"/>
    <w:rsid w:val="42FF054F"/>
    <w:rsid w:val="43100A85"/>
    <w:rsid w:val="43221121"/>
    <w:rsid w:val="432730CF"/>
    <w:rsid w:val="432804C5"/>
    <w:rsid w:val="432B58BF"/>
    <w:rsid w:val="432D08B8"/>
    <w:rsid w:val="432D2FED"/>
    <w:rsid w:val="433A6FE6"/>
    <w:rsid w:val="43480868"/>
    <w:rsid w:val="4350713C"/>
    <w:rsid w:val="43544E16"/>
    <w:rsid w:val="436653E0"/>
    <w:rsid w:val="437234EE"/>
    <w:rsid w:val="43813731"/>
    <w:rsid w:val="438300DA"/>
    <w:rsid w:val="43C4431A"/>
    <w:rsid w:val="43CC0E50"/>
    <w:rsid w:val="43D65060"/>
    <w:rsid w:val="43FF72CD"/>
    <w:rsid w:val="440B5E1C"/>
    <w:rsid w:val="441478A9"/>
    <w:rsid w:val="44181AD6"/>
    <w:rsid w:val="442771C9"/>
    <w:rsid w:val="44366C11"/>
    <w:rsid w:val="44411F65"/>
    <w:rsid w:val="44623562"/>
    <w:rsid w:val="446A0749"/>
    <w:rsid w:val="446B4C06"/>
    <w:rsid w:val="446E1F07"/>
    <w:rsid w:val="44827761"/>
    <w:rsid w:val="4487121B"/>
    <w:rsid w:val="44890AEF"/>
    <w:rsid w:val="44AD1910"/>
    <w:rsid w:val="44AD6ED3"/>
    <w:rsid w:val="44B951CC"/>
    <w:rsid w:val="44CD14E0"/>
    <w:rsid w:val="44E562FC"/>
    <w:rsid w:val="44E87F0C"/>
    <w:rsid w:val="44EF6C22"/>
    <w:rsid w:val="44F20B0B"/>
    <w:rsid w:val="451C1963"/>
    <w:rsid w:val="452E5F4C"/>
    <w:rsid w:val="45592BB7"/>
    <w:rsid w:val="45612018"/>
    <w:rsid w:val="456349FB"/>
    <w:rsid w:val="45741821"/>
    <w:rsid w:val="457C2402"/>
    <w:rsid w:val="457F1EF2"/>
    <w:rsid w:val="457F278F"/>
    <w:rsid w:val="458946E9"/>
    <w:rsid w:val="45A047F3"/>
    <w:rsid w:val="45A47C0E"/>
    <w:rsid w:val="45D07EEB"/>
    <w:rsid w:val="45D73ADC"/>
    <w:rsid w:val="45EC6FB7"/>
    <w:rsid w:val="46101554"/>
    <w:rsid w:val="46160AA8"/>
    <w:rsid w:val="46163382"/>
    <w:rsid w:val="462D098F"/>
    <w:rsid w:val="463F7FFF"/>
    <w:rsid w:val="46577FD6"/>
    <w:rsid w:val="465D0485"/>
    <w:rsid w:val="46690BD8"/>
    <w:rsid w:val="467E55C6"/>
    <w:rsid w:val="467F2B8D"/>
    <w:rsid w:val="469F0A9E"/>
    <w:rsid w:val="46A14816"/>
    <w:rsid w:val="46CA68F3"/>
    <w:rsid w:val="46D955A7"/>
    <w:rsid w:val="46E12E64"/>
    <w:rsid w:val="46E44703"/>
    <w:rsid w:val="46E81785"/>
    <w:rsid w:val="46E872B9"/>
    <w:rsid w:val="46F54B62"/>
    <w:rsid w:val="46F63E43"/>
    <w:rsid w:val="46F81F5C"/>
    <w:rsid w:val="47133957"/>
    <w:rsid w:val="4714323A"/>
    <w:rsid w:val="472131DA"/>
    <w:rsid w:val="47460F19"/>
    <w:rsid w:val="474660D3"/>
    <w:rsid w:val="474927B8"/>
    <w:rsid w:val="474F48E6"/>
    <w:rsid w:val="47547AA1"/>
    <w:rsid w:val="4756750A"/>
    <w:rsid w:val="47574ED5"/>
    <w:rsid w:val="47592D38"/>
    <w:rsid w:val="476B4E24"/>
    <w:rsid w:val="47723ABC"/>
    <w:rsid w:val="4796000A"/>
    <w:rsid w:val="479779C7"/>
    <w:rsid w:val="479B1265"/>
    <w:rsid w:val="47A07E0C"/>
    <w:rsid w:val="47B70E1A"/>
    <w:rsid w:val="47B755C4"/>
    <w:rsid w:val="47C562E2"/>
    <w:rsid w:val="480A5C35"/>
    <w:rsid w:val="4813771E"/>
    <w:rsid w:val="481E3C44"/>
    <w:rsid w:val="48345216"/>
    <w:rsid w:val="4846779D"/>
    <w:rsid w:val="485767A3"/>
    <w:rsid w:val="486024AF"/>
    <w:rsid w:val="4870272E"/>
    <w:rsid w:val="488128A3"/>
    <w:rsid w:val="4884619D"/>
    <w:rsid w:val="48852A05"/>
    <w:rsid w:val="48886DE7"/>
    <w:rsid w:val="489B5295"/>
    <w:rsid w:val="48A26623"/>
    <w:rsid w:val="48AB197C"/>
    <w:rsid w:val="48E615C6"/>
    <w:rsid w:val="48F03BAE"/>
    <w:rsid w:val="48F52BF7"/>
    <w:rsid w:val="48F7696F"/>
    <w:rsid w:val="49316B2C"/>
    <w:rsid w:val="49374FBE"/>
    <w:rsid w:val="49412AAE"/>
    <w:rsid w:val="494C1DDA"/>
    <w:rsid w:val="495779F7"/>
    <w:rsid w:val="4965086D"/>
    <w:rsid w:val="49690103"/>
    <w:rsid w:val="497A30FC"/>
    <w:rsid w:val="497F6965"/>
    <w:rsid w:val="4987382F"/>
    <w:rsid w:val="499E2681"/>
    <w:rsid w:val="49A0638E"/>
    <w:rsid w:val="49A14B2D"/>
    <w:rsid w:val="49A3576B"/>
    <w:rsid w:val="49AD5280"/>
    <w:rsid w:val="49AE6DA3"/>
    <w:rsid w:val="49BE123B"/>
    <w:rsid w:val="49C37A5B"/>
    <w:rsid w:val="49D97E23"/>
    <w:rsid w:val="49DC7715"/>
    <w:rsid w:val="49DF014D"/>
    <w:rsid w:val="49E34AE8"/>
    <w:rsid w:val="49F93899"/>
    <w:rsid w:val="4A023139"/>
    <w:rsid w:val="4A17094B"/>
    <w:rsid w:val="4A227F17"/>
    <w:rsid w:val="4A3B6D2F"/>
    <w:rsid w:val="4A463ED2"/>
    <w:rsid w:val="4A6242BC"/>
    <w:rsid w:val="4A6A3171"/>
    <w:rsid w:val="4A6C513B"/>
    <w:rsid w:val="4A6F2C22"/>
    <w:rsid w:val="4A7B576F"/>
    <w:rsid w:val="4A824A7A"/>
    <w:rsid w:val="4A8A3A47"/>
    <w:rsid w:val="4A9622B1"/>
    <w:rsid w:val="4A9637F5"/>
    <w:rsid w:val="4AA03036"/>
    <w:rsid w:val="4ABA5EA6"/>
    <w:rsid w:val="4AEC1846"/>
    <w:rsid w:val="4AEC627C"/>
    <w:rsid w:val="4AF561A9"/>
    <w:rsid w:val="4AFB026D"/>
    <w:rsid w:val="4AFD7712"/>
    <w:rsid w:val="4B462EAD"/>
    <w:rsid w:val="4B4A6575"/>
    <w:rsid w:val="4B5005B9"/>
    <w:rsid w:val="4B58746D"/>
    <w:rsid w:val="4B5A4F93"/>
    <w:rsid w:val="4B600592"/>
    <w:rsid w:val="4B785046"/>
    <w:rsid w:val="4BB253E8"/>
    <w:rsid w:val="4BBC5C4E"/>
    <w:rsid w:val="4BF47196"/>
    <w:rsid w:val="4C035925"/>
    <w:rsid w:val="4C0A4C0B"/>
    <w:rsid w:val="4C124058"/>
    <w:rsid w:val="4C1930A0"/>
    <w:rsid w:val="4C216974"/>
    <w:rsid w:val="4C4A0649"/>
    <w:rsid w:val="4C4C6FD2"/>
    <w:rsid w:val="4C4D77DB"/>
    <w:rsid w:val="4C6B5B63"/>
    <w:rsid w:val="4C7E5ECA"/>
    <w:rsid w:val="4C876AA5"/>
    <w:rsid w:val="4CA94424"/>
    <w:rsid w:val="4CB422EA"/>
    <w:rsid w:val="4CC72AFC"/>
    <w:rsid w:val="4CEE654F"/>
    <w:rsid w:val="4CFE5DF2"/>
    <w:rsid w:val="4D0E00FB"/>
    <w:rsid w:val="4D176606"/>
    <w:rsid w:val="4D24083B"/>
    <w:rsid w:val="4D3C5586"/>
    <w:rsid w:val="4D5435B2"/>
    <w:rsid w:val="4D5D6FBD"/>
    <w:rsid w:val="4D61085B"/>
    <w:rsid w:val="4D6D36A4"/>
    <w:rsid w:val="4D700A9E"/>
    <w:rsid w:val="4D815E7D"/>
    <w:rsid w:val="4D8E53C8"/>
    <w:rsid w:val="4DA16EA9"/>
    <w:rsid w:val="4DAF69C7"/>
    <w:rsid w:val="4DDE65AB"/>
    <w:rsid w:val="4DE90850"/>
    <w:rsid w:val="4DEA4CF4"/>
    <w:rsid w:val="4DEC4FB0"/>
    <w:rsid w:val="4DF25957"/>
    <w:rsid w:val="4E075D8A"/>
    <w:rsid w:val="4E111C19"/>
    <w:rsid w:val="4E17716C"/>
    <w:rsid w:val="4E1C6E78"/>
    <w:rsid w:val="4E1D056D"/>
    <w:rsid w:val="4E3E4C3D"/>
    <w:rsid w:val="4E3E7B84"/>
    <w:rsid w:val="4E416D0F"/>
    <w:rsid w:val="4E4E3FE9"/>
    <w:rsid w:val="4E597784"/>
    <w:rsid w:val="4E5B15E2"/>
    <w:rsid w:val="4E5D4982"/>
    <w:rsid w:val="4E5F508E"/>
    <w:rsid w:val="4E6525CD"/>
    <w:rsid w:val="4E8F13F8"/>
    <w:rsid w:val="4E976D94"/>
    <w:rsid w:val="4EA84268"/>
    <w:rsid w:val="4EAF3848"/>
    <w:rsid w:val="4EC00FAD"/>
    <w:rsid w:val="4EC12FD1"/>
    <w:rsid w:val="4EC8490A"/>
    <w:rsid w:val="4EDB63EB"/>
    <w:rsid w:val="4EDE7C89"/>
    <w:rsid w:val="4EDF40E4"/>
    <w:rsid w:val="4EFB6A8D"/>
    <w:rsid w:val="4F0F01FF"/>
    <w:rsid w:val="4F2E29BF"/>
    <w:rsid w:val="4F310701"/>
    <w:rsid w:val="4F49045E"/>
    <w:rsid w:val="4F5148FF"/>
    <w:rsid w:val="4F5D4CF6"/>
    <w:rsid w:val="4F5D6D6A"/>
    <w:rsid w:val="4F652DEB"/>
    <w:rsid w:val="4F9843DC"/>
    <w:rsid w:val="4FB125C7"/>
    <w:rsid w:val="4FBD254D"/>
    <w:rsid w:val="4FC43323"/>
    <w:rsid w:val="4FC62A8C"/>
    <w:rsid w:val="4FC96B8B"/>
    <w:rsid w:val="4FCA0D1A"/>
    <w:rsid w:val="4FD01CC8"/>
    <w:rsid w:val="4FD03A76"/>
    <w:rsid w:val="4FE15140"/>
    <w:rsid w:val="4FE20F0D"/>
    <w:rsid w:val="4FE51552"/>
    <w:rsid w:val="4FE71560"/>
    <w:rsid w:val="4FEB08B0"/>
    <w:rsid w:val="4FED4628"/>
    <w:rsid w:val="4FEE214E"/>
    <w:rsid w:val="50056641"/>
    <w:rsid w:val="5019366F"/>
    <w:rsid w:val="5021649F"/>
    <w:rsid w:val="502A587C"/>
    <w:rsid w:val="503201EC"/>
    <w:rsid w:val="503C110B"/>
    <w:rsid w:val="50414974"/>
    <w:rsid w:val="504B7133"/>
    <w:rsid w:val="50504C4B"/>
    <w:rsid w:val="5061031C"/>
    <w:rsid w:val="506764D7"/>
    <w:rsid w:val="507344ED"/>
    <w:rsid w:val="509C4E92"/>
    <w:rsid w:val="509C6E7C"/>
    <w:rsid w:val="50B0449F"/>
    <w:rsid w:val="50B05655"/>
    <w:rsid w:val="50B5480F"/>
    <w:rsid w:val="50B909AE"/>
    <w:rsid w:val="50BB0282"/>
    <w:rsid w:val="50BC1F6A"/>
    <w:rsid w:val="50C15504"/>
    <w:rsid w:val="50C57353"/>
    <w:rsid w:val="50FE0AB7"/>
    <w:rsid w:val="51027BCB"/>
    <w:rsid w:val="51042AEA"/>
    <w:rsid w:val="511B6F73"/>
    <w:rsid w:val="513A1AEF"/>
    <w:rsid w:val="51553D69"/>
    <w:rsid w:val="515661FD"/>
    <w:rsid w:val="51585095"/>
    <w:rsid w:val="515D758B"/>
    <w:rsid w:val="515F3303"/>
    <w:rsid w:val="516052CE"/>
    <w:rsid w:val="5162104E"/>
    <w:rsid w:val="51644DBE"/>
    <w:rsid w:val="51806886"/>
    <w:rsid w:val="519758C5"/>
    <w:rsid w:val="51AE6C90"/>
    <w:rsid w:val="51B941A0"/>
    <w:rsid w:val="51EF61FF"/>
    <w:rsid w:val="51F24178"/>
    <w:rsid w:val="51F85506"/>
    <w:rsid w:val="520E11C2"/>
    <w:rsid w:val="52157FD7"/>
    <w:rsid w:val="5217598C"/>
    <w:rsid w:val="523A7F3A"/>
    <w:rsid w:val="526606C2"/>
    <w:rsid w:val="5272084F"/>
    <w:rsid w:val="528A2F29"/>
    <w:rsid w:val="52C84ED8"/>
    <w:rsid w:val="52D648AA"/>
    <w:rsid w:val="52E635B0"/>
    <w:rsid w:val="52FB554D"/>
    <w:rsid w:val="53056732"/>
    <w:rsid w:val="53242298"/>
    <w:rsid w:val="533360D0"/>
    <w:rsid w:val="533662E6"/>
    <w:rsid w:val="53407165"/>
    <w:rsid w:val="534704F3"/>
    <w:rsid w:val="53497FBD"/>
    <w:rsid w:val="534B1DEA"/>
    <w:rsid w:val="534D3630"/>
    <w:rsid w:val="53524FF5"/>
    <w:rsid w:val="5362643E"/>
    <w:rsid w:val="53670B95"/>
    <w:rsid w:val="538A04EC"/>
    <w:rsid w:val="538A06A8"/>
    <w:rsid w:val="53A039CC"/>
    <w:rsid w:val="53A1505A"/>
    <w:rsid w:val="53BE479C"/>
    <w:rsid w:val="53CC6C4A"/>
    <w:rsid w:val="53DA5B40"/>
    <w:rsid w:val="53E134FD"/>
    <w:rsid w:val="53E51A0A"/>
    <w:rsid w:val="53E540AF"/>
    <w:rsid w:val="53E75832"/>
    <w:rsid w:val="53E76DB8"/>
    <w:rsid w:val="54063E08"/>
    <w:rsid w:val="540D48A4"/>
    <w:rsid w:val="54240834"/>
    <w:rsid w:val="542B0A97"/>
    <w:rsid w:val="54325685"/>
    <w:rsid w:val="54332825"/>
    <w:rsid w:val="543437E8"/>
    <w:rsid w:val="544D0647"/>
    <w:rsid w:val="546C3D9F"/>
    <w:rsid w:val="549B2607"/>
    <w:rsid w:val="54A15A76"/>
    <w:rsid w:val="54A72BCC"/>
    <w:rsid w:val="54A9439E"/>
    <w:rsid w:val="54AE4379"/>
    <w:rsid w:val="54C627DB"/>
    <w:rsid w:val="54CE7ACD"/>
    <w:rsid w:val="54EB29E7"/>
    <w:rsid w:val="54EC5FAA"/>
    <w:rsid w:val="54F73313"/>
    <w:rsid w:val="54F80955"/>
    <w:rsid w:val="54F951CD"/>
    <w:rsid w:val="54FB1595"/>
    <w:rsid w:val="54FC3A06"/>
    <w:rsid w:val="55067F3A"/>
    <w:rsid w:val="551345E4"/>
    <w:rsid w:val="55172147"/>
    <w:rsid w:val="55197C6D"/>
    <w:rsid w:val="552836BF"/>
    <w:rsid w:val="552A69D9"/>
    <w:rsid w:val="552C647E"/>
    <w:rsid w:val="553C1136"/>
    <w:rsid w:val="554A342C"/>
    <w:rsid w:val="555170A7"/>
    <w:rsid w:val="55621614"/>
    <w:rsid w:val="556709D9"/>
    <w:rsid w:val="5587536D"/>
    <w:rsid w:val="559B174B"/>
    <w:rsid w:val="559B68D4"/>
    <w:rsid w:val="55A47859"/>
    <w:rsid w:val="55AD4C9B"/>
    <w:rsid w:val="55B338C0"/>
    <w:rsid w:val="55C73B6D"/>
    <w:rsid w:val="55CE0CF4"/>
    <w:rsid w:val="55DF0EB7"/>
    <w:rsid w:val="55EA33B8"/>
    <w:rsid w:val="56066443"/>
    <w:rsid w:val="56127EDE"/>
    <w:rsid w:val="561623FF"/>
    <w:rsid w:val="56282CA5"/>
    <w:rsid w:val="56340E1F"/>
    <w:rsid w:val="564064E3"/>
    <w:rsid w:val="564E6FDB"/>
    <w:rsid w:val="565A22EB"/>
    <w:rsid w:val="565D3B8A"/>
    <w:rsid w:val="565D3C77"/>
    <w:rsid w:val="56651413"/>
    <w:rsid w:val="56676F3E"/>
    <w:rsid w:val="5669447F"/>
    <w:rsid w:val="56701B0F"/>
    <w:rsid w:val="56803350"/>
    <w:rsid w:val="56811F6E"/>
    <w:rsid w:val="568D0913"/>
    <w:rsid w:val="56B16351"/>
    <w:rsid w:val="56B22A9C"/>
    <w:rsid w:val="56B66FFC"/>
    <w:rsid w:val="56C4102D"/>
    <w:rsid w:val="56CD51B3"/>
    <w:rsid w:val="56CD6F61"/>
    <w:rsid w:val="56D10874"/>
    <w:rsid w:val="56D71B8E"/>
    <w:rsid w:val="56DB1486"/>
    <w:rsid w:val="56F80041"/>
    <w:rsid w:val="56FD7687"/>
    <w:rsid w:val="572100B5"/>
    <w:rsid w:val="57234DD3"/>
    <w:rsid w:val="57411985"/>
    <w:rsid w:val="574447F3"/>
    <w:rsid w:val="57484341"/>
    <w:rsid w:val="574D5E77"/>
    <w:rsid w:val="575D6F09"/>
    <w:rsid w:val="57601B83"/>
    <w:rsid w:val="57672F12"/>
    <w:rsid w:val="57723665"/>
    <w:rsid w:val="57835872"/>
    <w:rsid w:val="5796670D"/>
    <w:rsid w:val="579830BB"/>
    <w:rsid w:val="57A2219C"/>
    <w:rsid w:val="57A37CC2"/>
    <w:rsid w:val="57A642DC"/>
    <w:rsid w:val="57B72A76"/>
    <w:rsid w:val="57B8376D"/>
    <w:rsid w:val="57BE4AFC"/>
    <w:rsid w:val="57C3426C"/>
    <w:rsid w:val="57CE1F93"/>
    <w:rsid w:val="57E0578A"/>
    <w:rsid w:val="57EE3E29"/>
    <w:rsid w:val="57FE25A3"/>
    <w:rsid w:val="580C0E10"/>
    <w:rsid w:val="584E1E12"/>
    <w:rsid w:val="58574381"/>
    <w:rsid w:val="58675FD8"/>
    <w:rsid w:val="587676F4"/>
    <w:rsid w:val="587A321E"/>
    <w:rsid w:val="5881342C"/>
    <w:rsid w:val="58831FCD"/>
    <w:rsid w:val="588743D1"/>
    <w:rsid w:val="5887701A"/>
    <w:rsid w:val="588D226A"/>
    <w:rsid w:val="5894563A"/>
    <w:rsid w:val="589A4377"/>
    <w:rsid w:val="58A56605"/>
    <w:rsid w:val="58A67A6A"/>
    <w:rsid w:val="58B8154B"/>
    <w:rsid w:val="58BD64F7"/>
    <w:rsid w:val="58BF0B2C"/>
    <w:rsid w:val="58C16652"/>
    <w:rsid w:val="58C6010C"/>
    <w:rsid w:val="59012EF2"/>
    <w:rsid w:val="590F3DB6"/>
    <w:rsid w:val="591250FF"/>
    <w:rsid w:val="593114BD"/>
    <w:rsid w:val="595377F5"/>
    <w:rsid w:val="595709F6"/>
    <w:rsid w:val="595E67F6"/>
    <w:rsid w:val="596811C3"/>
    <w:rsid w:val="59913AFB"/>
    <w:rsid w:val="599E4BE5"/>
    <w:rsid w:val="59AC1C99"/>
    <w:rsid w:val="59AD67EB"/>
    <w:rsid w:val="59B85CA7"/>
    <w:rsid w:val="59C02DAD"/>
    <w:rsid w:val="59C0439F"/>
    <w:rsid w:val="59CC52AE"/>
    <w:rsid w:val="59EA1BD8"/>
    <w:rsid w:val="5A0A4028"/>
    <w:rsid w:val="5A12107B"/>
    <w:rsid w:val="5A292701"/>
    <w:rsid w:val="5A386DE8"/>
    <w:rsid w:val="5A3966BC"/>
    <w:rsid w:val="5A3E5035"/>
    <w:rsid w:val="5A44578C"/>
    <w:rsid w:val="5A4A1F38"/>
    <w:rsid w:val="5A4B6B1B"/>
    <w:rsid w:val="5A56726E"/>
    <w:rsid w:val="5A6B7DC0"/>
    <w:rsid w:val="5A7B15A6"/>
    <w:rsid w:val="5A8939FF"/>
    <w:rsid w:val="5AA47FD9"/>
    <w:rsid w:val="5AB3646E"/>
    <w:rsid w:val="5ABC77A3"/>
    <w:rsid w:val="5ABE2233"/>
    <w:rsid w:val="5AC42429"/>
    <w:rsid w:val="5ACD70A1"/>
    <w:rsid w:val="5AEB38B4"/>
    <w:rsid w:val="5AF80325"/>
    <w:rsid w:val="5AF820D3"/>
    <w:rsid w:val="5AF96577"/>
    <w:rsid w:val="5B0942E0"/>
    <w:rsid w:val="5B097A2F"/>
    <w:rsid w:val="5B0F2246"/>
    <w:rsid w:val="5B0F4F89"/>
    <w:rsid w:val="5B24111A"/>
    <w:rsid w:val="5B28155D"/>
    <w:rsid w:val="5B3E5C09"/>
    <w:rsid w:val="5B433C96"/>
    <w:rsid w:val="5B642C1A"/>
    <w:rsid w:val="5B7C339D"/>
    <w:rsid w:val="5B8A3673"/>
    <w:rsid w:val="5B975D90"/>
    <w:rsid w:val="5BB364AB"/>
    <w:rsid w:val="5BC96B61"/>
    <w:rsid w:val="5BCB77E7"/>
    <w:rsid w:val="5BD448EE"/>
    <w:rsid w:val="5BDB5C7C"/>
    <w:rsid w:val="5BDF5D95"/>
    <w:rsid w:val="5BE014E5"/>
    <w:rsid w:val="5BE1267A"/>
    <w:rsid w:val="5BEF34D6"/>
    <w:rsid w:val="5BF50F77"/>
    <w:rsid w:val="5BFE7528"/>
    <w:rsid w:val="5C10335F"/>
    <w:rsid w:val="5C1209BB"/>
    <w:rsid w:val="5C2018E1"/>
    <w:rsid w:val="5C675762"/>
    <w:rsid w:val="5C6A0DAE"/>
    <w:rsid w:val="5C89392A"/>
    <w:rsid w:val="5CA72002"/>
    <w:rsid w:val="5CA95D7B"/>
    <w:rsid w:val="5CAF3D72"/>
    <w:rsid w:val="5CB309A7"/>
    <w:rsid w:val="5CC11316"/>
    <w:rsid w:val="5CC44740"/>
    <w:rsid w:val="5CCB24F6"/>
    <w:rsid w:val="5CCB7A9F"/>
    <w:rsid w:val="5CD32DF8"/>
    <w:rsid w:val="5CDA63B3"/>
    <w:rsid w:val="5CDD44DB"/>
    <w:rsid w:val="5CF05758"/>
    <w:rsid w:val="5CFB70FB"/>
    <w:rsid w:val="5D0869AB"/>
    <w:rsid w:val="5D186745"/>
    <w:rsid w:val="5D1A0A26"/>
    <w:rsid w:val="5D3C7F56"/>
    <w:rsid w:val="5D431D2B"/>
    <w:rsid w:val="5D554A27"/>
    <w:rsid w:val="5D6F6FB9"/>
    <w:rsid w:val="5D9407D9"/>
    <w:rsid w:val="5DA21E2E"/>
    <w:rsid w:val="5DC23523"/>
    <w:rsid w:val="5DCB1D21"/>
    <w:rsid w:val="5DDE2BCC"/>
    <w:rsid w:val="5DDE3856"/>
    <w:rsid w:val="5E000F98"/>
    <w:rsid w:val="5E006807"/>
    <w:rsid w:val="5E2467F1"/>
    <w:rsid w:val="5E345B18"/>
    <w:rsid w:val="5E3B790F"/>
    <w:rsid w:val="5E4368F2"/>
    <w:rsid w:val="5E5166CA"/>
    <w:rsid w:val="5E562187"/>
    <w:rsid w:val="5E646FD0"/>
    <w:rsid w:val="5E8709DA"/>
    <w:rsid w:val="5E9640DD"/>
    <w:rsid w:val="5E9E0FE8"/>
    <w:rsid w:val="5EB804F7"/>
    <w:rsid w:val="5EBC3BB2"/>
    <w:rsid w:val="5ECC46CF"/>
    <w:rsid w:val="5EE32689"/>
    <w:rsid w:val="5F04373C"/>
    <w:rsid w:val="5F076D88"/>
    <w:rsid w:val="5F1804F9"/>
    <w:rsid w:val="5F1A2B43"/>
    <w:rsid w:val="5F1A2F60"/>
    <w:rsid w:val="5F1B45DF"/>
    <w:rsid w:val="5F327371"/>
    <w:rsid w:val="5F49114F"/>
    <w:rsid w:val="5F526256"/>
    <w:rsid w:val="5F6534CE"/>
    <w:rsid w:val="5F7C1524"/>
    <w:rsid w:val="5F8F7DBC"/>
    <w:rsid w:val="5FB837BB"/>
    <w:rsid w:val="5FB962D5"/>
    <w:rsid w:val="5FC409D1"/>
    <w:rsid w:val="5FCB2EE0"/>
    <w:rsid w:val="5FDB169F"/>
    <w:rsid w:val="5FEB2206"/>
    <w:rsid w:val="5FEF1D21"/>
    <w:rsid w:val="5FF90DC7"/>
    <w:rsid w:val="5FFA069B"/>
    <w:rsid w:val="5FFB5117"/>
    <w:rsid w:val="5FFC4413"/>
    <w:rsid w:val="60001A61"/>
    <w:rsid w:val="600E119D"/>
    <w:rsid w:val="601242D9"/>
    <w:rsid w:val="60156DFC"/>
    <w:rsid w:val="601B6757"/>
    <w:rsid w:val="6028345A"/>
    <w:rsid w:val="602F59CF"/>
    <w:rsid w:val="60354FDB"/>
    <w:rsid w:val="603711B4"/>
    <w:rsid w:val="605B55DE"/>
    <w:rsid w:val="605C4EB2"/>
    <w:rsid w:val="606F4BE5"/>
    <w:rsid w:val="60AE1BB1"/>
    <w:rsid w:val="60BB7E2A"/>
    <w:rsid w:val="60C42578"/>
    <w:rsid w:val="60CC405A"/>
    <w:rsid w:val="60D40EEC"/>
    <w:rsid w:val="60DA0BF8"/>
    <w:rsid w:val="60DC5C61"/>
    <w:rsid w:val="60FB3D84"/>
    <w:rsid w:val="613025C6"/>
    <w:rsid w:val="61440AE5"/>
    <w:rsid w:val="61487D16"/>
    <w:rsid w:val="617D3332"/>
    <w:rsid w:val="6183303E"/>
    <w:rsid w:val="61870602"/>
    <w:rsid w:val="6192502F"/>
    <w:rsid w:val="61A134C4"/>
    <w:rsid w:val="61BC3E5A"/>
    <w:rsid w:val="61C40E25"/>
    <w:rsid w:val="61D05B58"/>
    <w:rsid w:val="61E215D8"/>
    <w:rsid w:val="61E672D0"/>
    <w:rsid w:val="61EC033F"/>
    <w:rsid w:val="61ED7543"/>
    <w:rsid w:val="61EF12F8"/>
    <w:rsid w:val="61F96E5C"/>
    <w:rsid w:val="6208709F"/>
    <w:rsid w:val="621B3775"/>
    <w:rsid w:val="622E0D81"/>
    <w:rsid w:val="62364782"/>
    <w:rsid w:val="624B3430"/>
    <w:rsid w:val="62587FA1"/>
    <w:rsid w:val="627604AD"/>
    <w:rsid w:val="628C3A9E"/>
    <w:rsid w:val="628F3B45"/>
    <w:rsid w:val="629B1027"/>
    <w:rsid w:val="62AC2121"/>
    <w:rsid w:val="62C63CF3"/>
    <w:rsid w:val="62CD28A7"/>
    <w:rsid w:val="62CE02E9"/>
    <w:rsid w:val="62CF5E0F"/>
    <w:rsid w:val="62EE2F77"/>
    <w:rsid w:val="62EE7C3D"/>
    <w:rsid w:val="62F84840"/>
    <w:rsid w:val="62FB5113"/>
    <w:rsid w:val="63165BB4"/>
    <w:rsid w:val="63185A08"/>
    <w:rsid w:val="631D301E"/>
    <w:rsid w:val="63266631"/>
    <w:rsid w:val="632D7990"/>
    <w:rsid w:val="63442359"/>
    <w:rsid w:val="634A401C"/>
    <w:rsid w:val="635C0964"/>
    <w:rsid w:val="635D05E9"/>
    <w:rsid w:val="637013A0"/>
    <w:rsid w:val="637C00C3"/>
    <w:rsid w:val="637C7D45"/>
    <w:rsid w:val="63864720"/>
    <w:rsid w:val="6394356A"/>
    <w:rsid w:val="63AA61CA"/>
    <w:rsid w:val="63C61B2C"/>
    <w:rsid w:val="63D062E3"/>
    <w:rsid w:val="63D40BE9"/>
    <w:rsid w:val="63F7386F"/>
    <w:rsid w:val="63FA510E"/>
    <w:rsid w:val="640E2967"/>
    <w:rsid w:val="64102431"/>
    <w:rsid w:val="641174AC"/>
    <w:rsid w:val="6415662B"/>
    <w:rsid w:val="64156F36"/>
    <w:rsid w:val="641E2BAA"/>
    <w:rsid w:val="643423CE"/>
    <w:rsid w:val="643915E8"/>
    <w:rsid w:val="644D7933"/>
    <w:rsid w:val="64760C38"/>
    <w:rsid w:val="647E7AED"/>
    <w:rsid w:val="64904349"/>
    <w:rsid w:val="649966D5"/>
    <w:rsid w:val="64A5243A"/>
    <w:rsid w:val="64A564CA"/>
    <w:rsid w:val="64C46584"/>
    <w:rsid w:val="64C574CA"/>
    <w:rsid w:val="64D140C0"/>
    <w:rsid w:val="64EA3882"/>
    <w:rsid w:val="64EC0EFA"/>
    <w:rsid w:val="64F531DE"/>
    <w:rsid w:val="65010EB1"/>
    <w:rsid w:val="65047169"/>
    <w:rsid w:val="651641C9"/>
    <w:rsid w:val="65373578"/>
    <w:rsid w:val="653814C2"/>
    <w:rsid w:val="65477B39"/>
    <w:rsid w:val="65510D5D"/>
    <w:rsid w:val="65660CAD"/>
    <w:rsid w:val="657C7D13"/>
    <w:rsid w:val="658263F0"/>
    <w:rsid w:val="65B35574"/>
    <w:rsid w:val="65BD536A"/>
    <w:rsid w:val="65C5250B"/>
    <w:rsid w:val="65E12554"/>
    <w:rsid w:val="65ED6210"/>
    <w:rsid w:val="65ED732E"/>
    <w:rsid w:val="65F66AC0"/>
    <w:rsid w:val="66042274"/>
    <w:rsid w:val="6624668D"/>
    <w:rsid w:val="662E24F6"/>
    <w:rsid w:val="66383CCB"/>
    <w:rsid w:val="663A059D"/>
    <w:rsid w:val="66494654"/>
    <w:rsid w:val="665714F9"/>
    <w:rsid w:val="666426BD"/>
    <w:rsid w:val="6665785F"/>
    <w:rsid w:val="66707909"/>
    <w:rsid w:val="6679056C"/>
    <w:rsid w:val="667E5B82"/>
    <w:rsid w:val="668F4233"/>
    <w:rsid w:val="66B23249"/>
    <w:rsid w:val="66BE586A"/>
    <w:rsid w:val="66BF65CC"/>
    <w:rsid w:val="66C33EDD"/>
    <w:rsid w:val="66C8029F"/>
    <w:rsid w:val="66CB796F"/>
    <w:rsid w:val="66D93700"/>
    <w:rsid w:val="66DC7A69"/>
    <w:rsid w:val="66E8749F"/>
    <w:rsid w:val="66E87571"/>
    <w:rsid w:val="66F432E4"/>
    <w:rsid w:val="66FA3C02"/>
    <w:rsid w:val="671F124A"/>
    <w:rsid w:val="67237C83"/>
    <w:rsid w:val="672C04DC"/>
    <w:rsid w:val="67401089"/>
    <w:rsid w:val="676A6106"/>
    <w:rsid w:val="676F3313"/>
    <w:rsid w:val="677156E7"/>
    <w:rsid w:val="677328F5"/>
    <w:rsid w:val="677A33C6"/>
    <w:rsid w:val="677F6056"/>
    <w:rsid w:val="67CE0D8B"/>
    <w:rsid w:val="67D272DD"/>
    <w:rsid w:val="67D74150"/>
    <w:rsid w:val="67DF722C"/>
    <w:rsid w:val="67E4487A"/>
    <w:rsid w:val="67F0485E"/>
    <w:rsid w:val="681F6961"/>
    <w:rsid w:val="682D7860"/>
    <w:rsid w:val="682E5386"/>
    <w:rsid w:val="685B03A4"/>
    <w:rsid w:val="68610A2F"/>
    <w:rsid w:val="686F7E78"/>
    <w:rsid w:val="68732B03"/>
    <w:rsid w:val="68761A0D"/>
    <w:rsid w:val="687731D1"/>
    <w:rsid w:val="687E0E08"/>
    <w:rsid w:val="68805514"/>
    <w:rsid w:val="689D33CA"/>
    <w:rsid w:val="68AA5354"/>
    <w:rsid w:val="68B028A1"/>
    <w:rsid w:val="68B22874"/>
    <w:rsid w:val="68B95597"/>
    <w:rsid w:val="68D0643D"/>
    <w:rsid w:val="68DE2553"/>
    <w:rsid w:val="68EF2D67"/>
    <w:rsid w:val="68F7426D"/>
    <w:rsid w:val="68FB170C"/>
    <w:rsid w:val="68FB795E"/>
    <w:rsid w:val="691B3B5C"/>
    <w:rsid w:val="69216C99"/>
    <w:rsid w:val="69265F8F"/>
    <w:rsid w:val="69316E2F"/>
    <w:rsid w:val="69342E70"/>
    <w:rsid w:val="69472BA3"/>
    <w:rsid w:val="694E2071"/>
    <w:rsid w:val="695D049F"/>
    <w:rsid w:val="695D2E61"/>
    <w:rsid w:val="695F03E3"/>
    <w:rsid w:val="69623539"/>
    <w:rsid w:val="69766163"/>
    <w:rsid w:val="69782D5D"/>
    <w:rsid w:val="697A3B33"/>
    <w:rsid w:val="69C75B1C"/>
    <w:rsid w:val="69C81069"/>
    <w:rsid w:val="69CB22CB"/>
    <w:rsid w:val="69D44760"/>
    <w:rsid w:val="69D61D08"/>
    <w:rsid w:val="69DA57C5"/>
    <w:rsid w:val="69EA352F"/>
    <w:rsid w:val="69F148BD"/>
    <w:rsid w:val="69FF522C"/>
    <w:rsid w:val="6A2151A2"/>
    <w:rsid w:val="6A3253CB"/>
    <w:rsid w:val="6A365779"/>
    <w:rsid w:val="6A413A96"/>
    <w:rsid w:val="6A4168F5"/>
    <w:rsid w:val="6A520EC7"/>
    <w:rsid w:val="6A575068"/>
    <w:rsid w:val="6A5D4642"/>
    <w:rsid w:val="6A9E6C19"/>
    <w:rsid w:val="6A9F07BD"/>
    <w:rsid w:val="6AA14535"/>
    <w:rsid w:val="6AAB53B4"/>
    <w:rsid w:val="6AB4102B"/>
    <w:rsid w:val="6AB44268"/>
    <w:rsid w:val="6AB942FB"/>
    <w:rsid w:val="6ABE5CA8"/>
    <w:rsid w:val="6ACD448A"/>
    <w:rsid w:val="6AEB65F5"/>
    <w:rsid w:val="6AF64881"/>
    <w:rsid w:val="6AF87E20"/>
    <w:rsid w:val="6AFE1987"/>
    <w:rsid w:val="6B0B19AE"/>
    <w:rsid w:val="6B105217"/>
    <w:rsid w:val="6B2037BE"/>
    <w:rsid w:val="6B2C2051"/>
    <w:rsid w:val="6B322639"/>
    <w:rsid w:val="6B421874"/>
    <w:rsid w:val="6B44367A"/>
    <w:rsid w:val="6B446DAC"/>
    <w:rsid w:val="6B463F47"/>
    <w:rsid w:val="6B4A059F"/>
    <w:rsid w:val="6B557611"/>
    <w:rsid w:val="6B5826D1"/>
    <w:rsid w:val="6B59096C"/>
    <w:rsid w:val="6B593626"/>
    <w:rsid w:val="6B736EEE"/>
    <w:rsid w:val="6B775BFA"/>
    <w:rsid w:val="6B7C5FA3"/>
    <w:rsid w:val="6B8E030F"/>
    <w:rsid w:val="6BC93D43"/>
    <w:rsid w:val="6BE97F42"/>
    <w:rsid w:val="6BF47398"/>
    <w:rsid w:val="6BFE7948"/>
    <w:rsid w:val="6C0015B8"/>
    <w:rsid w:val="6C0F6D7D"/>
    <w:rsid w:val="6C134FBF"/>
    <w:rsid w:val="6C2C6080"/>
    <w:rsid w:val="6C376EFF"/>
    <w:rsid w:val="6C506E64"/>
    <w:rsid w:val="6C561005"/>
    <w:rsid w:val="6C5850C7"/>
    <w:rsid w:val="6C636C38"/>
    <w:rsid w:val="6C670B81"/>
    <w:rsid w:val="6C6765F4"/>
    <w:rsid w:val="6C6E41C8"/>
    <w:rsid w:val="6C7041BF"/>
    <w:rsid w:val="6C7A503E"/>
    <w:rsid w:val="6C983716"/>
    <w:rsid w:val="6C9C7102"/>
    <w:rsid w:val="6CB5251A"/>
    <w:rsid w:val="6CFE4664"/>
    <w:rsid w:val="6D027F1B"/>
    <w:rsid w:val="6D0464C0"/>
    <w:rsid w:val="6D056073"/>
    <w:rsid w:val="6D164864"/>
    <w:rsid w:val="6D1B4778"/>
    <w:rsid w:val="6D242106"/>
    <w:rsid w:val="6D325918"/>
    <w:rsid w:val="6D4F0278"/>
    <w:rsid w:val="6D54588F"/>
    <w:rsid w:val="6D5C4C92"/>
    <w:rsid w:val="6D7D18C2"/>
    <w:rsid w:val="6D8332DD"/>
    <w:rsid w:val="6DAD0311"/>
    <w:rsid w:val="6DB34098"/>
    <w:rsid w:val="6DB545B6"/>
    <w:rsid w:val="6DC742B3"/>
    <w:rsid w:val="6DDE5F54"/>
    <w:rsid w:val="6DE02FB4"/>
    <w:rsid w:val="6DE035C6"/>
    <w:rsid w:val="6DEC3D19"/>
    <w:rsid w:val="6DFF75FB"/>
    <w:rsid w:val="6E032E11"/>
    <w:rsid w:val="6E0F17B6"/>
    <w:rsid w:val="6E11552E"/>
    <w:rsid w:val="6E121FBA"/>
    <w:rsid w:val="6E1A6AD8"/>
    <w:rsid w:val="6E296D1B"/>
    <w:rsid w:val="6E443B55"/>
    <w:rsid w:val="6E514CED"/>
    <w:rsid w:val="6E715748"/>
    <w:rsid w:val="6E8E1355"/>
    <w:rsid w:val="6E91041D"/>
    <w:rsid w:val="6EA734B9"/>
    <w:rsid w:val="6EA851ED"/>
    <w:rsid w:val="6EB563D5"/>
    <w:rsid w:val="6ED722D3"/>
    <w:rsid w:val="6ED92677"/>
    <w:rsid w:val="6EF77316"/>
    <w:rsid w:val="6F0911A6"/>
    <w:rsid w:val="6F2249A2"/>
    <w:rsid w:val="6F225983"/>
    <w:rsid w:val="6F2A2D4B"/>
    <w:rsid w:val="6F2E3E0A"/>
    <w:rsid w:val="6F3038A1"/>
    <w:rsid w:val="6F40431D"/>
    <w:rsid w:val="6F4656AB"/>
    <w:rsid w:val="6F4B3C83"/>
    <w:rsid w:val="6F506FA1"/>
    <w:rsid w:val="6F6C3363"/>
    <w:rsid w:val="6F8A3237"/>
    <w:rsid w:val="6F8A37EA"/>
    <w:rsid w:val="6F914B78"/>
    <w:rsid w:val="6FB1521A"/>
    <w:rsid w:val="6FC36C48"/>
    <w:rsid w:val="6FC765C9"/>
    <w:rsid w:val="6FED3D79"/>
    <w:rsid w:val="6FEF46E5"/>
    <w:rsid w:val="6FF11ABB"/>
    <w:rsid w:val="6FFC5590"/>
    <w:rsid w:val="6FFE3530"/>
    <w:rsid w:val="701D01BA"/>
    <w:rsid w:val="70280A53"/>
    <w:rsid w:val="70334951"/>
    <w:rsid w:val="70455963"/>
    <w:rsid w:val="705A0651"/>
    <w:rsid w:val="70604B6C"/>
    <w:rsid w:val="706D1DD0"/>
    <w:rsid w:val="70856B87"/>
    <w:rsid w:val="709C6FFD"/>
    <w:rsid w:val="709D1212"/>
    <w:rsid w:val="70A34D64"/>
    <w:rsid w:val="70B00196"/>
    <w:rsid w:val="70BB3D49"/>
    <w:rsid w:val="70CB230C"/>
    <w:rsid w:val="70CD5C84"/>
    <w:rsid w:val="70D07E82"/>
    <w:rsid w:val="70D527EE"/>
    <w:rsid w:val="70E003DD"/>
    <w:rsid w:val="70F57389"/>
    <w:rsid w:val="710D6480"/>
    <w:rsid w:val="71194D77"/>
    <w:rsid w:val="711F7F62"/>
    <w:rsid w:val="714A2A0F"/>
    <w:rsid w:val="715B5300"/>
    <w:rsid w:val="71612D83"/>
    <w:rsid w:val="718F158B"/>
    <w:rsid w:val="71B463D5"/>
    <w:rsid w:val="71C26CCD"/>
    <w:rsid w:val="71CA575D"/>
    <w:rsid w:val="71D27892"/>
    <w:rsid w:val="71D27F8A"/>
    <w:rsid w:val="71D61496"/>
    <w:rsid w:val="71DC5E53"/>
    <w:rsid w:val="71E116BB"/>
    <w:rsid w:val="7240162F"/>
    <w:rsid w:val="724A6301"/>
    <w:rsid w:val="724A7260"/>
    <w:rsid w:val="725105EF"/>
    <w:rsid w:val="725325B9"/>
    <w:rsid w:val="72553024"/>
    <w:rsid w:val="72AA13AB"/>
    <w:rsid w:val="72AA7C53"/>
    <w:rsid w:val="72AC1CC9"/>
    <w:rsid w:val="72C60FDD"/>
    <w:rsid w:val="72C62D8B"/>
    <w:rsid w:val="72E34943"/>
    <w:rsid w:val="72FD2525"/>
    <w:rsid w:val="73122968"/>
    <w:rsid w:val="731F5D5E"/>
    <w:rsid w:val="73212BB1"/>
    <w:rsid w:val="732B52E4"/>
    <w:rsid w:val="732E3316"/>
    <w:rsid w:val="7330511B"/>
    <w:rsid w:val="733F2189"/>
    <w:rsid w:val="734939BC"/>
    <w:rsid w:val="735465E8"/>
    <w:rsid w:val="737F5A99"/>
    <w:rsid w:val="7386251A"/>
    <w:rsid w:val="738A2EF6"/>
    <w:rsid w:val="738B5376"/>
    <w:rsid w:val="73905147"/>
    <w:rsid w:val="7395275D"/>
    <w:rsid w:val="739F35DC"/>
    <w:rsid w:val="73C51AD5"/>
    <w:rsid w:val="73CE0682"/>
    <w:rsid w:val="73CF2113"/>
    <w:rsid w:val="73D410DF"/>
    <w:rsid w:val="73D90F2E"/>
    <w:rsid w:val="73E800A1"/>
    <w:rsid w:val="73E8779A"/>
    <w:rsid w:val="7408721A"/>
    <w:rsid w:val="74100FDC"/>
    <w:rsid w:val="741E793C"/>
    <w:rsid w:val="742E59AC"/>
    <w:rsid w:val="74407F2A"/>
    <w:rsid w:val="744B14B2"/>
    <w:rsid w:val="7457144B"/>
    <w:rsid w:val="745E3944"/>
    <w:rsid w:val="74623EF6"/>
    <w:rsid w:val="7485094A"/>
    <w:rsid w:val="749A38A6"/>
    <w:rsid w:val="749B3DDB"/>
    <w:rsid w:val="74A92964"/>
    <w:rsid w:val="74AA1E8D"/>
    <w:rsid w:val="74B11819"/>
    <w:rsid w:val="74BD7DF0"/>
    <w:rsid w:val="74C1307D"/>
    <w:rsid w:val="74DA2B1D"/>
    <w:rsid w:val="750620B7"/>
    <w:rsid w:val="751B63B1"/>
    <w:rsid w:val="752B093A"/>
    <w:rsid w:val="7544443B"/>
    <w:rsid w:val="7545748A"/>
    <w:rsid w:val="75561A9A"/>
    <w:rsid w:val="755A3C5E"/>
    <w:rsid w:val="7564688B"/>
    <w:rsid w:val="757765BE"/>
    <w:rsid w:val="759A405B"/>
    <w:rsid w:val="75A924F0"/>
    <w:rsid w:val="75BC66C7"/>
    <w:rsid w:val="75BF724F"/>
    <w:rsid w:val="75C224EA"/>
    <w:rsid w:val="75C51BBC"/>
    <w:rsid w:val="75CD609C"/>
    <w:rsid w:val="75D02172"/>
    <w:rsid w:val="75D21A46"/>
    <w:rsid w:val="75D73501"/>
    <w:rsid w:val="75E13F77"/>
    <w:rsid w:val="75E142DD"/>
    <w:rsid w:val="75E56E03"/>
    <w:rsid w:val="75F541BA"/>
    <w:rsid w:val="7635099D"/>
    <w:rsid w:val="7664072E"/>
    <w:rsid w:val="766A7ED1"/>
    <w:rsid w:val="76876CD5"/>
    <w:rsid w:val="768F5B89"/>
    <w:rsid w:val="76A258BD"/>
    <w:rsid w:val="76AC673B"/>
    <w:rsid w:val="76BA03D5"/>
    <w:rsid w:val="76D07E4B"/>
    <w:rsid w:val="76DA5057"/>
    <w:rsid w:val="76F8372F"/>
    <w:rsid w:val="77073972"/>
    <w:rsid w:val="77106CCA"/>
    <w:rsid w:val="7718792D"/>
    <w:rsid w:val="771B6ECB"/>
    <w:rsid w:val="771D2A91"/>
    <w:rsid w:val="77204A34"/>
    <w:rsid w:val="772938E8"/>
    <w:rsid w:val="772B6B59"/>
    <w:rsid w:val="772E7150"/>
    <w:rsid w:val="77422C1F"/>
    <w:rsid w:val="774626EC"/>
    <w:rsid w:val="77534E09"/>
    <w:rsid w:val="77560455"/>
    <w:rsid w:val="775C443F"/>
    <w:rsid w:val="775E03AB"/>
    <w:rsid w:val="77642B72"/>
    <w:rsid w:val="77762421"/>
    <w:rsid w:val="7786611A"/>
    <w:rsid w:val="77A85155"/>
    <w:rsid w:val="77B56B1F"/>
    <w:rsid w:val="77BB092B"/>
    <w:rsid w:val="77CA6784"/>
    <w:rsid w:val="77CF7280"/>
    <w:rsid w:val="77D73344"/>
    <w:rsid w:val="77F24622"/>
    <w:rsid w:val="78080814"/>
    <w:rsid w:val="780879A1"/>
    <w:rsid w:val="780F09F4"/>
    <w:rsid w:val="78364837"/>
    <w:rsid w:val="783B6E3B"/>
    <w:rsid w:val="7848280D"/>
    <w:rsid w:val="78542DFD"/>
    <w:rsid w:val="785D300F"/>
    <w:rsid w:val="787E7C64"/>
    <w:rsid w:val="7892370F"/>
    <w:rsid w:val="78986B50"/>
    <w:rsid w:val="78A90480"/>
    <w:rsid w:val="78B52607"/>
    <w:rsid w:val="78CE0BEB"/>
    <w:rsid w:val="78D51D24"/>
    <w:rsid w:val="78EE4372"/>
    <w:rsid w:val="79065A72"/>
    <w:rsid w:val="790E0FE8"/>
    <w:rsid w:val="79160454"/>
    <w:rsid w:val="792F0F5E"/>
    <w:rsid w:val="7939354E"/>
    <w:rsid w:val="793A1DDD"/>
    <w:rsid w:val="798B088A"/>
    <w:rsid w:val="79B06543"/>
    <w:rsid w:val="79CC6986"/>
    <w:rsid w:val="79CE2225"/>
    <w:rsid w:val="79D264B9"/>
    <w:rsid w:val="79D471D1"/>
    <w:rsid w:val="79DF0D7A"/>
    <w:rsid w:val="79E63D12"/>
    <w:rsid w:val="79E65AC0"/>
    <w:rsid w:val="79E85CDC"/>
    <w:rsid w:val="79ED7EF9"/>
    <w:rsid w:val="79FC7092"/>
    <w:rsid w:val="7A097A01"/>
    <w:rsid w:val="7A150154"/>
    <w:rsid w:val="7A173ECC"/>
    <w:rsid w:val="7A18249D"/>
    <w:rsid w:val="7A2D1FFE"/>
    <w:rsid w:val="7A320D06"/>
    <w:rsid w:val="7A364017"/>
    <w:rsid w:val="7A3E00FB"/>
    <w:rsid w:val="7A5C3FD5"/>
    <w:rsid w:val="7A5F362F"/>
    <w:rsid w:val="7A781626"/>
    <w:rsid w:val="7A7E52AE"/>
    <w:rsid w:val="7A8265E1"/>
    <w:rsid w:val="7A8A28F0"/>
    <w:rsid w:val="7AA4179C"/>
    <w:rsid w:val="7AC53928"/>
    <w:rsid w:val="7AC878BC"/>
    <w:rsid w:val="7ADA60F7"/>
    <w:rsid w:val="7AE446F6"/>
    <w:rsid w:val="7AE533A0"/>
    <w:rsid w:val="7AFA34D6"/>
    <w:rsid w:val="7AFB2F8D"/>
    <w:rsid w:val="7B034450"/>
    <w:rsid w:val="7B25086A"/>
    <w:rsid w:val="7B267B3F"/>
    <w:rsid w:val="7B452CBB"/>
    <w:rsid w:val="7B5023AB"/>
    <w:rsid w:val="7B686D42"/>
    <w:rsid w:val="7B7D4202"/>
    <w:rsid w:val="7B810197"/>
    <w:rsid w:val="7B841746"/>
    <w:rsid w:val="7B9A4DB4"/>
    <w:rsid w:val="7BA21EBB"/>
    <w:rsid w:val="7BAA6108"/>
    <w:rsid w:val="7BC10C4E"/>
    <w:rsid w:val="7BC82F05"/>
    <w:rsid w:val="7BDF5A57"/>
    <w:rsid w:val="7BE2675B"/>
    <w:rsid w:val="7BF32717"/>
    <w:rsid w:val="7BFE6DB9"/>
    <w:rsid w:val="7BFF546A"/>
    <w:rsid w:val="7C223EFD"/>
    <w:rsid w:val="7C510EFD"/>
    <w:rsid w:val="7C555DE3"/>
    <w:rsid w:val="7C5A19B8"/>
    <w:rsid w:val="7C5C02BC"/>
    <w:rsid w:val="7C5E2286"/>
    <w:rsid w:val="7C694787"/>
    <w:rsid w:val="7C6B6751"/>
    <w:rsid w:val="7C6C5AC7"/>
    <w:rsid w:val="7C84498C"/>
    <w:rsid w:val="7C896BD7"/>
    <w:rsid w:val="7CA97FA9"/>
    <w:rsid w:val="7CAB299F"/>
    <w:rsid w:val="7CAF6246"/>
    <w:rsid w:val="7CB73744"/>
    <w:rsid w:val="7CBE4AD3"/>
    <w:rsid w:val="7CC272E3"/>
    <w:rsid w:val="7CC6544B"/>
    <w:rsid w:val="7CC71EE1"/>
    <w:rsid w:val="7CC96752"/>
    <w:rsid w:val="7CCC3693"/>
    <w:rsid w:val="7CD12A78"/>
    <w:rsid w:val="7CD9227E"/>
    <w:rsid w:val="7CE502B1"/>
    <w:rsid w:val="7CEA3B1A"/>
    <w:rsid w:val="7CEA58C8"/>
    <w:rsid w:val="7CF8114B"/>
    <w:rsid w:val="7CFD384D"/>
    <w:rsid w:val="7D0239FF"/>
    <w:rsid w:val="7D0F532E"/>
    <w:rsid w:val="7D1D5C9D"/>
    <w:rsid w:val="7D405E05"/>
    <w:rsid w:val="7D407BB5"/>
    <w:rsid w:val="7D5E40CD"/>
    <w:rsid w:val="7D625DA6"/>
    <w:rsid w:val="7D6733BC"/>
    <w:rsid w:val="7D831878"/>
    <w:rsid w:val="7D913074"/>
    <w:rsid w:val="7DB732B9"/>
    <w:rsid w:val="7DC022D8"/>
    <w:rsid w:val="7DC223A1"/>
    <w:rsid w:val="7DCD3947"/>
    <w:rsid w:val="7DCD56F2"/>
    <w:rsid w:val="7DE247F1"/>
    <w:rsid w:val="7E0806FB"/>
    <w:rsid w:val="7E1370A0"/>
    <w:rsid w:val="7E1D1CCD"/>
    <w:rsid w:val="7E250782"/>
    <w:rsid w:val="7E374B3D"/>
    <w:rsid w:val="7E4B1FC6"/>
    <w:rsid w:val="7E7B73BA"/>
    <w:rsid w:val="7E7F11B5"/>
    <w:rsid w:val="7EA1732E"/>
    <w:rsid w:val="7EB77A2B"/>
    <w:rsid w:val="7EC87E8B"/>
    <w:rsid w:val="7EFC5D86"/>
    <w:rsid w:val="7F001CE7"/>
    <w:rsid w:val="7F016A05"/>
    <w:rsid w:val="7F0F1923"/>
    <w:rsid w:val="7F17671C"/>
    <w:rsid w:val="7F1B7FBA"/>
    <w:rsid w:val="7F452CDB"/>
    <w:rsid w:val="7F4F235A"/>
    <w:rsid w:val="7F517E80"/>
    <w:rsid w:val="7F5776D4"/>
    <w:rsid w:val="7F605312"/>
    <w:rsid w:val="7F714AA4"/>
    <w:rsid w:val="7F74591C"/>
    <w:rsid w:val="7F7872D3"/>
    <w:rsid w:val="7F791185"/>
    <w:rsid w:val="7F7E49ED"/>
    <w:rsid w:val="7F852E05"/>
    <w:rsid w:val="7F9B4879"/>
    <w:rsid w:val="7FB126CD"/>
    <w:rsid w:val="7FCE327F"/>
    <w:rsid w:val="7FE449C9"/>
    <w:rsid w:val="7FE47E50"/>
    <w:rsid w:val="7FFB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semiHidden="0" w:name="heading 3" w:locked="1"/>
    <w:lsdException w:qFormat="1" w:unhideWhenUsed="0" w:uiPriority="9"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ocked="1"/>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ocked="1"/>
    <w:lsdException w:qFormat="1" w:uiPriority="0" w:name="caption"/>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sdException w:unhideWhenUsed="0" w:uiPriority="0" w:semiHidden="0" w:name="Body Text First Indent"/>
    <w:lsdException w:unhideWhenUsed="0" w:uiPriority="0" w:semiHidden="0" w:name="Body Text First Indent 2" w:locked="1"/>
    <w:lsdException w:qFormat="1" w:unhideWhenUsed="0" w:uiPriority="99" w:semiHidden="0" w:name="Note Heading"/>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locked/>
    <w:uiPriority w:val="99"/>
    <w:pPr>
      <w:keepNext/>
      <w:numPr>
        <w:ilvl w:val="0"/>
        <w:numId w:val="1"/>
      </w:numPr>
      <w:overflowPunct w:val="0"/>
      <w:snapToGrid w:val="0"/>
      <w:spacing w:before="120" w:after="160" w:line="260" w:lineRule="auto"/>
      <w:jc w:val="center"/>
      <w:outlineLvl w:val="0"/>
    </w:pPr>
    <w:rPr>
      <w:rFonts w:eastAsia="黑体"/>
      <w:bCs/>
      <w:color w:val="000000"/>
      <w:kern w:val="44"/>
      <w:sz w:val="30"/>
      <w:szCs w:val="30"/>
    </w:rPr>
  </w:style>
  <w:style w:type="paragraph" w:styleId="4">
    <w:name w:val="heading 2"/>
    <w:basedOn w:val="1"/>
    <w:next w:val="1"/>
    <w:link w:val="36"/>
    <w:qFormat/>
    <w:locked/>
    <w:uiPriority w:val="0"/>
    <w:pPr>
      <w:numPr>
        <w:ilvl w:val="1"/>
        <w:numId w:val="1"/>
      </w:numPr>
      <w:tabs>
        <w:tab w:val="left" w:pos="0"/>
        <w:tab w:val="clear" w:pos="420"/>
      </w:tabs>
      <w:spacing w:line="360" w:lineRule="auto"/>
      <w:outlineLvl w:val="1"/>
    </w:pPr>
    <w:rPr>
      <w:b/>
      <w:bCs/>
      <w:sz w:val="28"/>
      <w:szCs w:val="28"/>
    </w:rPr>
  </w:style>
  <w:style w:type="paragraph" w:styleId="5">
    <w:name w:val="heading 3"/>
    <w:basedOn w:val="6"/>
    <w:next w:val="1"/>
    <w:link w:val="34"/>
    <w:unhideWhenUsed/>
    <w:qFormat/>
    <w:locked/>
    <w:uiPriority w:val="0"/>
    <w:pPr>
      <w:keepNext/>
      <w:keepLines/>
      <w:numPr>
        <w:ilvl w:val="2"/>
        <w:numId w:val="1"/>
      </w:numPr>
      <w:spacing w:line="360" w:lineRule="auto"/>
      <w:ind w:left="0" w:firstLine="0"/>
      <w:outlineLvl w:val="2"/>
    </w:pPr>
    <w:rPr>
      <w:rFonts w:ascii="Times New Roman" w:hAnsi="Times New Roman" w:eastAsia="宋体"/>
      <w:sz w:val="24"/>
    </w:rPr>
  </w:style>
  <w:style w:type="paragraph" w:styleId="7">
    <w:name w:val="heading 4"/>
    <w:basedOn w:val="1"/>
    <w:next w:val="1"/>
    <w:qFormat/>
    <w:locked/>
    <w:uiPriority w:val="9"/>
    <w:pPr>
      <w:keepNext/>
      <w:keepLines/>
      <w:numPr>
        <w:ilvl w:val="3"/>
        <w:numId w:val="1"/>
      </w:numPr>
      <w:spacing w:line="360" w:lineRule="auto"/>
      <w:ind w:left="0" w:firstLine="0"/>
      <w:jc w:val="left"/>
      <w:outlineLvl w:val="3"/>
    </w:pPr>
    <w:rPr>
      <w:rFonts w:ascii="Arial" w:hAnsi="Arial"/>
      <w:sz w:val="24"/>
    </w:rPr>
  </w:style>
  <w:style w:type="paragraph" w:styleId="8">
    <w:name w:val="heading 5"/>
    <w:basedOn w:val="1"/>
    <w:next w:val="1"/>
    <w:unhideWhenUsed/>
    <w:qFormat/>
    <w:locked/>
    <w:uiPriority w:val="0"/>
    <w:pPr>
      <w:keepNext/>
      <w:keepLines/>
      <w:numPr>
        <w:ilvl w:val="4"/>
        <w:numId w:val="2"/>
      </w:numPr>
      <w:tabs>
        <w:tab w:val="left" w:pos="0"/>
        <w:tab w:val="clear" w:pos="420"/>
      </w:tabs>
      <w:ind w:firstLine="720" w:firstLineChars="200"/>
      <w:outlineLvl w:val="4"/>
    </w:pPr>
  </w:style>
  <w:style w:type="paragraph" w:styleId="9">
    <w:name w:val="heading 6"/>
    <w:basedOn w:val="1"/>
    <w:next w:val="1"/>
    <w:semiHidden/>
    <w:unhideWhenUsed/>
    <w:qFormat/>
    <w:locked/>
    <w:uiPriority w:val="0"/>
    <w:pPr>
      <w:keepNext/>
      <w:keepLines/>
      <w:numPr>
        <w:ilvl w:val="5"/>
        <w:numId w:val="2"/>
      </w:numPr>
      <w:spacing w:before="240" w:after="64" w:line="317" w:lineRule="auto"/>
      <w:outlineLvl w:val="5"/>
    </w:pPr>
    <w:rPr>
      <w:rFonts w:ascii="Arial" w:hAnsi="Arial" w:eastAsia="黑体"/>
      <w:b/>
      <w:sz w:val="24"/>
    </w:rPr>
  </w:style>
  <w:style w:type="paragraph" w:styleId="10">
    <w:name w:val="heading 7"/>
    <w:basedOn w:val="1"/>
    <w:next w:val="1"/>
    <w:semiHidden/>
    <w:unhideWhenUsed/>
    <w:qFormat/>
    <w:locked/>
    <w:uiPriority w:val="0"/>
    <w:pPr>
      <w:keepNext/>
      <w:keepLines/>
      <w:numPr>
        <w:ilvl w:val="6"/>
        <w:numId w:val="2"/>
      </w:numPr>
      <w:spacing w:before="240" w:after="64" w:line="317" w:lineRule="auto"/>
      <w:outlineLvl w:val="6"/>
    </w:pPr>
    <w:rPr>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420"/>
    </w:pPr>
    <w:rPr>
      <w:sz w:val="28"/>
      <w:szCs w:val="24"/>
    </w:rPr>
  </w:style>
  <w:style w:type="paragraph" w:customStyle="1" w:styleId="6">
    <w:name w:val="标题3"/>
    <w:basedOn w:val="1"/>
    <w:qFormat/>
    <w:uiPriority w:val="0"/>
    <w:pPr>
      <w:spacing w:line="360" w:lineRule="auto"/>
      <w:outlineLvl w:val="2"/>
    </w:pPr>
    <w:rPr>
      <w:b/>
      <w:sz w:val="24"/>
    </w:rPr>
  </w:style>
  <w:style w:type="paragraph" w:styleId="11">
    <w:name w:val="toc 7"/>
    <w:basedOn w:val="1"/>
    <w:next w:val="1"/>
    <w:qFormat/>
    <w:locked/>
    <w:uiPriority w:val="0"/>
    <w:pPr>
      <w:ind w:left="2520"/>
    </w:pPr>
    <w:rPr>
      <w:szCs w:val="20"/>
    </w:rPr>
  </w:style>
  <w:style w:type="paragraph" w:styleId="12">
    <w:name w:val="Note Heading"/>
    <w:basedOn w:val="1"/>
    <w:next w:val="1"/>
    <w:qFormat/>
    <w:uiPriority w:val="99"/>
    <w:pPr>
      <w:jc w:val="left"/>
    </w:pPr>
  </w:style>
  <w:style w:type="paragraph" w:styleId="13">
    <w:name w:val="annotation text"/>
    <w:basedOn w:val="1"/>
    <w:qFormat/>
    <w:uiPriority w:val="0"/>
    <w:pPr>
      <w:jc w:val="left"/>
    </w:pPr>
  </w:style>
  <w:style w:type="paragraph" w:styleId="14">
    <w:name w:val="Body Text"/>
    <w:basedOn w:val="1"/>
    <w:next w:val="12"/>
    <w:unhideWhenUsed/>
    <w:qFormat/>
    <w:uiPriority w:val="1"/>
    <w:pPr>
      <w:spacing w:before="135" w:beforeLines="0" w:afterLines="0"/>
      <w:ind w:left="115"/>
    </w:pPr>
    <w:rPr>
      <w:rFonts w:hint="eastAsia" w:ascii="宋体" w:hAnsi="宋体" w:eastAsia="宋体"/>
      <w:sz w:val="24"/>
    </w:rPr>
  </w:style>
  <w:style w:type="paragraph" w:styleId="15">
    <w:name w:val="Plain Text"/>
    <w:basedOn w:val="1"/>
    <w:qFormat/>
    <w:locked/>
    <w:uiPriority w:val="0"/>
    <w:rPr>
      <w:rFonts w:ascii="宋体" w:hAnsi="Courier New"/>
      <w:szCs w:val="20"/>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List"/>
    <w:basedOn w:val="1"/>
    <w:qFormat/>
    <w:locked/>
    <w:uiPriority w:val="0"/>
    <w:pPr>
      <w:ind w:left="200" w:hanging="200" w:hangingChars="200"/>
    </w:p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locked/>
    <w:uiPriority w:val="0"/>
    <w:rPr>
      <w:color w:val="0000FF"/>
      <w:u w:val="single"/>
    </w:rPr>
  </w:style>
  <w:style w:type="paragraph" w:customStyle="1" w:styleId="22">
    <w:name w:val="表格标题"/>
    <w:basedOn w:val="1"/>
    <w:next w:val="1"/>
    <w:link w:val="28"/>
    <w:qFormat/>
    <w:uiPriority w:val="0"/>
    <w:pPr>
      <w:numPr>
        <w:ilvl w:val="7"/>
        <w:numId w:val="1"/>
      </w:numPr>
      <w:ind w:left="0" w:firstLine="0"/>
      <w:jc w:val="center"/>
    </w:pPr>
    <w:rPr>
      <w:b/>
      <w:sz w:val="24"/>
    </w:rPr>
  </w:style>
  <w:style w:type="paragraph" w:customStyle="1" w:styleId="23">
    <w:name w:val="表格内容"/>
    <w:basedOn w:val="17"/>
    <w:next w:val="1"/>
    <w:link w:val="29"/>
    <w:qFormat/>
    <w:uiPriority w:val="0"/>
    <w:pPr>
      <w:tabs>
        <w:tab w:val="left" w:pos="0"/>
      </w:tabs>
      <w:ind w:left="0" w:firstLine="0" w:firstLineChars="0"/>
      <w:jc w:val="center"/>
    </w:pPr>
  </w:style>
  <w:style w:type="paragraph" w:customStyle="1" w:styleId="24">
    <w:name w:val="图文标题"/>
    <w:basedOn w:val="1"/>
    <w:next w:val="1"/>
    <w:qFormat/>
    <w:uiPriority w:val="0"/>
    <w:pPr>
      <w:numPr>
        <w:ilvl w:val="8"/>
        <w:numId w:val="1"/>
      </w:numPr>
      <w:jc w:val="center"/>
    </w:pPr>
    <w:rPr>
      <w:b/>
      <w:sz w:val="24"/>
    </w:rPr>
  </w:style>
  <w:style w:type="paragraph" w:customStyle="1" w:styleId="25">
    <w:name w:val="闽创报告正文"/>
    <w:basedOn w:val="1"/>
    <w:link w:val="26"/>
    <w:qFormat/>
    <w:uiPriority w:val="0"/>
    <w:pPr>
      <w:tabs>
        <w:tab w:val="left" w:pos="0"/>
      </w:tabs>
      <w:spacing w:line="360" w:lineRule="auto"/>
      <w:ind w:firstLine="200" w:firstLineChars="200"/>
    </w:pPr>
    <w:rPr>
      <w:color w:val="000000"/>
      <w:sz w:val="24"/>
    </w:rPr>
  </w:style>
  <w:style w:type="character" w:customStyle="1" w:styleId="26">
    <w:name w:val="报告正文 Char"/>
    <w:link w:val="25"/>
    <w:qFormat/>
    <w:uiPriority w:val="0"/>
    <w:rPr>
      <w:rFonts w:ascii="Times New Roman" w:hAnsi="Times New Roman" w:eastAsia="宋体"/>
      <w:color w:val="000000"/>
      <w:sz w:val="24"/>
      <w:szCs w:val="24"/>
    </w:rPr>
  </w:style>
  <w:style w:type="paragraph" w:customStyle="1" w:styleId="27">
    <w:name w:val="表正文"/>
    <w:basedOn w:val="1"/>
    <w:qFormat/>
    <w:uiPriority w:val="0"/>
    <w:pPr>
      <w:spacing w:line="360" w:lineRule="auto"/>
      <w:ind w:firstLine="200" w:firstLineChars="200"/>
    </w:pPr>
    <w:rPr>
      <w:sz w:val="24"/>
    </w:rPr>
  </w:style>
  <w:style w:type="character" w:customStyle="1" w:styleId="28">
    <w:name w:val="表格标题 Char"/>
    <w:link w:val="22"/>
    <w:qFormat/>
    <w:uiPriority w:val="0"/>
    <w:rPr>
      <w:rFonts w:ascii="Times New Roman" w:hAnsi="Times New Roman" w:eastAsia="宋体"/>
      <w:b/>
      <w:sz w:val="24"/>
    </w:rPr>
  </w:style>
  <w:style w:type="character" w:customStyle="1" w:styleId="29">
    <w:name w:val="表格内容 Char"/>
    <w:link w:val="23"/>
    <w:qFormat/>
    <w:uiPriority w:val="0"/>
  </w:style>
  <w:style w:type="character" w:customStyle="1" w:styleId="30">
    <w:name w:val="表格的字 Char"/>
    <w:link w:val="31"/>
    <w:qFormat/>
    <w:uiPriority w:val="0"/>
    <w:rPr>
      <w:kern w:val="2"/>
      <w:sz w:val="21"/>
      <w:szCs w:val="21"/>
    </w:rPr>
  </w:style>
  <w:style w:type="paragraph" w:customStyle="1" w:styleId="31">
    <w:name w:val="表格的字"/>
    <w:next w:val="1"/>
    <w:link w:val="30"/>
    <w:qFormat/>
    <w:uiPriority w:val="0"/>
    <w:pPr>
      <w:jc w:val="center"/>
    </w:pPr>
    <w:rPr>
      <w:rFonts w:ascii="Times New Roman" w:hAnsi="Times New Roman" w:eastAsia="宋体" w:cs="Times New Roman"/>
      <w:kern w:val="2"/>
      <w:sz w:val="21"/>
      <w:szCs w:val="21"/>
      <w:lang w:val="en-US" w:eastAsia="zh-CN" w:bidi="ar-SA"/>
    </w:rPr>
  </w:style>
  <w:style w:type="table" w:customStyle="1" w:styleId="32">
    <w:name w:val="Table Normal"/>
    <w:semiHidden/>
    <w:unhideWhenUsed/>
    <w:qFormat/>
    <w:uiPriority w:val="0"/>
    <w:tblPr>
      <w:tblCellMar>
        <w:top w:w="0" w:type="dxa"/>
        <w:left w:w="0" w:type="dxa"/>
        <w:bottom w:w="0" w:type="dxa"/>
        <w:right w:w="0" w:type="dxa"/>
      </w:tblCellMar>
    </w:tblPr>
  </w:style>
  <w:style w:type="character" w:customStyle="1" w:styleId="33">
    <w:name w:val="标题 2 Char"/>
    <w:basedOn w:val="20"/>
    <w:link w:val="4"/>
    <w:qFormat/>
    <w:uiPriority w:val="0"/>
    <w:rPr>
      <w:rFonts w:ascii="Cambria" w:hAnsi="Cambria" w:eastAsia="宋体" w:cs="Times New Roman"/>
      <w:b/>
      <w:bCs/>
      <w:kern w:val="2"/>
      <w:sz w:val="32"/>
      <w:szCs w:val="32"/>
    </w:rPr>
  </w:style>
  <w:style w:type="character" w:customStyle="1" w:styleId="34">
    <w:name w:val="标题 3 字符"/>
    <w:basedOn w:val="20"/>
    <w:link w:val="5"/>
    <w:qFormat/>
    <w:uiPriority w:val="0"/>
    <w:rPr>
      <w:b/>
      <w:bCs/>
      <w:kern w:val="2"/>
      <w:sz w:val="24"/>
      <w:szCs w:val="32"/>
    </w:rPr>
  </w:style>
  <w:style w:type="character" w:customStyle="1" w:styleId="35">
    <w:name w:val="标题 1 字符"/>
    <w:basedOn w:val="20"/>
    <w:link w:val="3"/>
    <w:qFormat/>
    <w:uiPriority w:val="0"/>
    <w:rPr>
      <w:b/>
      <w:bCs/>
      <w:kern w:val="44"/>
      <w:sz w:val="44"/>
      <w:szCs w:val="44"/>
    </w:rPr>
  </w:style>
  <w:style w:type="character" w:customStyle="1" w:styleId="36">
    <w:name w:val="标题 2 字符"/>
    <w:basedOn w:val="20"/>
    <w:link w:val="4"/>
    <w:qFormat/>
    <w:uiPriority w:val="0"/>
    <w:rPr>
      <w:rFonts w:ascii="Cambria" w:hAnsi="Cambria" w:eastAsia="宋体" w:cs="Times New Roman"/>
      <w:b/>
      <w:bCs/>
      <w:kern w:val="2"/>
      <w:sz w:val="32"/>
      <w:szCs w:val="32"/>
    </w:rPr>
  </w:style>
  <w:style w:type="character" w:customStyle="1" w:styleId="37">
    <w:name w:val="font61"/>
    <w:basedOn w:val="20"/>
    <w:qFormat/>
    <w:uiPriority w:val="0"/>
    <w:rPr>
      <w:rFonts w:hint="default" w:ascii="Times New Roman" w:hAnsi="Times New Roman" w:cs="Times New Roman"/>
      <w:color w:val="000000"/>
      <w:sz w:val="21"/>
      <w:szCs w:val="21"/>
      <w:u w:val="none"/>
    </w:rPr>
  </w:style>
  <w:style w:type="character" w:customStyle="1" w:styleId="38">
    <w:name w:val="font51"/>
    <w:basedOn w:val="20"/>
    <w:qFormat/>
    <w:uiPriority w:val="0"/>
    <w:rPr>
      <w:rFonts w:hint="default" w:ascii="Times New Roman" w:hAnsi="Times New Roman" w:cs="Times New Roman"/>
      <w:color w:val="000000"/>
      <w:sz w:val="21"/>
      <w:szCs w:val="21"/>
      <w:u w:val="none"/>
    </w:rPr>
  </w:style>
  <w:style w:type="paragraph" w:customStyle="1" w:styleId="39">
    <w:name w:val="正文(首行缩进)"/>
    <w:qFormat/>
    <w:uiPriority w:val="0"/>
    <w:pPr>
      <w:widowControl w:val="0"/>
      <w:adjustRightInd w:val="0"/>
      <w:snapToGrid w:val="0"/>
      <w:spacing w:line="360" w:lineRule="auto"/>
      <w:ind w:firstLine="200" w:firstLineChars="200"/>
      <w:jc w:val="both"/>
    </w:pPr>
    <w:rPr>
      <w:rFonts w:ascii="Calibri" w:hAnsi="Calibri" w:eastAsia="宋体" w:cs="Times New Roman"/>
      <w:snapToGrid w:val="0"/>
      <w:kern w:val="2"/>
      <w:sz w:val="24"/>
      <w:szCs w:val="24"/>
      <w:lang w:val="en-US" w:eastAsia="zh-CN" w:bidi="ar-SA"/>
    </w:rPr>
  </w:style>
  <w:style w:type="paragraph" w:customStyle="1" w:styleId="40">
    <w:name w:val="Default"/>
    <w:next w:val="11"/>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character" w:customStyle="1" w:styleId="41">
    <w:name w:val="font81"/>
    <w:basedOn w:val="20"/>
    <w:qFormat/>
    <w:uiPriority w:val="0"/>
    <w:rPr>
      <w:rFonts w:hint="default" w:ascii="Times New Roman" w:hAnsi="Times New Roman" w:cs="Times New Roman"/>
      <w:color w:val="000000"/>
      <w:sz w:val="21"/>
      <w:szCs w:val="21"/>
      <w:u w:val="none"/>
    </w:rPr>
  </w:style>
  <w:style w:type="character" w:customStyle="1" w:styleId="42">
    <w:name w:val="font71"/>
    <w:basedOn w:val="20"/>
    <w:qFormat/>
    <w:uiPriority w:val="0"/>
    <w:rPr>
      <w:rFonts w:hint="default" w:ascii="Times New Roman" w:hAnsi="Times New Roman" w:cs="Times New Roman"/>
      <w:color w:val="000000"/>
      <w:sz w:val="21"/>
      <w:szCs w:val="21"/>
      <w:u w:val="none"/>
    </w:rPr>
  </w:style>
  <w:style w:type="paragraph" w:customStyle="1" w:styleId="43">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4">
    <w:name w:val="附件"/>
    <w:basedOn w:val="1"/>
    <w:next w:val="1"/>
    <w:qFormat/>
    <w:uiPriority w:val="0"/>
    <w:pPr>
      <w:pageBreakBefore/>
      <w:tabs>
        <w:tab w:val="left" w:pos="0"/>
      </w:tabs>
      <w:outlineLvl w:val="5"/>
    </w:pPr>
    <w:rPr>
      <w:rFonts w:hint="eastAsia" w:ascii="Times New Roman" w:hAnsi="Times New Roman" w:eastAsia="宋体"/>
      <w:b/>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D1C24-E17B-4597-A5D8-DD38AA66E0C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78</Pages>
  <Words>6751</Words>
  <Characters>38485</Characters>
  <Lines>320</Lines>
  <Paragraphs>90</Paragraphs>
  <TotalTime>4</TotalTime>
  <ScaleCrop>false</ScaleCrop>
  <LinksUpToDate>false</LinksUpToDate>
  <CharactersWithSpaces>45146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逐鹿</cp:lastModifiedBy>
  <cp:lastPrinted>2022-01-17T07:42:00Z</cp:lastPrinted>
  <dcterms:modified xsi:type="dcterms:W3CDTF">2022-03-10T00:52:42Z</dcterms:modified>
  <dc:title>附件2</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7AB7C158C0E44996AAB7AAC793E05D20</vt:lpwstr>
  </property>
</Properties>
</file>