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20"/>
        </w:tabs>
        <w:adjustRightInd w:val="0"/>
        <w:snapToGrid w:val="0"/>
        <w:jc w:val="center"/>
        <w:outlineLvl w:val="9"/>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lang w:val="en-US" w:eastAsia="zh-CN"/>
          <w14:textFill>
            <w14:solidFill>
              <w14:schemeClr w14:val="tx1"/>
            </w14:solidFill>
          </w14:textFill>
        </w:rPr>
        <w:t xml:space="preserve"> </w:t>
      </w: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（生态影响类）</w:t>
      </w:r>
    </w:p>
    <w:p>
      <w:pPr>
        <w:adjustRightInd w:val="0"/>
        <w:snapToGrid w:val="0"/>
        <w:spacing w:line="288" w:lineRule="auto"/>
        <w:jc w:val="center"/>
        <w:outlineLvl w:val="9"/>
        <w:rPr>
          <w:rFonts w:ascii="华文仿宋" w:hAnsi="华文仿宋" w:eastAsia="华文仿宋" w:cs="华文仿宋"/>
          <w:color w:val="000000" w:themeColor="text1"/>
          <w:kern w:val="44"/>
          <w:sz w:val="44"/>
          <w:szCs w:val="44"/>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keepNext w:val="0"/>
        <w:keepLines w:val="0"/>
        <w:widowControl/>
        <w:suppressLineNumbers w:val="0"/>
        <w:ind w:firstLine="720" w:firstLineChars="200"/>
        <w:jc w:val="left"/>
        <w:rPr>
          <w:rFonts w:hint="default" w:ascii="仿宋_GB2312" w:eastAsia="仿宋_GB2312"/>
          <w:color w:val="000000" w:themeColor="text1"/>
          <w:sz w:val="30"/>
          <w:szCs w:val="30"/>
          <w:u w:val="single"/>
          <w:lang w:val="en-US"/>
          <w14:textFill>
            <w14:solidFill>
              <w14:schemeClr w14:val="tx1"/>
            </w14:solidFill>
          </w14:textFill>
        </w:rPr>
      </w:pPr>
      <w:r>
        <w:rPr>
          <w:rFonts w:hint="eastAsia" w:ascii="仿宋_GB2312" w:hAnsi="Times New Roman" w:eastAsia="仿宋_GB2312" w:cs="Times New Roman"/>
          <w:color w:val="000000" w:themeColor="text1"/>
          <w:sz w:val="36"/>
          <w:szCs w:val="36"/>
          <w14:textFill>
            <w14:solidFill>
              <w14:schemeClr w14:val="tx1"/>
            </w14:solidFill>
          </w14:textFill>
        </w:rPr>
        <w:t>项目名称：</w:t>
      </w:r>
      <w:r>
        <w:rPr>
          <w:rFonts w:hint="eastAsia" w:cs="Times New Roman"/>
          <w:b w:val="0"/>
          <w:bCs w:val="0"/>
          <w:color w:val="000000" w:themeColor="text1"/>
          <w:kern w:val="0"/>
          <w:sz w:val="28"/>
          <w:szCs w:val="28"/>
          <w:u w:val="single"/>
          <w:lang w:val="en-US" w:eastAsia="zh-CN" w:bidi="ar"/>
          <w14:textFill>
            <w14:solidFill>
              <w14:schemeClr w14:val="tx1"/>
            </w14:solidFill>
          </w14:textFill>
        </w:rPr>
        <w:t xml:space="preserve">福鼎市硖门畲族乡庙后溪山洪治理（高水高排）工程    </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720" w:firstLineChars="200"/>
        <w:textAlignment w:val="auto"/>
        <w:rPr>
          <w:rFonts w:hint="default" w:ascii="Times New Roman" w:hAnsi="Times New Roman" w:eastAsia="宋体" w:cs="Times New Roman"/>
          <w:b w:val="0"/>
          <w:bCs w:val="0"/>
          <w:color w:val="000000" w:themeColor="text1"/>
          <w:kern w:val="0"/>
          <w:sz w:val="28"/>
          <w:szCs w:val="28"/>
          <w:u w:val="single"/>
          <w:lang w:val="en-US" w:eastAsia="zh-CN" w:bidi="ar"/>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cs="Times New Roman"/>
          <w:b w:val="0"/>
          <w:bCs w:val="0"/>
          <w:color w:val="000000" w:themeColor="text1"/>
          <w:kern w:val="0"/>
          <w:sz w:val="28"/>
          <w:szCs w:val="28"/>
          <w:u w:val="single"/>
          <w:lang w:val="en-US" w:eastAsia="zh-CN" w:bidi="ar"/>
          <w14:textFill>
            <w14:solidFill>
              <w14:schemeClr w14:val="tx1"/>
            </w14:solidFill>
          </w14:textFill>
        </w:rPr>
        <w:t xml:space="preserve"> 福鼎市清洁能源项目服务投资有限公司 </w:t>
      </w:r>
    </w:p>
    <w:p>
      <w:pPr>
        <w:adjustRightInd w:val="0"/>
        <w:snapToGrid w:val="0"/>
        <w:spacing w:line="360" w:lineRule="auto"/>
        <w:ind w:firstLine="720" w:firstLineChars="200"/>
        <w:rPr>
          <w:rFonts w:hint="eastAsia"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0"/>
          <w:szCs w:val="30"/>
          <w:u w:val="single"/>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u w:val="singl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0"/>
          <w:szCs w:val="30"/>
          <w:u w:val="single"/>
          <w14:textFill>
            <w14:solidFill>
              <w14:schemeClr w14:val="tx1"/>
            </w14:solidFill>
          </w14:textFill>
        </w:rPr>
        <w:t>年</w:t>
      </w:r>
      <w:r>
        <w:rPr>
          <w:rFonts w:hint="eastAsia" w:eastAsia="仿宋_GB2312" w:cs="Times New Roman"/>
          <w:color w:val="000000" w:themeColor="text1"/>
          <w:sz w:val="30"/>
          <w:szCs w:val="30"/>
          <w:u w:val="single"/>
          <w:lang w:val="en-US" w:eastAsia="zh-CN"/>
          <w14:textFill>
            <w14:solidFill>
              <w14:schemeClr w14:val="tx1"/>
            </w14:solidFill>
          </w14:textFill>
        </w:rPr>
        <w:t>6</w:t>
      </w:r>
      <w:r>
        <w:rPr>
          <w:rFonts w:hint="default" w:ascii="Times New Roman" w:hAnsi="Times New Roman" w:eastAsia="仿宋_GB2312" w:cs="Times New Roman"/>
          <w:color w:val="000000" w:themeColor="text1"/>
          <w:sz w:val="30"/>
          <w:szCs w:val="30"/>
          <w:u w:val="single"/>
          <w14:textFill>
            <w14:solidFill>
              <w14:schemeClr w14:val="tx1"/>
            </w14:solidFill>
          </w14:textFill>
        </w:rPr>
        <w:t>月</w:t>
      </w:r>
      <w:r>
        <w:rPr>
          <w:rFonts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一、建设项目基本情况</w:t>
      </w:r>
    </w:p>
    <w:tbl>
      <w:tblPr>
        <w:tblStyle w:val="18"/>
        <w:tblW w:w="9107"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2"/>
        <w:gridCol w:w="3247"/>
        <w:gridCol w:w="2218"/>
        <w:gridCol w:w="10"/>
        <w:gridCol w:w="26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建设项目名称</w:t>
            </w:r>
          </w:p>
        </w:tc>
        <w:tc>
          <w:tcPr>
            <w:tcW w:w="8085" w:type="dxa"/>
            <w:gridSpan w:val="4"/>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outlineLvl w:val="0"/>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bookmarkStart w:id="62" w:name="_GoBack"/>
            <w:r>
              <w:rPr>
                <w:rFonts w:hint="eastAsia" w:cs="Times New Roman"/>
                <w:b w:val="0"/>
                <w:bCs w:val="0"/>
                <w:color w:val="000000" w:themeColor="text1"/>
                <w:kern w:val="0"/>
                <w:sz w:val="24"/>
                <w:szCs w:val="24"/>
                <w:u w:val="none"/>
                <w:lang w:val="en-US" w:eastAsia="zh-CN" w:bidi="ar"/>
                <w14:textFill>
                  <w14:solidFill>
                    <w14:schemeClr w14:val="tx1"/>
                  </w14:solidFill>
                </w14:textFill>
              </w:rPr>
              <w:t>福鼎市硖门畲族乡庙后溪山洪治理（高水高排）工程</w:t>
            </w:r>
            <w:bookmarkEnd w:id="6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55"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项目代码</w:t>
            </w:r>
          </w:p>
        </w:tc>
        <w:tc>
          <w:tcPr>
            <w:tcW w:w="8085" w:type="dxa"/>
            <w:gridSpan w:val="4"/>
            <w:vAlign w:val="center"/>
          </w:tcPr>
          <w:p>
            <w:pPr>
              <w:adjustRightInd w:val="0"/>
              <w:snapToGrid w:val="0"/>
              <w:spacing w:line="240" w:lineRule="auto"/>
              <w:jc w:val="center"/>
              <w:rPr>
                <w:rFonts w:hint="default"/>
                <w:color w:val="000000" w:themeColor="text1"/>
                <w:sz w:val="21"/>
                <w:szCs w:val="2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2105-350982-04-01-426775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2"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建设单位联系人</w:t>
            </w:r>
          </w:p>
        </w:tc>
        <w:tc>
          <w:tcPr>
            <w:tcW w:w="3247"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谢石妹</w:t>
            </w:r>
          </w:p>
        </w:tc>
        <w:tc>
          <w:tcPr>
            <w:tcW w:w="2228" w:type="dxa"/>
            <w:gridSpan w:val="2"/>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联系方式</w:t>
            </w:r>
          </w:p>
        </w:tc>
        <w:tc>
          <w:tcPr>
            <w:tcW w:w="2610"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13905934799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建设地点</w:t>
            </w:r>
          </w:p>
        </w:tc>
        <w:tc>
          <w:tcPr>
            <w:tcW w:w="8085" w:type="dxa"/>
            <w:gridSpan w:val="4"/>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福建省</w:t>
            </w:r>
            <w:r>
              <w:rPr>
                <w:rFonts w:hint="default" w:ascii="Times New Roman" w:hAnsi="Times New Roman" w:eastAsia="宋体" w:cs="Times New Roman"/>
                <w:color w:val="000000" w:themeColor="text1"/>
                <w:sz w:val="24"/>
                <w:szCs w:val="24"/>
                <w:highlight w:val="none"/>
                <w14:textFill>
                  <w14:solidFill>
                    <w14:schemeClr w14:val="tx1"/>
                  </w14:solidFill>
                </w14:textFill>
              </w:rPr>
              <w:t>（自治区）</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福鼎市</w:t>
            </w:r>
            <w:r>
              <w:rPr>
                <w:rFonts w:hint="default" w:ascii="Times New Roman" w:hAnsi="Times New Roman" w:eastAsia="宋体" w:cs="Times New Roman"/>
                <w:color w:val="000000" w:themeColor="text1"/>
                <w:sz w:val="24"/>
                <w:szCs w:val="24"/>
                <w:highlight w:val="none"/>
                <w14:textFill>
                  <w14:solidFill>
                    <w14:schemeClr w14:val="tx1"/>
                  </w14:solidFill>
                </w14:textFill>
              </w:rPr>
              <w:t>市</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县（区）</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硖门畲族乡</w:t>
            </w:r>
            <w:r>
              <w:rPr>
                <w:rFonts w:hint="default" w:ascii="Times New Roman" w:hAnsi="Times New Roman" w:eastAsia="宋体" w:cs="Times New Roman"/>
                <w:color w:val="000000" w:themeColor="text1"/>
                <w:sz w:val="24"/>
                <w:szCs w:val="24"/>
                <w:highlight w:val="none"/>
                <w14:textFill>
                  <w14:solidFill>
                    <w14:schemeClr w14:val="tx1"/>
                  </w14:solidFill>
                </w14:textFill>
              </w:rPr>
              <w:t>（街道）</w:t>
            </w:r>
            <w:r>
              <w:rPr>
                <w:rFonts w:hint="eastAsia" w:cs="Times New Roman"/>
                <w:color w:val="000000" w:themeColor="text1"/>
                <w:sz w:val="24"/>
                <w:szCs w:val="24"/>
                <w:highlight w:val="none"/>
                <w:lang w:val="en-US" w:eastAsia="zh-CN"/>
                <w14:textFill>
                  <w14:solidFill>
                    <w14:schemeClr w14:val="tx1"/>
                  </w14:solidFill>
                </w14:textFill>
              </w:rPr>
              <w:t>硖门村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地理坐标</w:t>
            </w:r>
          </w:p>
        </w:tc>
        <w:tc>
          <w:tcPr>
            <w:tcW w:w="8085" w:type="dxa"/>
            <w:gridSpan w:val="4"/>
            <w:vAlign w:val="center"/>
          </w:tcPr>
          <w:p>
            <w:pPr>
              <w:keepNext w:val="0"/>
              <w:keepLines w:val="0"/>
              <w:widowControl/>
              <w:suppressLineNumbers w:val="0"/>
              <w:spacing w:line="240" w:lineRule="auto"/>
              <w:jc w:val="left"/>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default" w:ascii="宋体" w:hAnsi="宋体" w:eastAsia="宋体" w:cs="宋体"/>
                <w:color w:val="000000" w:themeColor="text1"/>
                <w:kern w:val="0"/>
                <w:sz w:val="24"/>
                <w:szCs w:val="24"/>
                <w:lang w:val="en-US" w:eastAsia="zh-CN" w:bidi="ar"/>
                <w14:textFill>
                  <w14:solidFill>
                    <w14:schemeClr w14:val="tx1"/>
                  </w14:solidFill>
                </w14:textFill>
              </w:rPr>
              <w:t>起点坐标：（东经120度</w:t>
            </w:r>
            <w:r>
              <w:rPr>
                <w:rFonts w:hint="eastAsia" w:ascii="宋体" w:hAnsi="宋体" w:cs="宋体"/>
                <w:color w:val="000000" w:themeColor="text1"/>
                <w:kern w:val="0"/>
                <w:sz w:val="24"/>
                <w:szCs w:val="24"/>
                <w:lang w:val="en-US" w:eastAsia="zh-CN" w:bidi="ar"/>
                <w14:textFill>
                  <w14:solidFill>
                    <w14:schemeClr w14:val="tx1"/>
                  </w14:solidFill>
                </w14:textFill>
              </w:rPr>
              <w:t>13</w:t>
            </w:r>
            <w:r>
              <w:rPr>
                <w:rFonts w:hint="default" w:ascii="宋体" w:hAnsi="宋体" w:eastAsia="宋体" w:cs="宋体"/>
                <w:color w:val="000000" w:themeColor="text1"/>
                <w:kern w:val="0"/>
                <w:sz w:val="24"/>
                <w:szCs w:val="24"/>
                <w:lang w:val="en-US" w:eastAsia="zh-CN" w:bidi="ar"/>
                <w14:textFill>
                  <w14:solidFill>
                    <w14:schemeClr w14:val="tx1"/>
                  </w14:solidFill>
                </w14:textFill>
              </w:rPr>
              <w:t>分</w:t>
            </w:r>
            <w:r>
              <w:rPr>
                <w:rFonts w:hint="eastAsia" w:ascii="宋体" w:hAnsi="宋体" w:cs="宋体"/>
                <w:color w:val="000000" w:themeColor="text1"/>
                <w:kern w:val="0"/>
                <w:sz w:val="24"/>
                <w:szCs w:val="24"/>
                <w:lang w:val="en-US" w:eastAsia="zh-CN" w:bidi="ar"/>
                <w14:textFill>
                  <w14:solidFill>
                    <w14:schemeClr w14:val="tx1"/>
                  </w14:solidFill>
                </w14:textFill>
              </w:rPr>
              <w:t>33.12</w:t>
            </w:r>
            <w:r>
              <w:rPr>
                <w:rFonts w:hint="default" w:ascii="宋体" w:hAnsi="宋体" w:eastAsia="宋体" w:cs="宋体"/>
                <w:color w:val="000000" w:themeColor="text1"/>
                <w:kern w:val="0"/>
                <w:sz w:val="24"/>
                <w:szCs w:val="24"/>
                <w:lang w:val="en-US" w:eastAsia="zh-CN" w:bidi="ar"/>
                <w14:textFill>
                  <w14:solidFill>
                    <w14:schemeClr w14:val="tx1"/>
                  </w14:solidFill>
                </w14:textFill>
              </w:rPr>
              <w:t>秒，北纬27度</w:t>
            </w:r>
            <w:r>
              <w:rPr>
                <w:rFonts w:hint="eastAsia" w:ascii="宋体" w:hAnsi="宋体" w:cs="宋体"/>
                <w:color w:val="000000" w:themeColor="text1"/>
                <w:kern w:val="0"/>
                <w:sz w:val="24"/>
                <w:szCs w:val="24"/>
                <w:lang w:val="en-US" w:eastAsia="zh-CN" w:bidi="ar"/>
                <w14:textFill>
                  <w14:solidFill>
                    <w14:schemeClr w14:val="tx1"/>
                  </w14:solidFill>
                </w14:textFill>
              </w:rPr>
              <w:t>2</w:t>
            </w:r>
            <w:r>
              <w:rPr>
                <w:rFonts w:hint="default" w:ascii="宋体" w:hAnsi="宋体" w:eastAsia="宋体" w:cs="宋体"/>
                <w:color w:val="000000" w:themeColor="text1"/>
                <w:kern w:val="0"/>
                <w:sz w:val="24"/>
                <w:szCs w:val="24"/>
                <w:lang w:val="en-US" w:eastAsia="zh-CN" w:bidi="ar"/>
                <w14:textFill>
                  <w14:solidFill>
                    <w14:schemeClr w14:val="tx1"/>
                  </w14:solidFill>
                </w14:textFill>
              </w:rPr>
              <w:t>分</w:t>
            </w:r>
            <w:r>
              <w:rPr>
                <w:rFonts w:hint="eastAsia" w:ascii="宋体" w:hAnsi="宋体" w:cs="宋体"/>
                <w:color w:val="000000" w:themeColor="text1"/>
                <w:kern w:val="0"/>
                <w:sz w:val="24"/>
                <w:szCs w:val="24"/>
                <w:lang w:val="en-US" w:eastAsia="zh-CN" w:bidi="ar"/>
                <w14:textFill>
                  <w14:solidFill>
                    <w14:schemeClr w14:val="tx1"/>
                  </w14:solidFill>
                </w14:textFill>
              </w:rPr>
              <w:t>1.28</w:t>
            </w:r>
            <w:r>
              <w:rPr>
                <w:rFonts w:hint="default" w:ascii="宋体" w:hAnsi="宋体" w:eastAsia="宋体" w:cs="宋体"/>
                <w:color w:val="000000" w:themeColor="text1"/>
                <w:kern w:val="0"/>
                <w:sz w:val="24"/>
                <w:szCs w:val="24"/>
                <w:lang w:val="en-US" w:eastAsia="zh-CN" w:bidi="ar"/>
                <w14:textFill>
                  <w14:solidFill>
                    <w14:schemeClr w14:val="tx1"/>
                  </w14:solidFill>
                </w14:textFill>
              </w:rPr>
              <w:t>秒）</w:t>
            </w:r>
          </w:p>
          <w:p>
            <w:pPr>
              <w:keepNext w:val="0"/>
              <w:keepLines w:val="0"/>
              <w:widowControl/>
              <w:suppressLineNumbers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宋体" w:hAnsi="宋体" w:eastAsia="宋体" w:cs="宋体"/>
                <w:color w:val="000000" w:themeColor="text1"/>
                <w:kern w:val="0"/>
                <w:sz w:val="24"/>
                <w:szCs w:val="24"/>
                <w:lang w:val="en-US" w:eastAsia="zh-CN" w:bidi="ar"/>
                <w14:textFill>
                  <w14:solidFill>
                    <w14:schemeClr w14:val="tx1"/>
                  </w14:solidFill>
                </w14:textFill>
              </w:rPr>
              <w:t>终点坐标：（东经120度</w:t>
            </w:r>
            <w:r>
              <w:rPr>
                <w:rFonts w:hint="eastAsia" w:ascii="宋体" w:hAnsi="宋体" w:cs="宋体"/>
                <w:color w:val="000000" w:themeColor="text1"/>
                <w:kern w:val="0"/>
                <w:sz w:val="24"/>
                <w:szCs w:val="24"/>
                <w:lang w:val="en-US" w:eastAsia="zh-CN" w:bidi="ar"/>
                <w14:textFill>
                  <w14:solidFill>
                    <w14:schemeClr w14:val="tx1"/>
                  </w14:solidFill>
                </w14:textFill>
              </w:rPr>
              <w:t>14</w:t>
            </w:r>
            <w:r>
              <w:rPr>
                <w:rFonts w:hint="default" w:ascii="宋体" w:hAnsi="宋体" w:eastAsia="宋体" w:cs="宋体"/>
                <w:color w:val="000000" w:themeColor="text1"/>
                <w:kern w:val="0"/>
                <w:sz w:val="24"/>
                <w:szCs w:val="24"/>
                <w:lang w:val="en-US" w:eastAsia="zh-CN" w:bidi="ar"/>
                <w14:textFill>
                  <w14:solidFill>
                    <w14:schemeClr w14:val="tx1"/>
                  </w14:solidFill>
                </w14:textFill>
              </w:rPr>
              <w:t>分</w:t>
            </w:r>
            <w:r>
              <w:rPr>
                <w:rFonts w:hint="eastAsia" w:ascii="宋体" w:hAnsi="宋体" w:cs="宋体"/>
                <w:color w:val="000000" w:themeColor="text1"/>
                <w:kern w:val="0"/>
                <w:sz w:val="24"/>
                <w:szCs w:val="24"/>
                <w:lang w:val="en-US" w:eastAsia="zh-CN" w:bidi="ar"/>
                <w14:textFill>
                  <w14:solidFill>
                    <w14:schemeClr w14:val="tx1"/>
                  </w14:solidFill>
                </w14:textFill>
              </w:rPr>
              <w:t>59.18</w:t>
            </w:r>
            <w:r>
              <w:rPr>
                <w:rFonts w:hint="default" w:ascii="宋体" w:hAnsi="宋体" w:eastAsia="宋体" w:cs="宋体"/>
                <w:color w:val="000000" w:themeColor="text1"/>
                <w:kern w:val="0"/>
                <w:sz w:val="24"/>
                <w:szCs w:val="24"/>
                <w:lang w:val="en-US" w:eastAsia="zh-CN" w:bidi="ar"/>
                <w14:textFill>
                  <w14:solidFill>
                    <w14:schemeClr w14:val="tx1"/>
                  </w14:solidFill>
                </w14:textFill>
              </w:rPr>
              <w:t>秒，北纬27度</w:t>
            </w:r>
            <w:r>
              <w:rPr>
                <w:rFonts w:hint="eastAsia" w:ascii="宋体" w:hAnsi="宋体" w:cs="宋体"/>
                <w:color w:val="000000" w:themeColor="text1"/>
                <w:kern w:val="0"/>
                <w:sz w:val="24"/>
                <w:szCs w:val="24"/>
                <w:lang w:val="en-US" w:eastAsia="zh-CN" w:bidi="ar"/>
                <w14:textFill>
                  <w14:solidFill>
                    <w14:schemeClr w14:val="tx1"/>
                  </w14:solidFill>
                </w14:textFill>
              </w:rPr>
              <w:t>2</w:t>
            </w:r>
            <w:r>
              <w:rPr>
                <w:rFonts w:hint="default" w:ascii="宋体" w:hAnsi="宋体" w:eastAsia="宋体" w:cs="宋体"/>
                <w:color w:val="000000" w:themeColor="text1"/>
                <w:kern w:val="0"/>
                <w:sz w:val="24"/>
                <w:szCs w:val="24"/>
                <w:lang w:val="en-US" w:eastAsia="zh-CN" w:bidi="ar"/>
                <w14:textFill>
                  <w14:solidFill>
                    <w14:schemeClr w14:val="tx1"/>
                  </w14:solidFill>
                </w14:textFill>
              </w:rPr>
              <w:t>分</w:t>
            </w:r>
            <w:r>
              <w:rPr>
                <w:rFonts w:hint="eastAsia" w:ascii="宋体" w:hAnsi="宋体" w:cs="宋体"/>
                <w:color w:val="000000" w:themeColor="text1"/>
                <w:kern w:val="0"/>
                <w:sz w:val="24"/>
                <w:szCs w:val="24"/>
                <w:lang w:val="en-US" w:eastAsia="zh-CN" w:bidi="ar"/>
                <w14:textFill>
                  <w14:solidFill>
                    <w14:schemeClr w14:val="tx1"/>
                  </w14:solidFill>
                </w14:textFill>
              </w:rPr>
              <w:t>28.87</w:t>
            </w:r>
            <w:r>
              <w:rPr>
                <w:rFonts w:hint="default" w:ascii="宋体" w:hAnsi="宋体" w:eastAsia="宋体" w:cs="宋体"/>
                <w:color w:val="000000" w:themeColor="text1"/>
                <w:kern w:val="0"/>
                <w:sz w:val="24"/>
                <w:szCs w:val="24"/>
                <w:lang w:val="en-US" w:eastAsia="zh-CN" w:bidi="ar"/>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建设项目</w:t>
            </w:r>
          </w:p>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行业类别</w:t>
            </w:r>
          </w:p>
        </w:tc>
        <w:tc>
          <w:tcPr>
            <w:tcW w:w="3247" w:type="dxa"/>
            <w:vAlign w:val="center"/>
          </w:tcPr>
          <w:p>
            <w:pPr>
              <w:keepNext w:val="0"/>
              <w:keepLines w:val="0"/>
              <w:widowControl/>
              <w:suppressLineNumbers w:val="0"/>
              <w:spacing w:line="240" w:lineRule="auto"/>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五十一、水利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127</w:t>
            </w:r>
            <w:r>
              <w:rPr>
                <w:rFonts w:hint="eastAsia" w:ascii="宋体" w:hAnsi="宋体" w:eastAsia="宋体" w:cs="宋体"/>
                <w:color w:val="000000" w:themeColor="text1"/>
                <w:kern w:val="0"/>
                <w:sz w:val="24"/>
                <w:szCs w:val="24"/>
                <w:lang w:val="en-US" w:eastAsia="zh-CN" w:bidi="ar"/>
                <w14:textFill>
                  <w14:solidFill>
                    <w14:schemeClr w14:val="tx1"/>
                  </w14:solidFill>
                </w14:textFill>
              </w:rPr>
              <w:t>防洪除涝工程中其他（小型沟渠的护坡除外；城镇排涝河流水闸、排涝泵站除外）</w:t>
            </w:r>
          </w:p>
        </w:tc>
        <w:tc>
          <w:tcPr>
            <w:tcW w:w="2218"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用地（用海）面积（m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）/长度（km）</w:t>
            </w:r>
          </w:p>
        </w:tc>
        <w:tc>
          <w:tcPr>
            <w:tcW w:w="2620" w:type="dxa"/>
            <w:gridSpan w:val="2"/>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总长</w:t>
            </w:r>
            <w:r>
              <w:rPr>
                <w:rFonts w:hint="eastAsia" w:cs="Times New Roman"/>
                <w:color w:val="000000" w:themeColor="text1"/>
                <w:kern w:val="0"/>
                <w:sz w:val="24"/>
                <w:szCs w:val="24"/>
                <w:highlight w:val="none"/>
                <w:lang w:val="en-US" w:eastAsia="zh-CN" w:bidi="ar"/>
                <w14:textFill>
                  <w14:solidFill>
                    <w14:schemeClr w14:val="tx1"/>
                  </w14:solidFill>
                </w14:textFill>
              </w:rPr>
              <w:t>2928.02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建设性质</w:t>
            </w:r>
          </w:p>
        </w:tc>
        <w:tc>
          <w:tcPr>
            <w:tcW w:w="3247" w:type="dxa"/>
            <w:vAlign w:val="center"/>
          </w:tcPr>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新建（迁建）</w:t>
            </w:r>
          </w:p>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改建</w:t>
            </w:r>
          </w:p>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扩建</w:t>
            </w:r>
          </w:p>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2218"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w:t>
            </w:r>
          </w:p>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申报情形</w:t>
            </w:r>
          </w:p>
        </w:tc>
        <w:tc>
          <w:tcPr>
            <w:tcW w:w="2620" w:type="dxa"/>
            <w:gridSpan w:val="2"/>
            <w:vAlign w:val="center"/>
          </w:tcPr>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首次申报项目</w:t>
            </w:r>
          </w:p>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不予批准后再次申报项目</w:t>
            </w:r>
          </w:p>
          <w:p>
            <w:pPr>
              <w:adjustRightInd w:val="0"/>
              <w:snapToGrid w:val="0"/>
              <w:spacing w:line="24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超五年重新审核项目</w:t>
            </w:r>
          </w:p>
          <w:p>
            <w:pPr>
              <w:adjustRightInd w:val="0"/>
              <w:snapToGrid w:val="0"/>
              <w:spacing w:line="24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项目审批（核准/</w:t>
            </w:r>
          </w:p>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备案）部门（选填）</w:t>
            </w:r>
          </w:p>
        </w:tc>
        <w:tc>
          <w:tcPr>
            <w:tcW w:w="3247"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福鼎市发展和改革局</w:t>
            </w:r>
          </w:p>
        </w:tc>
        <w:tc>
          <w:tcPr>
            <w:tcW w:w="2218"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项目审批（核准/</w:t>
            </w:r>
          </w:p>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备案）文号（选填）</w:t>
            </w:r>
          </w:p>
        </w:tc>
        <w:tc>
          <w:tcPr>
            <w:tcW w:w="2620" w:type="dxa"/>
            <w:gridSpan w:val="2"/>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鼎发改审批[2021]</w:t>
            </w:r>
            <w:r>
              <w:rPr>
                <w:rFonts w:hint="eastAsia" w:cs="Times New Roman"/>
                <w:color w:val="000000" w:themeColor="text1"/>
                <w:sz w:val="24"/>
                <w:szCs w:val="24"/>
                <w:highlight w:val="none"/>
                <w:lang w:val="en-US" w:eastAsia="zh-CN"/>
                <w14:textFill>
                  <w14:solidFill>
                    <w14:schemeClr w14:val="tx1"/>
                  </w14:solidFill>
                </w14:textFill>
              </w:rPr>
              <w:t>165</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22" w:type="dxa"/>
            <w:tcMar>
              <w:top w:w="16" w:type="dxa"/>
              <w:left w:w="16" w:type="dxa"/>
              <w:right w:w="16" w:type="dxa"/>
            </w:tcMar>
            <w:vAlign w:val="center"/>
          </w:tcPr>
          <w:p>
            <w:pPr>
              <w:spacing w:line="240" w:lineRule="auto"/>
              <w:rPr>
                <w:color w:val="000000" w:themeColor="text1"/>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总投资（万元）</w:t>
            </w:r>
          </w:p>
        </w:tc>
        <w:tc>
          <w:tcPr>
            <w:tcW w:w="3247"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6591.50</w:t>
            </w:r>
          </w:p>
        </w:tc>
        <w:tc>
          <w:tcPr>
            <w:tcW w:w="2218" w:type="dxa"/>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环保投资（万元）</w:t>
            </w:r>
          </w:p>
        </w:tc>
        <w:tc>
          <w:tcPr>
            <w:tcW w:w="2620" w:type="dxa"/>
            <w:gridSpan w:val="2"/>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yellow"/>
                <w:lang w:val="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155.49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环保投资占比（%）</w:t>
            </w:r>
          </w:p>
        </w:tc>
        <w:tc>
          <w:tcPr>
            <w:tcW w:w="3247" w:type="dxa"/>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35</w:t>
            </w:r>
          </w:p>
        </w:tc>
        <w:tc>
          <w:tcPr>
            <w:tcW w:w="2218" w:type="dxa"/>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2620" w:type="dxa"/>
            <w:gridSpan w:val="2"/>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22" w:type="dxa"/>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是否开工建设</w:t>
            </w:r>
          </w:p>
        </w:tc>
        <w:tc>
          <w:tcPr>
            <w:tcW w:w="8085" w:type="dxa"/>
            <w:gridSpan w:val="4"/>
            <w:vAlign w:val="center"/>
          </w:tcPr>
          <w:p>
            <w:pPr>
              <w:adjustRightInd w:val="0"/>
              <w:snapToGrid w:val="0"/>
              <w:spacing w:line="240" w:lineRule="auto"/>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p>
            <w:pPr>
              <w:adjustRightInd w:val="0"/>
              <w:snapToGrid w:val="0"/>
              <w:spacing w:line="240" w:lineRule="auto"/>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22" w:type="dxa"/>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专项评价设置情况</w:t>
            </w:r>
          </w:p>
        </w:tc>
        <w:tc>
          <w:tcPr>
            <w:tcW w:w="8085" w:type="dxa"/>
            <w:gridSpan w:val="4"/>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p>
          <w:tbl>
            <w:tblPr>
              <w:tblStyle w:val="19"/>
              <w:tblW w:w="8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4171"/>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专项评价的类别</w:t>
                  </w:r>
                </w:p>
              </w:tc>
              <w:tc>
                <w:tcPr>
                  <w:tcW w:w="4171"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设置原则</w:t>
                  </w:r>
                </w:p>
              </w:tc>
              <w:tc>
                <w:tcPr>
                  <w:tcW w:w="2432" w:type="dxa"/>
                  <w:shd w:val="clear" w:color="auto" w:fill="auto"/>
                  <w:vAlign w:val="bottom"/>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地表水</w:t>
                  </w:r>
                </w:p>
              </w:tc>
              <w:tc>
                <w:tcPr>
                  <w:tcW w:w="4171" w:type="dxa"/>
                  <w:shd w:val="clear" w:color="auto" w:fill="auto"/>
                  <w:vAlign w:val="center"/>
                </w:tcPr>
                <w:p>
                  <w:pPr>
                    <w:keepNext w:val="0"/>
                    <w:keepLines w:val="0"/>
                    <w:widowControl/>
                    <w:suppressLineNumbers w:val="0"/>
                    <w:spacing w:line="240" w:lineRule="auto"/>
                    <w:jc w:val="left"/>
                    <w:rPr>
                      <w:color w:val="000000" w:themeColor="text1"/>
                      <w:sz w:val="21"/>
                      <w:szCs w:val="21"/>
                      <w:highlight w:val="none"/>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水力发电：引水式发电，涉及调峰发电的</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项目</w:t>
                  </w:r>
                </w:p>
                <w:p>
                  <w:pPr>
                    <w:keepNext w:val="0"/>
                    <w:keepLines w:val="0"/>
                    <w:widowControl/>
                    <w:suppressLineNumbers w:val="0"/>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人工</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湖、人工湿地：全部</w:t>
                  </w:r>
                </w:p>
                <w:p>
                  <w:pPr>
                    <w:keepNext w:val="0"/>
                    <w:keepLines w:val="0"/>
                    <w:widowControl/>
                    <w:suppressLineNumbers w:val="0"/>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水库：全部</w:t>
                  </w:r>
                </w:p>
                <w:p>
                  <w:pPr>
                    <w:keepNext w:val="0"/>
                    <w:keepLines w:val="0"/>
                    <w:widowControl/>
                    <w:suppressLineNumbers w:val="0"/>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引水工程：全部（配套的管线工程等除外）</w:t>
                  </w:r>
                </w:p>
                <w:p>
                  <w:pPr>
                    <w:autoSpaceDE w:val="0"/>
                    <w:autoSpaceDN w:val="0"/>
                    <w:adjustRightInd w:val="0"/>
                    <w:snapToGrid w:val="0"/>
                    <w:spacing w:line="240" w:lineRule="auto"/>
                    <w:jc w:val="left"/>
                    <w:rPr>
                      <w:rFonts w:hint="default" w:ascii="宋" w:hAnsi="宋" w:eastAsia="宋" w:cs="宋"/>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防洪除涝工</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程：包含水库的项目</w:t>
                  </w:r>
                </w:p>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河湖整治：涉及清淤且底泥存在重金属污染的项目</w:t>
                  </w:r>
                </w:p>
              </w:tc>
              <w:tc>
                <w:tcPr>
                  <w:tcW w:w="2432" w:type="dxa"/>
                  <w:shd w:val="clear" w:color="auto" w:fill="auto"/>
                  <w:vAlign w:val="center"/>
                </w:tcPr>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vertAlign w:val="baseline"/>
                      <w:lang w:val="en-US" w:eastAsia="zh-CN"/>
                      <w14:textFill>
                        <w14:solidFill>
                          <w14:schemeClr w14:val="tx1"/>
                        </w14:solidFill>
                      </w14:textFill>
                    </w:rPr>
                    <w:t>本项目为防洪除涝项目，项目不包含水库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地下水</w:t>
                  </w:r>
                </w:p>
              </w:tc>
              <w:tc>
                <w:tcPr>
                  <w:tcW w:w="4171" w:type="dxa"/>
                  <w:shd w:val="clear" w:color="auto" w:fill="auto"/>
                  <w:vAlign w:val="center"/>
                </w:tcPr>
                <w:p>
                  <w:pPr>
                    <w:keepNext w:val="0"/>
                    <w:keepLines w:val="0"/>
                    <w:widowControl/>
                    <w:suppressLineNumbers w:val="0"/>
                    <w:spacing w:line="240" w:lineRule="auto"/>
                    <w:jc w:val="left"/>
                    <w:rPr>
                      <w:color w:val="000000" w:themeColor="text1"/>
                      <w:sz w:val="21"/>
                      <w:szCs w:val="21"/>
                      <w:highlight w:val="none"/>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炉底石油和天然气开采：全部</w:t>
                  </w:r>
                </w:p>
                <w:p>
                  <w:pPr>
                    <w:keepNext w:val="0"/>
                    <w:keepLines w:val="0"/>
                    <w:widowControl/>
                    <w:suppressLineNumbers w:val="0"/>
                    <w:spacing w:line="240" w:lineRule="auto"/>
                    <w:jc w:val="left"/>
                    <w:rPr>
                      <w:rFonts w:hint="default" w:ascii="宋" w:hAnsi="宋" w:eastAsia="宋" w:cs="宋"/>
                      <w:color w:val="000000" w:themeColor="text1"/>
                      <w:kern w:val="0"/>
                      <w:sz w:val="21"/>
                      <w:szCs w:val="21"/>
                      <w:highlight w:val="none"/>
                      <w:lang w:val="en-US" w:eastAsia="zh-CN" w:bidi="ar"/>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地下水（含矿泉水）开采：全部</w:t>
                  </w:r>
                </w:p>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水利、水电、交通等：含穿越可溶岩地层隧道的项目</w:t>
                  </w:r>
                </w:p>
              </w:tc>
              <w:tc>
                <w:tcPr>
                  <w:tcW w:w="2432" w:type="dxa"/>
                  <w:shd w:val="clear" w:color="auto" w:fill="auto"/>
                  <w:vAlign w:val="center"/>
                </w:tcPr>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本项目隧洞不穿越可</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溶岩地层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生态</w:t>
                  </w:r>
                </w:p>
              </w:tc>
              <w:tc>
                <w:tcPr>
                  <w:tcW w:w="4171" w:type="dxa"/>
                  <w:shd w:val="clear" w:color="auto" w:fill="auto"/>
                  <w:vAlign w:val="center"/>
                </w:tcPr>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涉及环境敏感区（不包括饮用水水源保护</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区，以居住、医疗卫生、文化教育、科研、行政办公为主要功能的区域，以及文物保护单位）的项目</w:t>
                  </w:r>
                </w:p>
              </w:tc>
              <w:tc>
                <w:tcPr>
                  <w:tcW w:w="2432"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vertAlign w:val="baseline"/>
                      <w:lang w:val="en-US" w:eastAsia="zh-CN"/>
                      <w14:textFill>
                        <w14:solidFill>
                          <w14:schemeClr w14:val="tx1"/>
                        </w14:solidFill>
                      </w14:textFill>
                    </w:rPr>
                    <w:t>本项目部分隧洞从生态红线地下50~80m左右穿过，对地表生态影响很小，属于无害化通过，因此不设置专项评价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大气</w:t>
                  </w:r>
                </w:p>
              </w:tc>
              <w:tc>
                <w:tcPr>
                  <w:tcW w:w="4171" w:type="dxa"/>
                  <w:shd w:val="clear" w:color="auto" w:fill="auto"/>
                  <w:vAlign w:val="center"/>
                </w:tcPr>
                <w:p>
                  <w:pPr>
                    <w:keepNext w:val="0"/>
                    <w:keepLines w:val="0"/>
                    <w:widowControl/>
                    <w:suppressLineNumbers w:val="0"/>
                    <w:spacing w:line="240" w:lineRule="auto"/>
                    <w:jc w:val="left"/>
                    <w:rPr>
                      <w:color w:val="000000" w:themeColor="text1"/>
                      <w:sz w:val="21"/>
                      <w:szCs w:val="21"/>
                      <w:highlight w:val="none"/>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油气、液体化工码头：全部</w:t>
                  </w:r>
                </w:p>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干散货（含煤炭、矿石）、件杂、多用途、通用码头：涉及粉尘、挥发性有机物排放的项目</w:t>
                  </w:r>
                </w:p>
              </w:tc>
              <w:tc>
                <w:tcPr>
                  <w:tcW w:w="2432"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vertAlign w:val="baseline"/>
                      <w:lang w:val="en-US" w:eastAsia="zh-CN"/>
                      <w14:textFill>
                        <w14:solidFill>
                          <w14:schemeClr w14:val="tx1"/>
                        </w14:solidFill>
                      </w14:textFill>
                    </w:rPr>
                    <w:t>本项目为防洪除涝项目，</w:t>
                  </w:r>
                  <w:r>
                    <w:rPr>
                      <w:rFonts w:hint="eastAsia"/>
                      <w:color w:val="000000" w:themeColor="text1"/>
                      <w:sz w:val="21"/>
                      <w:szCs w:val="21"/>
                      <w:highlight w:val="none"/>
                      <w:lang w:val="en-US" w:eastAsia="zh-CN"/>
                      <w14:textFill>
                        <w14:solidFill>
                          <w14:schemeClr w14:val="tx1"/>
                        </w14:solidFill>
                      </w14:textFill>
                    </w:rPr>
                    <w:t>不涉及左列情形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噪声</w:t>
                  </w:r>
                </w:p>
              </w:tc>
              <w:tc>
                <w:tcPr>
                  <w:tcW w:w="4171" w:type="dxa"/>
                  <w:shd w:val="clear" w:color="auto" w:fill="auto"/>
                  <w:vAlign w:val="center"/>
                </w:tcPr>
                <w:p>
                  <w:pPr>
                    <w:keepNext w:val="0"/>
                    <w:keepLines w:val="0"/>
                    <w:widowControl/>
                    <w:suppressLineNumbers w:val="0"/>
                    <w:spacing w:line="240" w:lineRule="auto"/>
                    <w:jc w:val="left"/>
                    <w:rPr>
                      <w:color w:val="000000" w:themeColor="text1"/>
                      <w:sz w:val="21"/>
                      <w:szCs w:val="21"/>
                      <w:highlight w:val="none"/>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公路、铁路、机场等交通运输业涉及环境敏</w:t>
                  </w: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感区（以居住、医疗卫生、文化教育、科研、行政办公为主要功能的区域）的项目</w:t>
                  </w:r>
                  <w:r>
                    <w:rPr>
                      <w:rFonts w:hint="eastAsia" w:ascii="宋" w:hAnsi="宋" w:eastAsia="宋" w:cs="宋"/>
                      <w:color w:val="000000" w:themeColor="text1"/>
                      <w:kern w:val="0"/>
                      <w:sz w:val="21"/>
                      <w:szCs w:val="21"/>
                      <w:highlight w:val="none"/>
                      <w:lang w:val="en-US" w:eastAsia="zh-CN" w:bidi="ar"/>
                      <w14:textFill>
                        <w14:solidFill>
                          <w14:schemeClr w14:val="tx1"/>
                        </w14:solidFill>
                      </w14:textFill>
                    </w:rPr>
                    <w:t>。</w:t>
                  </w:r>
                </w:p>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城市道路（不含维护、不含支路、人行天桥、人行地道）：全部</w:t>
                  </w:r>
                </w:p>
              </w:tc>
              <w:tc>
                <w:tcPr>
                  <w:tcW w:w="2432"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vertAlign w:val="baseline"/>
                      <w:lang w:val="en-US" w:eastAsia="zh-CN"/>
                      <w14:textFill>
                        <w14:solidFill>
                          <w14:schemeClr w14:val="tx1"/>
                        </w14:solidFill>
                      </w14:textFill>
                    </w:rPr>
                    <w:t>本项目为防洪除涝项目，</w:t>
                  </w:r>
                  <w:r>
                    <w:rPr>
                      <w:rFonts w:hint="eastAsia"/>
                      <w:color w:val="000000" w:themeColor="text1"/>
                      <w:sz w:val="21"/>
                      <w:szCs w:val="21"/>
                      <w:highlight w:val="none"/>
                      <w:lang w:val="en-US" w:eastAsia="zh-CN"/>
                      <w14:textFill>
                        <w14:solidFill>
                          <w14:schemeClr w14:val="tx1"/>
                        </w14:solidFill>
                      </w14:textFill>
                    </w:rPr>
                    <w:t>不涉及左列情形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环境风险</w:t>
                  </w:r>
                </w:p>
              </w:tc>
              <w:tc>
                <w:tcPr>
                  <w:tcW w:w="4171" w:type="dxa"/>
                  <w:shd w:val="clear" w:color="auto" w:fill="auto"/>
                  <w:vAlign w:val="center"/>
                </w:tcPr>
                <w:p>
                  <w:pPr>
                    <w:keepNext w:val="0"/>
                    <w:keepLines w:val="0"/>
                    <w:widowControl/>
                    <w:suppressLineNumbers w:val="0"/>
                    <w:spacing w:line="240" w:lineRule="auto"/>
                    <w:jc w:val="left"/>
                    <w:rPr>
                      <w:color w:val="000000" w:themeColor="text1"/>
                      <w:sz w:val="21"/>
                      <w:szCs w:val="21"/>
                      <w:highlight w:val="none"/>
                      <w14:textFill>
                        <w14:solidFill>
                          <w14:schemeClr w14:val="tx1"/>
                        </w14:solidFill>
                      </w14:textFill>
                    </w:rPr>
                  </w:pPr>
                  <w:r>
                    <w:rPr>
                      <w:rFonts w:ascii="宋" w:hAnsi="宋" w:eastAsia="宋" w:cs="宋"/>
                      <w:color w:val="000000" w:themeColor="text1"/>
                      <w:kern w:val="0"/>
                      <w:sz w:val="21"/>
                      <w:szCs w:val="21"/>
                      <w:highlight w:val="none"/>
                      <w:lang w:val="en-US" w:eastAsia="zh-CN" w:bidi="ar"/>
                      <w14:textFill>
                        <w14:solidFill>
                          <w14:schemeClr w14:val="tx1"/>
                        </w14:solidFill>
                      </w14:textFill>
                    </w:rPr>
                    <w:t>石油和天然气开采：全部</w:t>
                  </w:r>
                </w:p>
                <w:p>
                  <w:pPr>
                    <w:keepNext w:val="0"/>
                    <w:keepLines w:val="0"/>
                    <w:widowControl/>
                    <w:suppressLineNumbers w:val="0"/>
                    <w:spacing w:line="240" w:lineRule="auto"/>
                    <w:jc w:val="left"/>
                    <w:rPr>
                      <w:color w:val="000000" w:themeColor="text1"/>
                      <w:sz w:val="21"/>
                      <w:szCs w:val="21"/>
                      <w:highlight w:val="none"/>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油气、液体化工码头：全部</w:t>
                  </w:r>
                </w:p>
                <w:p>
                  <w:pPr>
                    <w:autoSpaceDE w:val="0"/>
                    <w:autoSpaceDN w:val="0"/>
                    <w:adjustRightInd w:val="0"/>
                    <w:snapToGrid w:val="0"/>
                    <w:spacing w:line="240" w:lineRule="auto"/>
                    <w:jc w:val="left"/>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pPr>
                  <w:r>
                    <w:rPr>
                      <w:rFonts w:hint="default" w:ascii="宋" w:hAnsi="宋" w:eastAsia="宋" w:cs="宋"/>
                      <w:color w:val="000000" w:themeColor="text1"/>
                      <w:kern w:val="0"/>
                      <w:sz w:val="21"/>
                      <w:szCs w:val="21"/>
                      <w:highlight w:val="none"/>
                      <w:lang w:val="en-US" w:eastAsia="zh-CN" w:bidi="ar"/>
                      <w14:textFill>
                        <w14:solidFill>
                          <w14:schemeClr w14:val="tx1"/>
                        </w14:solidFill>
                      </w14:textFill>
                    </w:rPr>
                    <w:t>原油、成品油、天然气管线（不含城镇天然气管线、企业厂区内管线），危险化学品输送管线（不含企业厂区内管线）：全部</w:t>
                  </w:r>
                </w:p>
              </w:tc>
              <w:tc>
                <w:tcPr>
                  <w:tcW w:w="2432" w:type="dxa"/>
                  <w:shd w:val="clear" w:color="auto" w:fill="auto"/>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vertAlign w:val="baseline"/>
                      <w:lang w:val="en-US" w:eastAsia="zh-CN"/>
                      <w14:textFill>
                        <w14:solidFill>
                          <w14:schemeClr w14:val="tx1"/>
                        </w14:solidFill>
                      </w14:textFill>
                    </w:rPr>
                    <w:t>本项目为防洪除涝项目，</w:t>
                  </w:r>
                  <w:r>
                    <w:rPr>
                      <w:rFonts w:hint="eastAsia"/>
                      <w:color w:val="000000" w:themeColor="text1"/>
                      <w:sz w:val="21"/>
                      <w:szCs w:val="21"/>
                      <w:highlight w:val="none"/>
                      <w:lang w:val="en-US" w:eastAsia="zh-CN"/>
                      <w14:textFill>
                        <w14:solidFill>
                          <w14:schemeClr w14:val="tx1"/>
                        </w14:solidFill>
                      </w14:textFill>
                    </w:rPr>
                    <w:t>不涉及左列情形</w:t>
                  </w:r>
                </w:p>
              </w:tc>
            </w:tr>
          </w:tbl>
          <w:p>
            <w:pPr>
              <w:autoSpaceDE w:val="0"/>
              <w:autoSpaceDN w:val="0"/>
              <w:adjustRightInd w:val="0"/>
              <w:snapToGrid w:val="0"/>
              <w:spacing w:line="360" w:lineRule="auto"/>
              <w:jc w:val="cente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022" w:type="dxa"/>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规划情况</w:t>
            </w:r>
          </w:p>
        </w:tc>
        <w:tc>
          <w:tcPr>
            <w:tcW w:w="8085" w:type="dxa"/>
            <w:gridSpan w:val="4"/>
            <w:tcMar>
              <w:top w:w="16" w:type="dxa"/>
              <w:left w:w="16" w:type="dxa"/>
              <w:right w:w="16" w:type="dxa"/>
            </w:tcMar>
            <w:vAlign w:val="center"/>
          </w:tcPr>
          <w:p>
            <w:pPr>
              <w:adjustRightInd w:val="0"/>
              <w:snapToGrid w:val="0"/>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名称：《福鼎硖门防洪排涝规划修编（报批稿）》</w:t>
            </w:r>
          </w:p>
          <w:p>
            <w:pPr>
              <w:autoSpaceDE w:val="0"/>
              <w:autoSpaceDN w:val="0"/>
              <w:adjustRightInd w:val="0"/>
              <w:snapToGrid w:val="0"/>
              <w:spacing w:line="240" w:lineRule="auto"/>
              <w:jc w:val="center"/>
              <w:rPr>
                <w:rFonts w:hint="eastAsia"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审批机关：福鼎市人民政府</w:t>
            </w:r>
          </w:p>
          <w:p>
            <w:pPr>
              <w:autoSpaceDE w:val="0"/>
              <w:autoSpaceDN w:val="0"/>
              <w:adjustRightInd w:val="0"/>
              <w:snapToGrid w:val="0"/>
              <w:spacing w:line="240" w:lineRule="auto"/>
              <w:jc w:val="center"/>
              <w:rPr>
                <w:rFonts w:hint="default"/>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文号：鼎政综</w:t>
            </w:r>
            <w:r>
              <w:rPr>
                <w:rFonts w:hint="default" w:ascii="宋体" w:hAnsi="宋体" w:eastAsia="宋体" w:cs="宋体"/>
                <w:color w:val="000000" w:themeColor="text1"/>
                <w:kern w:val="0"/>
                <w:sz w:val="24"/>
                <w:szCs w:val="24"/>
                <w:lang w:val="en-US" w:eastAsia="zh-CN"/>
                <w14:textFill>
                  <w14:solidFill>
                    <w14:schemeClr w14:val="tx1"/>
                  </w14:solidFill>
                </w14:textFill>
              </w:rPr>
              <w:t>[2021]</w:t>
            </w:r>
            <w:r>
              <w:rPr>
                <w:rFonts w:hint="eastAsia" w:ascii="宋体" w:hAnsi="宋体" w:eastAsia="宋体" w:cs="宋体"/>
                <w:color w:val="000000" w:themeColor="text1"/>
                <w:kern w:val="0"/>
                <w:sz w:val="24"/>
                <w:szCs w:val="24"/>
                <w:lang w:val="en-US" w:eastAsia="zh-CN"/>
                <w14:textFill>
                  <w14:solidFill>
                    <w14:schemeClr w14:val="tx1"/>
                  </w14:solidFill>
                </w14:textFill>
              </w:rPr>
              <w:t>165号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22" w:type="dxa"/>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规划环境影响</w:t>
            </w:r>
          </w:p>
          <w:p>
            <w:pPr>
              <w:autoSpaceDE w:val="0"/>
              <w:autoSpaceDN w:val="0"/>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评价情况</w:t>
            </w:r>
          </w:p>
        </w:tc>
        <w:tc>
          <w:tcPr>
            <w:tcW w:w="8085" w:type="dxa"/>
            <w:gridSpan w:val="4"/>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022" w:type="dxa"/>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规划及</w:t>
            </w:r>
            <w:r>
              <w:rPr>
                <w:rFonts w:hint="eastAsia" w:ascii="宋体" w:hAnsi="宋体" w:eastAsia="宋体" w:cs="宋体"/>
                <w:color w:val="000000" w:themeColor="text1"/>
                <w:sz w:val="24"/>
                <w:szCs w:val="24"/>
                <w:highlight w:val="none"/>
                <w14:textFill>
                  <w14:solidFill>
                    <w14:schemeClr w14:val="tx1"/>
                  </w14:solidFill>
                </w14:textFill>
              </w:rPr>
              <w:t>规划环境影响评价</w:t>
            </w:r>
            <w:r>
              <w:rPr>
                <w:rFonts w:hint="eastAsia" w:ascii="宋体" w:hAnsi="宋体" w:eastAsia="宋体" w:cs="宋体"/>
                <w:color w:val="000000" w:themeColor="text1"/>
                <w:kern w:val="0"/>
                <w:sz w:val="24"/>
                <w:szCs w:val="24"/>
                <w:highlight w:val="none"/>
                <w14:textFill>
                  <w14:solidFill>
                    <w14:schemeClr w14:val="tx1"/>
                  </w14:solidFill>
                </w14:textFill>
              </w:rPr>
              <w:t>符合性分析</w:t>
            </w:r>
          </w:p>
        </w:tc>
        <w:tc>
          <w:tcPr>
            <w:tcW w:w="8085"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firstLine="480" w:firstLineChars="200"/>
              <w:jc w:val="both"/>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本项目与规划的符合性见表1-1。</w:t>
            </w:r>
          </w:p>
          <w:p>
            <w:pPr>
              <w:pStyle w:val="4"/>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pStyle w:val="4"/>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pStyle w:val="4"/>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pStyle w:val="4"/>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autoSpaceDE w:val="0"/>
              <w:autoSpaceDN w:val="0"/>
              <w:spacing w:before="120" w:beforeLines="50" w:line="360" w:lineRule="auto"/>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项目</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与规划的符合性分析</w:t>
            </w:r>
          </w:p>
          <w:tbl>
            <w:tblPr>
              <w:tblStyle w:val="18"/>
              <w:tblW w:w="80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3655"/>
              <w:gridCol w:w="2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vAlign w:val="center"/>
                </w:tcPr>
                <w:p>
                  <w:pPr>
                    <w:pStyle w:val="26"/>
                    <w:keepNext w:val="0"/>
                    <w:keepLines w:val="0"/>
                    <w:pageBreakBefore w:val="0"/>
                    <w:widowControl/>
                    <w:kinsoku/>
                    <w:wordWrap/>
                    <w:overflowPunct/>
                    <w:topLinePunct w:val="0"/>
                    <w:autoSpaceDE/>
                    <w:autoSpaceDN/>
                    <w:bidi w:val="0"/>
                    <w:adjustRightInd w:val="0"/>
                    <w:snapToGrid w:val="0"/>
                    <w:spacing w:line="240" w:lineRule="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规划名称</w:t>
                  </w:r>
                </w:p>
              </w:tc>
              <w:tc>
                <w:tcPr>
                  <w:tcW w:w="3655" w:type="dxa"/>
                  <w:vAlign w:val="center"/>
                </w:tcPr>
                <w:p>
                  <w:pPr>
                    <w:pStyle w:val="26"/>
                    <w:keepNext w:val="0"/>
                    <w:keepLines w:val="0"/>
                    <w:pageBreakBefore w:val="0"/>
                    <w:widowControl/>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规划内容</w:t>
                  </w:r>
                </w:p>
              </w:tc>
              <w:tc>
                <w:tcPr>
                  <w:tcW w:w="2531" w:type="dxa"/>
                  <w:vAlign w:val="center"/>
                </w:tcPr>
                <w:p>
                  <w:pPr>
                    <w:pStyle w:val="26"/>
                    <w:keepNext w:val="0"/>
                    <w:keepLines w:val="0"/>
                    <w:pageBreakBefore w:val="0"/>
                    <w:widowControl/>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5" w:type="dxa"/>
                  <w:vAlign w:val="center"/>
                </w:tcPr>
                <w:p>
                  <w:pPr>
                    <w:pStyle w:val="26"/>
                    <w:keepNext w:val="0"/>
                    <w:keepLines w:val="0"/>
                    <w:pageBreakBefore w:val="0"/>
                    <w:widowControl/>
                    <w:kinsoku/>
                    <w:wordWrap/>
                    <w:overflowPunct/>
                    <w:topLinePunct w:val="0"/>
                    <w:autoSpaceDE/>
                    <w:autoSpaceDN/>
                    <w:bidi w:val="0"/>
                    <w:adjustRightInd w:val="0"/>
                    <w:snapToGrid w:val="0"/>
                    <w:spacing w:line="240" w:lineRule="auto"/>
                    <w:ind w:right="0" w:firstLine="0" w:firstLineChars="0"/>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福鼎硖门防洪排涝规划修编（报批稿）</w:t>
                  </w:r>
                </w:p>
              </w:tc>
              <w:tc>
                <w:tcPr>
                  <w:tcW w:w="3655" w:type="dxa"/>
                  <w:vAlign w:val="center"/>
                </w:tcPr>
                <w:p>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硖门乡</w:t>
                  </w:r>
                  <w:r>
                    <w:rPr>
                      <w:color w:val="000000" w:themeColor="text1"/>
                      <w:sz w:val="21"/>
                      <w:szCs w:val="21"/>
                      <w14:textFill>
                        <w14:solidFill>
                          <w14:schemeClr w14:val="tx1"/>
                        </w14:solidFill>
                      </w14:textFill>
                    </w:rPr>
                    <w:t>防洪规划的主要目标是：以</w:t>
                  </w:r>
                  <w:r>
                    <w:rPr>
                      <w:rFonts w:hint="eastAsia"/>
                      <w:color w:val="000000" w:themeColor="text1"/>
                      <w:sz w:val="21"/>
                      <w:szCs w:val="21"/>
                      <w14:textFill>
                        <w14:solidFill>
                          <w14:schemeClr w14:val="tx1"/>
                        </w14:solidFill>
                      </w14:textFill>
                    </w:rPr>
                    <w:t>新区控规</w:t>
                  </w:r>
                  <w:r>
                    <w:rPr>
                      <w:color w:val="000000" w:themeColor="text1"/>
                      <w:sz w:val="21"/>
                      <w:szCs w:val="21"/>
                      <w14:textFill>
                        <w14:solidFill>
                          <w14:schemeClr w14:val="tx1"/>
                        </w14:solidFill>
                      </w14:textFill>
                    </w:rPr>
                    <w:t>为依据，解决</w:t>
                  </w:r>
                  <w:r>
                    <w:rPr>
                      <w:rFonts w:hint="eastAsia"/>
                      <w:color w:val="000000" w:themeColor="text1"/>
                      <w:sz w:val="21"/>
                      <w:szCs w:val="21"/>
                      <w14:textFill>
                        <w14:solidFill>
                          <w14:schemeClr w14:val="tx1"/>
                        </w14:solidFill>
                      </w14:textFill>
                    </w:rPr>
                    <w:t>硖门乡集镇</w:t>
                  </w:r>
                  <w:r>
                    <w:rPr>
                      <w:color w:val="000000" w:themeColor="text1"/>
                      <w:sz w:val="21"/>
                      <w:szCs w:val="21"/>
                      <w14:textFill>
                        <w14:solidFill>
                          <w14:schemeClr w14:val="tx1"/>
                        </w14:solidFill>
                      </w14:textFill>
                    </w:rPr>
                    <w:t>洪水出路为重点，按照城市防洪排涝标准，通过定量分析计算，确定</w:t>
                  </w:r>
                  <w:r>
                    <w:rPr>
                      <w:rFonts w:hint="eastAsia"/>
                      <w:color w:val="000000" w:themeColor="text1"/>
                      <w:sz w:val="21"/>
                      <w:szCs w:val="21"/>
                      <w14:textFill>
                        <w14:solidFill>
                          <w14:schemeClr w14:val="tx1"/>
                        </w14:solidFill>
                      </w14:textFill>
                    </w:rPr>
                    <w:t>硖门乡</w:t>
                  </w:r>
                  <w:r>
                    <w:rPr>
                      <w:color w:val="000000" w:themeColor="text1"/>
                      <w:sz w:val="21"/>
                      <w:szCs w:val="21"/>
                      <w14:textFill>
                        <w14:solidFill>
                          <w14:schemeClr w14:val="tx1"/>
                        </w14:solidFill>
                      </w14:textFill>
                    </w:rPr>
                    <w:t>范围内设计标准的防洪、排涝水位，滞洪区（湖）以及水闸的布局和规模，根据技术经济比较，</w:t>
                  </w:r>
                  <w:r>
                    <w:rPr>
                      <w:rFonts w:hint="eastAsia"/>
                      <w:color w:val="000000" w:themeColor="text1"/>
                      <w:sz w:val="21"/>
                      <w:szCs w:val="21"/>
                      <w14:textFill>
                        <w14:solidFill>
                          <w14:schemeClr w14:val="tx1"/>
                        </w14:solidFill>
                      </w14:textFill>
                    </w:rPr>
                    <w:t>推荐硖门乡</w:t>
                  </w:r>
                  <w:r>
                    <w:rPr>
                      <w:color w:val="000000" w:themeColor="text1"/>
                      <w:sz w:val="21"/>
                      <w:szCs w:val="21"/>
                      <w14:textFill>
                        <w14:solidFill>
                          <w14:schemeClr w14:val="tx1"/>
                        </w14:solidFill>
                      </w14:textFill>
                    </w:rPr>
                    <w:t>的防洪</w:t>
                  </w:r>
                  <w:r>
                    <w:rPr>
                      <w:rFonts w:hint="eastAsia"/>
                      <w:color w:val="000000" w:themeColor="text1"/>
                      <w:sz w:val="21"/>
                      <w:szCs w:val="21"/>
                      <w14:textFill>
                        <w14:solidFill>
                          <w14:schemeClr w14:val="tx1"/>
                        </w14:solidFill>
                      </w14:textFill>
                    </w:rPr>
                    <w:t>排涝</w:t>
                  </w:r>
                  <w:r>
                    <w:rPr>
                      <w:color w:val="000000" w:themeColor="text1"/>
                      <w:sz w:val="21"/>
                      <w:szCs w:val="21"/>
                      <w14:textFill>
                        <w14:solidFill>
                          <w14:schemeClr w14:val="tx1"/>
                        </w14:solidFill>
                      </w14:textFill>
                    </w:rPr>
                    <w:t>方案，完善防洪</w:t>
                  </w:r>
                  <w:r>
                    <w:rPr>
                      <w:rFonts w:hint="eastAsia"/>
                      <w:color w:val="000000" w:themeColor="text1"/>
                      <w:sz w:val="21"/>
                      <w:szCs w:val="21"/>
                      <w14:textFill>
                        <w14:solidFill>
                          <w14:schemeClr w14:val="tx1"/>
                        </w14:solidFill>
                      </w14:textFill>
                    </w:rPr>
                    <w:t>排涝</w:t>
                  </w:r>
                  <w:r>
                    <w:rPr>
                      <w:color w:val="000000" w:themeColor="text1"/>
                      <w:sz w:val="21"/>
                      <w:szCs w:val="21"/>
                      <w14:textFill>
                        <w14:solidFill>
                          <w14:schemeClr w14:val="tx1"/>
                        </w14:solidFill>
                      </w14:textFill>
                    </w:rPr>
                    <w:t>体系。</w:t>
                  </w:r>
                  <w:r>
                    <w:rPr>
                      <w:rFonts w:hint="eastAsia"/>
                      <w:color w:val="000000" w:themeColor="text1"/>
                      <w:sz w:val="21"/>
                      <w:szCs w:val="21"/>
                      <w14:textFill>
                        <w14:solidFill>
                          <w14:schemeClr w14:val="tx1"/>
                        </w14:solidFill>
                      </w14:textFill>
                    </w:rPr>
                    <w:t>降低河道的洪水位，</w:t>
                  </w:r>
                  <w:r>
                    <w:rPr>
                      <w:color w:val="000000" w:themeColor="text1"/>
                      <w:sz w:val="21"/>
                      <w:szCs w:val="21"/>
                      <w14:textFill>
                        <w14:solidFill>
                          <w14:schemeClr w14:val="tx1"/>
                        </w14:solidFill>
                      </w14:textFill>
                    </w:rPr>
                    <w:t>使</w:t>
                  </w:r>
                  <w:r>
                    <w:rPr>
                      <w:rFonts w:hint="eastAsia"/>
                      <w:color w:val="000000" w:themeColor="text1"/>
                      <w:sz w:val="21"/>
                      <w:szCs w:val="21"/>
                      <w14:textFill>
                        <w14:solidFill>
                          <w14:schemeClr w14:val="tx1"/>
                        </w14:solidFill>
                      </w14:textFill>
                    </w:rPr>
                    <w:t>现有硖门乡的</w:t>
                  </w:r>
                  <w:r>
                    <w:rPr>
                      <w:color w:val="000000" w:themeColor="text1"/>
                      <w:sz w:val="21"/>
                      <w:szCs w:val="21"/>
                      <w14:textFill>
                        <w14:solidFill>
                          <w14:schemeClr w14:val="tx1"/>
                        </w14:solidFill>
                      </w14:textFill>
                    </w:rPr>
                    <w:t>防洪标准</w:t>
                  </w:r>
                  <w:r>
                    <w:rPr>
                      <w:rFonts w:hint="eastAsia"/>
                      <w:color w:val="000000" w:themeColor="text1"/>
                      <w:sz w:val="21"/>
                      <w:szCs w:val="21"/>
                      <w14:textFill>
                        <w14:solidFill>
                          <w14:schemeClr w14:val="tx1"/>
                        </w14:solidFill>
                      </w14:textFill>
                    </w:rPr>
                    <w:t>及排涝标准达到要求。</w:t>
                  </w:r>
                  <w:r>
                    <w:rPr>
                      <w:rFonts w:hint="eastAsia"/>
                      <w:color w:val="000000" w:themeColor="text1"/>
                      <w:sz w:val="21"/>
                      <w:szCs w:val="21"/>
                      <w:lang w:val="en-US" w:eastAsia="zh-CN"/>
                      <w14:textFill>
                        <w14:solidFill>
                          <w14:schemeClr w14:val="tx1"/>
                        </w14:solidFill>
                      </w14:textFill>
                    </w:rPr>
                    <w:t>其中</w:t>
                  </w:r>
                  <w:r>
                    <w:rPr>
                      <w:rFonts w:hint="eastAsia" w:ascii="Times New Roman" w:hAnsi="Times New Roman" w:cs="Times New Roman"/>
                      <w:color w:val="000000" w:themeColor="text1"/>
                      <w:sz w:val="21"/>
                      <w:szCs w:val="21"/>
                      <w14:textFill>
                        <w14:solidFill>
                          <w14:schemeClr w14:val="tx1"/>
                        </w14:solidFill>
                      </w14:textFill>
                    </w:rPr>
                    <w:t>庙后溪集水面积4.68km</w:t>
                  </w:r>
                  <w:r>
                    <w:rPr>
                      <w:rFonts w:hint="eastAsia" w:ascii="Times New Roman" w:hAnsi="Times New Roman" w:cs="Times New Roman"/>
                      <w:color w:val="000000" w:themeColor="text1"/>
                      <w:sz w:val="21"/>
                      <w:szCs w:val="21"/>
                      <w:vertAlign w:val="super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，10年一遇设计洪水75m</w:t>
                  </w:r>
                  <w:r>
                    <w:rPr>
                      <w:rFonts w:hint="eastAsia"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/s，庙后溪新闸上游10年一遇设计洪水62.7m</w:t>
                  </w:r>
                  <w:r>
                    <w:rPr>
                      <w:rFonts w:hint="eastAsia"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/s。</w:t>
                  </w:r>
                </w:p>
              </w:tc>
              <w:tc>
                <w:tcPr>
                  <w:tcW w:w="2531" w:type="dxa"/>
                  <w:vAlign w:val="center"/>
                </w:tcPr>
                <w:p>
                  <w:pPr>
                    <w:pStyle w:val="16"/>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rPr>
                      <w:rFonts w:hint="default" w:ascii="Times New Roman" w:hAnsi="Times New Roman" w:eastAsia="宋体" w:cs="Times New Roman"/>
                      <w:iCs/>
                      <w:color w:val="000000" w:themeColor="text1"/>
                      <w:kern w:val="28"/>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本项目</w:t>
                  </w:r>
                  <w:r>
                    <w:rPr>
                      <w:rFonts w:hint="eastAsia" w:ascii="宋体" w:hAnsi="宋体" w:eastAsia="宋体" w:cs="宋体"/>
                      <w:color w:val="000000" w:themeColor="text1"/>
                      <w:sz w:val="21"/>
                      <w:szCs w:val="21"/>
                      <w:lang w:eastAsia="zh-CN"/>
                      <w14:textFill>
                        <w14:solidFill>
                          <w14:schemeClr w14:val="tx1"/>
                        </w14:solidFill>
                      </w14:textFill>
                    </w:rPr>
                    <w:t>利用总长</w:t>
                  </w:r>
                  <w:r>
                    <w:rPr>
                      <w:rFonts w:hint="eastAsia" w:ascii="宋体" w:hAnsi="宋体" w:cs="宋体"/>
                      <w:color w:val="000000" w:themeColor="text1"/>
                      <w:sz w:val="21"/>
                      <w:szCs w:val="21"/>
                      <w:lang w:val="en-US" w:eastAsia="zh-CN"/>
                      <w14:textFill>
                        <w14:solidFill>
                          <w14:schemeClr w14:val="tx1"/>
                        </w14:solidFill>
                      </w14:textFill>
                    </w:rPr>
                    <w:t>2884.32</w:t>
                  </w:r>
                  <w:r>
                    <w:rPr>
                      <w:rFonts w:hint="eastAsia" w:ascii="宋体" w:hAnsi="宋体" w:eastAsia="宋体" w:cs="宋体"/>
                      <w:color w:val="000000" w:themeColor="text1"/>
                      <w:sz w:val="21"/>
                      <w:szCs w:val="21"/>
                      <w:lang w:eastAsia="zh-CN"/>
                      <w14:textFill>
                        <w14:solidFill>
                          <w14:schemeClr w14:val="tx1"/>
                        </w14:solidFill>
                      </w14:textFill>
                    </w:rPr>
                    <w:t>m（该长度含进水口，不含出口消能设施）的有压隧洞及箱涵，并在出口设置长</w:t>
                  </w:r>
                  <w:r>
                    <w:rPr>
                      <w:rFonts w:hint="eastAsia" w:ascii="宋体" w:hAnsi="宋体" w:cs="宋体"/>
                      <w:color w:val="000000" w:themeColor="text1"/>
                      <w:sz w:val="21"/>
                      <w:szCs w:val="21"/>
                      <w:lang w:val="en-US" w:eastAsia="zh-CN"/>
                      <w14:textFill>
                        <w14:solidFill>
                          <w14:schemeClr w14:val="tx1"/>
                        </w14:solidFill>
                      </w14:textFill>
                    </w:rPr>
                    <w:t>43.70</w:t>
                  </w:r>
                  <w:r>
                    <w:rPr>
                      <w:rFonts w:hint="eastAsia" w:ascii="宋体" w:hAnsi="宋体" w:eastAsia="宋体" w:cs="宋体"/>
                      <w:color w:val="000000" w:themeColor="text1"/>
                      <w:sz w:val="21"/>
                      <w:szCs w:val="21"/>
                      <w:lang w:eastAsia="zh-CN"/>
                      <w14:textFill>
                        <w14:solidFill>
                          <w14:schemeClr w14:val="tx1"/>
                        </w14:solidFill>
                      </w14:textFill>
                    </w:rPr>
                    <w:t>m的出口防冲设施1处，将分洪洪水通过庙后、大厝里、白沙排入外海。</w:t>
                  </w:r>
                  <w:r>
                    <w:rPr>
                      <w:rFonts w:hint="eastAsia" w:ascii="宋体" w:hAnsi="宋体" w:eastAsia="宋体" w:cs="宋体"/>
                      <w:color w:val="000000" w:themeColor="text1"/>
                      <w:sz w:val="21"/>
                      <w:szCs w:val="21"/>
                      <w:lang w:val="en-US" w:eastAsia="zh-CN"/>
                      <w14:textFill>
                        <w14:solidFill>
                          <w14:schemeClr w14:val="tx1"/>
                        </w14:solidFill>
                      </w14:textFill>
                    </w:rPr>
                    <w:t>其中</w:t>
                  </w:r>
                  <w:r>
                    <w:rPr>
                      <w:rFonts w:hAnsi="仿宋"/>
                      <w:color w:val="000000" w:themeColor="text1"/>
                      <w:sz w:val="21"/>
                      <w:szCs w:val="21"/>
                      <w:lang w:eastAsia="zh-CN"/>
                      <w14:textFill>
                        <w14:solidFill>
                          <w14:schemeClr w14:val="tx1"/>
                        </w14:solidFill>
                      </w14:textFill>
                    </w:rPr>
                    <w:t>隧洞及箱涵按照设计流量</w:t>
                  </w:r>
                  <w:r>
                    <w:rPr>
                      <w:color w:val="000000" w:themeColor="text1"/>
                      <w:sz w:val="21"/>
                      <w:szCs w:val="21"/>
                      <w:lang w:eastAsia="zh-CN"/>
                      <w14:textFill>
                        <w14:solidFill>
                          <w14:schemeClr w14:val="tx1"/>
                        </w14:solidFill>
                      </w14:textFill>
                    </w:rPr>
                    <w:t>75m</w:t>
                  </w:r>
                  <w:r>
                    <w:rPr>
                      <w:color w:val="000000" w:themeColor="text1"/>
                      <w:sz w:val="21"/>
                      <w:szCs w:val="21"/>
                      <w:vertAlign w:val="superscript"/>
                      <w:lang w:eastAsia="zh-CN"/>
                      <w14:textFill>
                        <w14:solidFill>
                          <w14:schemeClr w14:val="tx1"/>
                        </w14:solidFill>
                      </w14:textFill>
                    </w:rPr>
                    <w:t>3</w:t>
                  </w:r>
                  <w:r>
                    <w:rPr>
                      <w:color w:val="000000" w:themeColor="text1"/>
                      <w:sz w:val="21"/>
                      <w:szCs w:val="21"/>
                      <w:lang w:eastAsia="zh-CN"/>
                      <w14:textFill>
                        <w14:solidFill>
                          <w14:schemeClr w14:val="tx1"/>
                        </w14:solidFill>
                      </w14:textFill>
                    </w:rPr>
                    <w:t>/s</w:t>
                  </w:r>
                  <w:r>
                    <w:rPr>
                      <w:rFonts w:hAnsi="仿宋"/>
                      <w:color w:val="000000" w:themeColor="text1"/>
                      <w:sz w:val="21"/>
                      <w:szCs w:val="21"/>
                      <w:lang w:eastAsia="zh-CN"/>
                      <w14:textFill>
                        <w14:solidFill>
                          <w14:schemeClr w14:val="tx1"/>
                        </w14:solidFill>
                      </w14:textFill>
                    </w:rPr>
                    <w:t>进行设计</w:t>
                  </w:r>
                  <w:r>
                    <w:rPr>
                      <w:rFonts w:hint="eastAsia" w:hAnsi="仿宋"/>
                      <w:color w:val="000000" w:themeColor="text1"/>
                      <w:sz w:val="21"/>
                      <w:szCs w:val="21"/>
                      <w:lang w:eastAsia="zh-CN"/>
                      <w14:textFill>
                        <w14:solidFill>
                          <w14:schemeClr w14:val="tx1"/>
                        </w14:solidFill>
                      </w14:textFill>
                    </w:rPr>
                    <w:t>，</w:t>
                  </w:r>
                  <w:r>
                    <w:rPr>
                      <w:rFonts w:hint="eastAsia" w:hAnsi="仿宋"/>
                      <w:color w:val="000000" w:themeColor="text1"/>
                      <w:sz w:val="21"/>
                      <w:szCs w:val="21"/>
                      <w:lang w:val="en-US" w:eastAsia="zh-CN"/>
                      <w14:textFill>
                        <w14:solidFill>
                          <w14:schemeClr w14:val="tx1"/>
                        </w14:solidFill>
                      </w14:textFill>
                    </w:rPr>
                    <w:t>符合规划中的庙后溪</w:t>
                  </w:r>
                  <w:r>
                    <w:rPr>
                      <w:rFonts w:hint="eastAsia" w:ascii="Times New Roman" w:hAnsi="Times New Roman" w:cs="Times New Roman"/>
                      <w:color w:val="000000" w:themeColor="text1"/>
                      <w:sz w:val="21"/>
                      <w:szCs w:val="21"/>
                      <w14:textFill>
                        <w14:solidFill>
                          <w14:schemeClr w14:val="tx1"/>
                        </w14:solidFill>
                      </w14:textFill>
                    </w:rPr>
                    <w:t>10年一遇设计洪水75m</w:t>
                  </w:r>
                  <w:r>
                    <w:rPr>
                      <w:rFonts w:hint="eastAsia"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/s</w:t>
                  </w:r>
                  <w:r>
                    <w:rPr>
                      <w:rFonts w:hint="eastAsia" w:ascii="Times New Roman" w:hAnsi="Times New Roman" w:cs="Times New Roman"/>
                      <w:color w:val="000000" w:themeColor="text1"/>
                      <w:sz w:val="21"/>
                      <w:szCs w:val="21"/>
                      <w:lang w:val="en-US" w:eastAsia="zh-CN"/>
                      <w14:textFill>
                        <w14:solidFill>
                          <w14:schemeClr w14:val="tx1"/>
                        </w14:solidFill>
                      </w14:textFill>
                    </w:rPr>
                    <w:t>的规划。</w:t>
                  </w:r>
                </w:p>
              </w:tc>
            </w:tr>
          </w:tbl>
          <w:p>
            <w:pPr>
              <w:pStyle w:val="16"/>
              <w:widowControl/>
              <w:autoSpaceDE/>
              <w:autoSpaceDN/>
              <w:adjustRightInd/>
              <w:spacing w:before="157" w:beforeLines="50"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经以上分析，本项目的实施符合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福鼎硖门防洪排涝规划修编（报批稿）</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022" w:type="dxa"/>
            <w:tcMar>
              <w:top w:w="16" w:type="dxa"/>
              <w:left w:w="16" w:type="dxa"/>
              <w:right w:w="16" w:type="dxa"/>
            </w:tcMar>
            <w:vAlign w:val="center"/>
          </w:tcPr>
          <w:p>
            <w:pPr>
              <w:autoSpaceDE w:val="0"/>
              <w:autoSpaceDN w:val="0"/>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bookmarkStart w:id="0" w:name="_Hlk56690880"/>
            <w:r>
              <w:rPr>
                <w:rFonts w:hint="eastAsia" w:ascii="宋体" w:hAnsi="宋体" w:eastAsia="宋体" w:cs="宋体"/>
                <w:color w:val="000000" w:themeColor="text1"/>
                <w:kern w:val="0"/>
                <w:sz w:val="24"/>
                <w:szCs w:val="24"/>
                <w:highlight w:val="none"/>
                <w14:textFill>
                  <w14:solidFill>
                    <w14:schemeClr w14:val="tx1"/>
                  </w14:solidFill>
                </w14:textFill>
              </w:rPr>
              <w:t>其他符合性分析</w:t>
            </w:r>
            <w:bookmarkEnd w:id="0"/>
          </w:p>
        </w:tc>
        <w:tc>
          <w:tcPr>
            <w:tcW w:w="8085" w:type="dxa"/>
            <w:gridSpan w:val="4"/>
            <w:tcMar>
              <w:top w:w="16" w:type="dxa"/>
              <w:left w:w="16" w:type="dxa"/>
              <w:right w:w="16" w:type="dxa"/>
            </w:tcMar>
            <w:vAlign w:val="center"/>
          </w:tcPr>
          <w:p>
            <w:pPr>
              <w:pStyle w:val="4"/>
              <w:numPr>
                <w:ilvl w:val="0"/>
                <w:numId w:val="0"/>
              </w:num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“三线一单”管控要求符合性分析</w:t>
            </w:r>
          </w:p>
          <w:p>
            <w:pPr>
              <w:widowControl/>
              <w:snapToGrid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宁德</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市人民政府关于印发</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宁德</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市“三线一单”生态环境分区管控方案的通知》（</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宁政</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〔2021〕</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号），本项目相关符合性分析如下：</w:t>
            </w:r>
          </w:p>
          <w:p>
            <w:pPr>
              <w:pStyle w:val="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1.1生态保护红线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宁德市人民政府关于印发宁德市“三线一单”生态环境分区管控方案的通知》（宁政﹝2021﹞11号），宁德市生态保护红线为全市生态空间范围内具有特殊重要生态功能、必须强制性严格保护的区域，包括水源涵养、生物多样性维护、水土保持、海岸防护等生态功能极重要区域，水土流失、海岸侵蚀及沙源流失等生态极脆弱区域，以及其他具有潜在重要生态价值的区域。宁德市生态保护红线最终范围和面积以省政府发布结果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lightGray"/>
                <w:lang w:val="en-US"/>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经对照，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本项目部分管段</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t>KA2+740～KA2+</w:t>
            </w:r>
            <w:r>
              <w:rPr>
                <w:rFonts w:hint="eastAsia" w:cs="Times New Roman"/>
                <w:bCs/>
                <w:color w:val="000000" w:themeColor="text1"/>
                <w:kern w:val="2"/>
                <w:sz w:val="24"/>
                <w:szCs w:val="24"/>
                <w:highlight w:val="none"/>
                <w:lang w:val="en-US" w:eastAsia="zh-CN"/>
                <w14:textFill>
                  <w14:solidFill>
                    <w14:schemeClr w14:val="tx1"/>
                  </w14:solidFill>
                </w14:textFill>
              </w:rPr>
              <w:t>884.32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涉及</w:t>
            </w:r>
            <w:r>
              <w:rPr>
                <w:rFonts w:hint="eastAsia"/>
                <w:color w:val="000000" w:themeColor="text1"/>
                <w:sz w:val="24"/>
                <w:szCs w:val="24"/>
                <w:highlight w:val="none"/>
                <w:lang w:val="en-US" w:eastAsia="zh-CN"/>
                <w14:textFill>
                  <w14:solidFill>
                    <w14:schemeClr w14:val="tx1"/>
                  </w14:solidFill>
                </w14:textFill>
              </w:rPr>
              <w:t>闽东渚河流域水土保持</w:t>
            </w:r>
            <w:r>
              <w:rPr>
                <w:rFonts w:hint="default"/>
                <w:color w:val="000000" w:themeColor="text1"/>
                <w:sz w:val="24"/>
                <w:szCs w:val="24"/>
                <w:highlight w:val="none"/>
                <w14:textFill>
                  <w14:solidFill>
                    <w14:schemeClr w14:val="tx1"/>
                  </w14:solidFill>
                </w14:textFill>
              </w:rPr>
              <w:t>生态保护红线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本项目为防洪排涝设施建设，生态红线范围基本覆盖整个海边，是将洪水引流至大海的必经之地，符合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中共中央办公厅国务院办公厅印发《关于在国土空间规划中统筹划定落实三条控制线的指导意见》中“</w:t>
            </w:r>
            <w:r>
              <w:rPr>
                <w:rFonts w:hint="default" w:ascii="Times New Roman" w:hAnsi="Times New Roman" w:eastAsia="宋体" w:cs="Times New Roman"/>
                <w:color w:val="000000" w:themeColor="text1"/>
                <w:sz w:val="24"/>
                <w:szCs w:val="24"/>
                <w:highlight w:val="none"/>
                <w14:textFill>
                  <w14:solidFill>
                    <w14:schemeClr w14:val="tx1"/>
                  </w14:solidFill>
                </w14:textFill>
              </w:rPr>
              <w:t>必须且无法避让、符合县级以上国土空间规划的线性基础设施建设、防洪和供水设施建设与运行维护</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类别</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涉及红线</w:t>
            </w:r>
            <w:r>
              <w:rPr>
                <w:rFonts w:hint="eastAsia" w:ascii="宋体" w:hAnsi="宋体" w:eastAsia="宋体" w:cs="宋体"/>
                <w:color w:val="000000" w:themeColor="text1"/>
                <w:sz w:val="24"/>
                <w:highlight w:val="none"/>
                <w:lang w:val="en-US" w:eastAsia="zh-CN"/>
                <w14:textFill>
                  <w14:solidFill>
                    <w14:schemeClr w14:val="tx1"/>
                  </w14:solidFill>
                </w14:textFill>
              </w:rPr>
              <w:t>的</w:t>
            </w:r>
            <w:r>
              <w:rPr>
                <w:rFonts w:hint="eastAsia" w:cs="Times New Roman"/>
                <w:color w:val="000000" w:themeColor="text1"/>
                <w:sz w:val="24"/>
                <w:szCs w:val="24"/>
                <w:highlight w:val="none"/>
                <w:lang w:val="en-US" w:eastAsia="zh-CN"/>
                <w14:textFill>
                  <w14:solidFill>
                    <w14:schemeClr w14:val="tx1"/>
                  </w14:solidFill>
                </w14:textFill>
              </w:rPr>
              <w:t>隧洞从山体当中穿过(见附图4)，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因此本项目与生态保护红线要求不冲突。</w:t>
            </w:r>
          </w:p>
          <w:p>
            <w:pPr>
              <w:pStyle w:val="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1.2环境质量底线</w:t>
            </w:r>
          </w:p>
          <w:p>
            <w:pPr>
              <w:widowControl/>
              <w:snapToGrid w:val="0"/>
              <w:spacing w:line="360" w:lineRule="auto"/>
              <w:ind w:firstLine="480" w:firstLineChars="200"/>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（1）水环境质量底线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宁德市人民政府关于印发宁德市“三线一单”生态环境分区管控方案的通知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宁政﹝2021﹞11号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，到202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全市主要流域国、省控断面水质优良（达到或优于Ⅲ类）比例总体达100%，县级以上集中式饮用水水源水质达标率达100%。到2030年，全市主要流域国、省控断面水质优良（达到或优于Ⅲ类）比例总体达100%，县级以上城市建成区黑臭水体总体得到消除，县级以上集中式饮用水水源水质稳定达标。到2035年，全市主要流域国、省控断面水质优良（达到或优于Ⅲ类）比例总体达100%，水生态系统实现良性循环。</w:t>
            </w:r>
          </w:p>
          <w:p>
            <w:pPr>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不属于工业污染型项目，仅在施工期产生较少的生活污水及生产废水，</w:t>
            </w:r>
            <w:r>
              <w:rPr>
                <w:rFonts w:hint="default" w:ascii="Times New Roman" w:hAnsi="Times New Roman" w:cs="Times New Roman"/>
                <w:color w:val="000000" w:themeColor="text1"/>
                <w14:textFill>
                  <w14:solidFill>
                    <w14:schemeClr w14:val="tx1"/>
                  </w14:solidFill>
                </w14:textFill>
              </w:rPr>
              <w:t>投产后</w:t>
            </w:r>
            <w:r>
              <w:rPr>
                <w:rFonts w:hint="default" w:ascii="Times New Roman" w:hAnsi="Times New Roman" w:cs="Times New Roman"/>
                <w:color w:val="000000" w:themeColor="text1"/>
                <w:lang w:val="en-US" w:eastAsia="zh-CN"/>
                <w14:textFill>
                  <w14:solidFill>
                    <w14:schemeClr w14:val="tx1"/>
                  </w14:solidFill>
                </w14:textFill>
              </w:rPr>
              <w:t>不产生生活污水及生产废水</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因此符合水环境管控要求</w:t>
            </w:r>
            <w:r>
              <w:rPr>
                <w:rFonts w:hint="default" w:ascii="Times New Roman" w:hAnsi="Times New Roman" w:cs="Times New Roman"/>
                <w:color w:val="000000" w:themeColor="text1"/>
                <w14:textFill>
                  <w14:solidFill>
                    <w14:schemeClr w14:val="tx1"/>
                  </w14:solidFill>
                </w14:textFill>
              </w:rPr>
              <w:t>。</w:t>
            </w:r>
          </w:p>
          <w:p>
            <w:pPr>
              <w:widowControl/>
              <w:snapToGrid w:val="0"/>
              <w:spacing w:line="336" w:lineRule="auto"/>
              <w:ind w:firstLine="480" w:firstLineChars="200"/>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（2）大气环境质量底线</w:t>
            </w:r>
          </w:p>
          <w:p>
            <w:pPr>
              <w:widowControl/>
              <w:snapToGrid w:val="0"/>
              <w:spacing w:line="336"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宁德市人民政府关于印发宁德市“三线一单”生态环境分区管控方案的通知</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宁政﹝2021﹞11号</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到2025年，中心城区PM</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年平均浓度不高于23μg/m</w:t>
            </w:r>
            <w:r>
              <w:rPr>
                <w:rFonts w:hint="default"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。到2035年，县级以上地区空气质量PM</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年平均浓度不高于18μg/m</w:t>
            </w:r>
            <w:r>
              <w:rPr>
                <w:rFonts w:hint="default"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pPr>
              <w:widowControl/>
              <w:snapToGrid w:val="0"/>
              <w:spacing w:line="336" w:lineRule="auto"/>
              <w:ind w:firstLine="480" w:firstLineChars="200"/>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防洪</w:t>
            </w:r>
            <w:r>
              <w:rPr>
                <w:rFonts w:hint="eastAsia" w:ascii="Times New Roman" w:hAnsi="Times New Roman" w:cs="Times New Roman"/>
                <w:color w:val="000000" w:themeColor="text1"/>
                <w:sz w:val="24"/>
                <w:highlight w:val="none"/>
                <w:lang w:val="en-US" w:eastAsia="zh-CN"/>
                <w14:textFill>
                  <w14:solidFill>
                    <w14:schemeClr w14:val="tx1"/>
                  </w14:solidFill>
                </w14:textFill>
              </w:rPr>
              <w:t>排涝</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污染产生在施工期，且施工期废气排放较少，符合排放标准，建成后运营期</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无废气排放，</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符合大气环境质量底线要求。</w:t>
            </w:r>
          </w:p>
          <w:p>
            <w:pPr>
              <w:widowControl/>
              <w:snapToGrid w:val="0"/>
              <w:spacing w:line="336" w:lineRule="auto"/>
              <w:ind w:firstLine="480" w:firstLineChars="200"/>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（3）土壤环境风险管控底线</w:t>
            </w:r>
          </w:p>
          <w:p>
            <w:pPr>
              <w:widowControl/>
              <w:snapToGrid w:val="0"/>
              <w:spacing w:line="336"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宁德市人民政府关于印发宁德市“三线一单”生态环境分区管控方案的通知》（宁政﹝2021﹞11号），到2025年，全市土壤环境质量保持稳定，土壤环境风险得到管控，受污染耕地和污染地块安全利用率达93％以上。到2035年，全市土壤环境质量稳中向好，土壤环境风险得到全面管控，受污染耕地和污染地块安全利用率达95％以上。</w:t>
            </w:r>
          </w:p>
          <w:p>
            <w:pPr>
              <w:widowControl/>
              <w:snapToGrid w:val="0"/>
              <w:spacing w:line="336"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本项目施工期对环境可能有短暂</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影响，施工期结束后，环境质量较易恢复，</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不会对环境质量底线造成冲击，符合环境质量底线要求。</w:t>
            </w:r>
          </w:p>
          <w:p>
            <w:pPr>
              <w:pStyle w:val="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1.3资源利用上线</w:t>
            </w:r>
          </w:p>
          <w:p>
            <w:pPr>
              <w:widowControl/>
              <w:snapToGrid w:val="0"/>
              <w:spacing w:line="336" w:lineRule="auto"/>
              <w:ind w:firstLine="480" w:firstLineChars="200"/>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项目实施时严格按照有关规定，落实节能技术及管理措施，</w:t>
            </w:r>
            <w:r>
              <w:rPr>
                <w:rFonts w:hint="default" w:ascii="Times New Roman" w:hAnsi="Times New Roman" w:eastAsia="宋体" w:cs="Times New Roman"/>
                <w:color w:val="000000" w:themeColor="text1"/>
                <w:kern w:val="0"/>
                <w:sz w:val="24"/>
                <w:szCs w:val="20"/>
                <w:highlight w:val="none"/>
                <w14:textFill>
                  <w14:solidFill>
                    <w14:schemeClr w14:val="tx1"/>
                  </w14:solidFill>
                </w14:textFill>
              </w:rPr>
              <w:t>项目的水、电资源利用不会突破区域的资源利用上线。</w:t>
            </w:r>
          </w:p>
          <w:p>
            <w:pPr>
              <w:pStyle w:val="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1.4生态环境准入清单</w:t>
            </w:r>
          </w:p>
          <w:p>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根据《福建省生态环境准入清单》</w:t>
            </w:r>
            <w:r>
              <w:rPr>
                <w:rFonts w:hint="default"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宁德市</w:t>
            </w:r>
            <w:r>
              <w:rPr>
                <w:rFonts w:hint="default" w:ascii="Times New Roman" w:hAnsi="Times New Roman" w:cs="Times New Roman"/>
                <w:color w:val="000000" w:themeColor="text1"/>
                <w:highlight w:val="none"/>
                <w14:textFill>
                  <w14:solidFill>
                    <w14:schemeClr w14:val="tx1"/>
                  </w14:solidFill>
                </w14:textFill>
              </w:rPr>
              <w:t>生态环境准入清单》，本项目用地范围涉及管控单元为</w:t>
            </w:r>
            <w:r>
              <w:rPr>
                <w:rFonts w:hint="eastAsia" w:cs="Times New Roman"/>
                <w:color w:val="000000" w:themeColor="text1"/>
                <w:highlight w:val="none"/>
                <w:lang w:val="en-US" w:eastAsia="zh-CN"/>
                <w14:textFill>
                  <w14:solidFill>
                    <w14:schemeClr w14:val="tx1"/>
                  </w14:solidFill>
                </w14:textFill>
              </w:rPr>
              <w:t>福鼎市水土保持生态保护红线（ZH35098210007）优先保护单元</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widowControl/>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福鼎市水土保持生态保护红线（</w:t>
            </w:r>
            <w:r>
              <w:rPr>
                <w:rFonts w:hint="eastAsia" w:cs="Times New Roman"/>
                <w:color w:val="000000" w:themeColor="text1"/>
                <w:highlight w:val="none"/>
                <w:lang w:val="en-US" w:eastAsia="zh-CN"/>
                <w14:textFill>
                  <w14:solidFill>
                    <w14:schemeClr w14:val="tx1"/>
                  </w14:solidFill>
                </w14:textFill>
              </w:rPr>
              <w:t>ZH35098210007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空间布局约束：依据《关于在国土空间规划中统筹划定落实三条控制线的指导意见》进行管理，严格禁止开发性、生产性建设活动，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pPr>
              <w:bidi w:val="0"/>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本项目为防洪排涝工程，符合必须且无法避让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、符合县级以上国土空间规划的线性基础设施建设、防洪和供水设施建设与运行维护，即符合</w:t>
            </w:r>
            <w:r>
              <w:rPr>
                <w:rFonts w:hint="eastAsia" w:cs="Times New Roman"/>
                <w:color w:val="000000" w:themeColor="text1"/>
                <w:highlight w:val="none"/>
                <w:lang w:val="en-US" w:eastAsia="zh-CN"/>
                <w14:textFill>
                  <w14:solidFill>
                    <w14:schemeClr w14:val="tx1"/>
                  </w14:solidFill>
                </w14:textFill>
              </w:rPr>
              <w:t>福鼎市水土保持生态保护红线（ZH35098210007）优先保护单元</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一般管控单元</w:t>
            </w:r>
            <w:r>
              <w:rPr>
                <w:rFonts w:hint="default" w:ascii="Times New Roman" w:hAnsi="Times New Roman" w:eastAsia="宋体" w:cs="Times New Roman"/>
                <w:color w:val="000000" w:themeColor="text1"/>
                <w:highlight w:val="none"/>
                <w14:textFill>
                  <w14:solidFill>
                    <w14:schemeClr w14:val="tx1"/>
                  </w14:solidFill>
                </w14:textFill>
              </w:rPr>
              <w:t>要求。</w:t>
            </w:r>
          </w:p>
          <w:p>
            <w:pPr>
              <w:widowControl/>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综上所述，本项目建设符合</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福鼎</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市“三线一单”生态环境分区管控方案的要求。</w:t>
            </w:r>
          </w:p>
          <w:p>
            <w:pPr>
              <w:pStyle w:val="4"/>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2.环境合理性</w:t>
            </w:r>
            <w:r>
              <w:rPr>
                <w:rFonts w:hint="default"/>
                <w:color w:val="000000" w:themeColor="text1"/>
                <w14:textFill>
                  <w14:solidFill>
                    <w14:schemeClr w14:val="tx1"/>
                  </w14:solidFill>
                </w14:textFill>
              </w:rPr>
              <w:t>分析</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.1选线合理性分析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本次设计在庙后溪硖门畲族乡教堂上游约100m处建设拦河坝，并在左库岸设置分洪口，利用压力隧洞及箱涵，将分洪洪水通过庙后、大厝里、白沙排入外海。</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隧洞及箱涵总长</w:t>
            </w:r>
            <w:r>
              <w:rPr>
                <w:rFonts w:hint="eastAsia" w:ascii="宋体" w:hAnsi="宋体" w:cs="宋体"/>
                <w:color w:val="000000" w:themeColor="text1"/>
                <w:sz w:val="24"/>
                <w:szCs w:val="24"/>
                <w:lang w:val="en-US" w:eastAsia="zh-CN"/>
                <w14:textFill>
                  <w14:solidFill>
                    <w14:schemeClr w14:val="tx1"/>
                  </w14:solidFill>
                </w14:textFill>
              </w:rPr>
              <w:t>2884.32</w:t>
            </w:r>
            <w:r>
              <w:rPr>
                <w:rFonts w:hint="eastAsia" w:ascii="宋体" w:hAnsi="宋体" w:eastAsia="宋体" w:cs="宋体"/>
                <w:color w:val="000000" w:themeColor="text1"/>
                <w:sz w:val="24"/>
                <w:szCs w:val="24"/>
                <w:lang w:eastAsia="zh-CN"/>
                <w14:textFill>
                  <w14:solidFill>
                    <w14:schemeClr w14:val="tx1"/>
                  </w14:solidFill>
                </w14:textFill>
              </w:rPr>
              <w:t>m（该长度含进水口，不含出口消能设施）</w:t>
            </w:r>
            <w:r>
              <w:rPr>
                <w:rFonts w:hint="eastAsia" w:cs="Times New Roman"/>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工程庙后溪拦水坝新建于基督教堂后山崖边庙后溪。拦河坝左侧为山丘，右侧为水泥路。场地所处地貌为冲洪积阶地，地势较为平缓、开阔，河道内有基岩出露。拦水坝场地区分布残坡积地层，主要有人工填土、残坡积砂质</w:t>
            </w:r>
            <w:r>
              <w:rPr>
                <w:rFonts w:hint="eastAsia" w:cs="Times New Roman"/>
                <w:color w:val="000000" w:themeColor="text1"/>
                <w:kern w:val="0"/>
                <w:sz w:val="24"/>
                <w:szCs w:val="24"/>
                <w:highlight w:val="none"/>
                <w:lang w:val="en-US" w:eastAsia="zh-CN" w:bidi="ar"/>
                <w14:textFill>
                  <w14:solidFill>
                    <w14:schemeClr w14:val="tx1"/>
                  </w14:solidFill>
                </w14:textFill>
              </w:rPr>
              <w:t>黏土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、全风化凝灰熔岩、强风化凝灰熔岩及弱风化凝灰熔岩。其中杂填土厚约2.20m，砂质</w:t>
            </w:r>
            <w:r>
              <w:rPr>
                <w:rFonts w:hint="eastAsia" w:cs="Times New Roman"/>
                <w:color w:val="000000" w:themeColor="text1"/>
                <w:kern w:val="0"/>
                <w:sz w:val="24"/>
                <w:szCs w:val="24"/>
                <w:highlight w:val="none"/>
                <w:lang w:val="en-US" w:eastAsia="zh-CN" w:bidi="ar"/>
                <w14:textFill>
                  <w14:solidFill>
                    <w14:schemeClr w14:val="tx1"/>
                  </w14:solidFill>
                </w14:textFill>
              </w:rPr>
              <w:t>黏土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厚约2.00～3.00m，下伏强～弱风化凝灰熔岩。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隧洞沿线地表为中低山丘陵地貌，一般高程在100～500m。除3#隧洞出口处基岩出露较好，其余隧洞进出口处山体植被发育，地表均为坡积层覆盖。</w:t>
            </w:r>
            <w:r>
              <w:rPr>
                <w:rFonts w:hint="eastAsia" w:cs="Times New Roman"/>
                <w:color w:val="000000" w:themeColor="text1"/>
                <w:kern w:val="0"/>
                <w:sz w:val="24"/>
                <w:szCs w:val="24"/>
                <w:highlight w:val="none"/>
                <w:lang w:val="en-US" w:eastAsia="zh-CN" w:bidi="ar"/>
                <w14:textFill>
                  <w14:solidFill>
                    <w14:schemeClr w14:val="tx1"/>
                  </w14:solidFill>
                </w14:textFill>
              </w:rPr>
              <w:t>隧洞工程部分区域</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t>KA2+740～KA2+</w:t>
            </w:r>
            <w:r>
              <w:rPr>
                <w:rFonts w:hint="eastAsia" w:cs="Times New Roman"/>
                <w:bCs/>
                <w:color w:val="000000" w:themeColor="text1"/>
                <w:kern w:val="2"/>
                <w:sz w:val="24"/>
                <w:szCs w:val="24"/>
                <w:highlight w:val="none"/>
                <w:lang w:val="en-US" w:eastAsia="zh-CN"/>
                <w14:textFill>
                  <w14:solidFill>
                    <w14:schemeClr w14:val="tx1"/>
                  </w14:solidFill>
                </w14:textFill>
              </w:rPr>
              <w:t>884.32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穿越了生态保护红线，但</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沿线除进出水口外的隧洞部分埋深达到</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80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eastAsia" w:cs="Times New Roman"/>
                <w:color w:val="000000" w:themeColor="text1"/>
                <w:kern w:val="0"/>
                <w:sz w:val="24"/>
                <w:szCs w:val="24"/>
                <w:highlight w:val="none"/>
                <w:lang w:val="en-US" w:eastAsia="zh-CN" w:bidi="ar"/>
                <w14:textFill>
                  <w14:solidFill>
                    <w14:schemeClr w14:val="tx1"/>
                  </w14:solidFill>
                </w14:textFill>
              </w:rPr>
              <w:t>，无害化通过了生态保护红线。</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且项目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不占用区域的农田及植被，</w:t>
            </w:r>
            <w:r>
              <w:rPr>
                <w:rFonts w:hint="eastAsia" w:cs="Times New Roman"/>
                <w:color w:val="000000" w:themeColor="text1"/>
                <w:kern w:val="0"/>
                <w:sz w:val="24"/>
                <w:szCs w:val="24"/>
                <w:highlight w:val="none"/>
                <w:lang w:val="en-US" w:eastAsia="zh-CN" w:bidi="ar"/>
                <w14:textFill>
                  <w14:solidFill>
                    <w14:schemeClr w14:val="tx1"/>
                  </w14:solidFill>
                </w14:textFill>
              </w:rPr>
              <w:t>箱涵段以及</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临时占地待施工结束后通过恢复表土，撒播草籽可逐渐恢复，不会导致区域内生态面积的降低，因此</w:t>
            </w:r>
            <w:r>
              <w:rPr>
                <w:rFonts w:hint="eastAsia" w:cs="Times New Roman"/>
                <w:color w:val="000000" w:themeColor="text1"/>
                <w:kern w:val="0"/>
                <w:sz w:val="24"/>
                <w:szCs w:val="24"/>
                <w:highlight w:val="none"/>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的选址及施工方案在环境保护的角度上较为合理。且本项目管道的环境影响主要是施工期对大气、声环境及水土流失的短期影响，通过采取相应的降噪、抑尘措施，严格执行水土保持方案，能够有效减缓，因此本项目选线合理。</w:t>
            </w:r>
          </w:p>
          <w:p>
            <w:pPr>
              <w:pStyle w:val="5"/>
              <w:bidi w:val="0"/>
              <w:rPr>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施工场地选址</w:t>
            </w:r>
            <w:r>
              <w:rPr>
                <w:rFonts w:hint="default"/>
                <w:color w:val="000000" w:themeColor="text1"/>
                <w:highlight w:val="none"/>
                <w:lang w:val="en-US" w:eastAsia="zh-CN"/>
                <w14:textFill>
                  <w14:solidFill>
                    <w14:schemeClr w14:val="tx1"/>
                  </w14:solidFill>
                </w14:textFill>
              </w:rPr>
              <w:t>合理性分析</w:t>
            </w:r>
          </w:p>
          <w:p>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表1-1 施工场情况</w:t>
            </w:r>
          </w:p>
          <w:tbl>
            <w:tblPr>
              <w:tblStyle w:val="19"/>
              <w:tblpPr w:leftFromText="180" w:rightFromText="180" w:vertAnchor="page" w:horzAnchor="page" w:tblpX="165" w:tblpY="7044"/>
              <w:tblOverlap w:val="never"/>
              <w:tblW w:w="783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2"/>
              <w:gridCol w:w="3178"/>
              <w:gridCol w:w="2618"/>
              <w:gridCol w:w="13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652" w:type="dxa"/>
                  <w:tcBorders>
                    <w:tl2br w:val="nil"/>
                    <w:tr2bl w:val="nil"/>
                  </w:tcBorders>
                  <w:vAlign w:val="center"/>
                </w:tcPr>
                <w:p>
                  <w:pPr>
                    <w:spacing w:line="240" w:lineRule="auto"/>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施工场</w:t>
                  </w:r>
                </w:p>
              </w:tc>
              <w:tc>
                <w:tcPr>
                  <w:tcW w:w="3178" w:type="dxa"/>
                  <w:tcBorders>
                    <w:tl2br w:val="nil"/>
                    <w:tr2bl w:val="nil"/>
                  </w:tcBorders>
                  <w:vAlign w:val="center"/>
                </w:tcPr>
                <w:p>
                  <w:pPr>
                    <w:spacing w:line="240" w:lineRule="auto"/>
                    <w:jc w:val="center"/>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位置</w:t>
                  </w:r>
                </w:p>
              </w:tc>
              <w:tc>
                <w:tcPr>
                  <w:tcW w:w="2618" w:type="dxa"/>
                  <w:tcBorders>
                    <w:tl2br w:val="nil"/>
                    <w:tr2bl w:val="nil"/>
                  </w:tcBorders>
                  <w:vAlign w:val="center"/>
                </w:tcPr>
                <w:p>
                  <w:pPr>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cs="宋体"/>
                      <w:color w:val="000000" w:themeColor="text1"/>
                      <w:sz w:val="21"/>
                      <w:szCs w:val="21"/>
                      <w:highlight w:val="none"/>
                      <w:vertAlign w:val="baseline"/>
                      <w:lang w:val="en-US" w:eastAsia="zh-CN"/>
                      <w14:textFill>
                        <w14:solidFill>
                          <w14:schemeClr w14:val="tx1"/>
                        </w14:solidFill>
                      </w14:textFill>
                    </w:rPr>
                    <w:t>用地</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现状</w:t>
                  </w:r>
                </w:p>
              </w:tc>
              <w:tc>
                <w:tcPr>
                  <w:tcW w:w="1388" w:type="dxa"/>
                  <w:tcBorders>
                    <w:tl2br w:val="nil"/>
                    <w:tr2bl w:val="nil"/>
                  </w:tcBorders>
                  <w:vAlign w:val="center"/>
                </w:tcPr>
                <w:p>
                  <w:pPr>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5" w:hRule="atLeast"/>
              </w:trPr>
              <w:tc>
                <w:tcPr>
                  <w:tcW w:w="652" w:type="dxa"/>
                  <w:tcBorders>
                    <w:tl2br w:val="nil"/>
                    <w:tr2bl w:val="nil"/>
                  </w:tcBorders>
                  <w:vAlign w:val="center"/>
                </w:tcPr>
                <w:p>
                  <w:pPr>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1#施工场</w:t>
                  </w:r>
                </w:p>
              </w:tc>
              <w:tc>
                <w:tcPr>
                  <w:tcW w:w="317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位于庙后溪硖门畲族乡教堂上游</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因施工需求，布置于隧洞起点，</w:t>
                  </w:r>
                  <w:r>
                    <w:rPr>
                      <w:rFonts w:hint="eastAsia" w:cs="Times New Roman"/>
                      <w:color w:val="000000" w:themeColor="text1"/>
                      <w:kern w:val="0"/>
                      <w:sz w:val="21"/>
                      <w:szCs w:val="21"/>
                      <w:highlight w:val="none"/>
                      <w:lang w:val="en-US" w:eastAsia="zh-CN" w:bidi="ar"/>
                      <w14:textFill>
                        <w14:solidFill>
                          <w14:schemeClr w14:val="tx1"/>
                        </w14:solidFill>
                      </w14:textFill>
                    </w:rPr>
                    <w:t>庙后溪</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北侧</w:t>
                  </w:r>
                </w:p>
              </w:tc>
              <w:tc>
                <w:tcPr>
                  <w:tcW w:w="261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地块现状为荒地，植被为鬼针草、五节芒等当地普通草本类植物</w:t>
                  </w:r>
                </w:p>
              </w:tc>
              <w:tc>
                <w:tcPr>
                  <w:tcW w:w="1388" w:type="dxa"/>
                  <w:tcBorders>
                    <w:tl2br w:val="nil"/>
                    <w:tr2bl w:val="nil"/>
                  </w:tcBorders>
                  <w:vAlign w:val="center"/>
                </w:tcPr>
                <w:p>
                  <w:pPr>
                    <w:spacing w:line="240" w:lineRule="auto"/>
                    <w:jc w:val="both"/>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东南侧243m硖门集镇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5" w:hRule="atLeast"/>
              </w:trPr>
              <w:tc>
                <w:tcPr>
                  <w:tcW w:w="652" w:type="dxa"/>
                  <w:tcBorders>
                    <w:tl2br w:val="nil"/>
                    <w:tr2bl w:val="nil"/>
                  </w:tcBorders>
                  <w:vAlign w:val="center"/>
                </w:tcPr>
                <w:p>
                  <w:pPr>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2#施工场</w:t>
                  </w:r>
                </w:p>
              </w:tc>
              <w:tc>
                <w:tcPr>
                  <w:tcW w:w="317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位于庙后溪硖门畲族乡教堂下游1#</w:t>
                  </w:r>
                  <w:r>
                    <w:rPr>
                      <w:rFonts w:hint="eastAsia" w:cs="Times New Roman"/>
                      <w:color w:val="000000" w:themeColor="text1"/>
                      <w:kern w:val="0"/>
                      <w:sz w:val="21"/>
                      <w:szCs w:val="21"/>
                      <w:highlight w:val="none"/>
                      <w:lang w:val="en-US" w:eastAsia="zh-CN" w:bidi="ar"/>
                      <w14:textFill>
                        <w14:solidFill>
                          <w14:schemeClr w14:val="tx1"/>
                        </w14:solidFill>
                      </w14:textFill>
                    </w:rPr>
                    <w:t>隧洞出口附近</w:t>
                  </w:r>
                </w:p>
              </w:tc>
              <w:tc>
                <w:tcPr>
                  <w:tcW w:w="261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地块现状为</w:t>
                  </w:r>
                  <w:r>
                    <w:rPr>
                      <w:rFonts w:hint="eastAsia" w:cs="Times New Roman"/>
                      <w:color w:val="000000" w:themeColor="text1"/>
                      <w:kern w:val="0"/>
                      <w:sz w:val="21"/>
                      <w:szCs w:val="21"/>
                      <w:highlight w:val="none"/>
                      <w:lang w:val="en-US" w:eastAsia="zh-CN" w:bidi="ar"/>
                      <w14:textFill>
                        <w14:solidFill>
                          <w14:schemeClr w14:val="tx1"/>
                        </w14:solidFill>
                      </w14:textFill>
                    </w:rPr>
                    <w:t>荒地，</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部分</w:t>
                  </w:r>
                  <w:r>
                    <w:rPr>
                      <w:rFonts w:hint="eastAsia" w:cs="Times New Roman"/>
                      <w:color w:val="000000" w:themeColor="text1"/>
                      <w:kern w:val="0"/>
                      <w:sz w:val="21"/>
                      <w:szCs w:val="21"/>
                      <w:highlight w:val="none"/>
                      <w:lang w:val="en-US" w:eastAsia="zh-CN" w:bidi="ar"/>
                      <w14:textFill>
                        <w14:solidFill>
                          <w14:schemeClr w14:val="tx1"/>
                        </w14:solidFill>
                      </w14:textFill>
                    </w:rPr>
                    <w:t>种植了</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茶</w:t>
                  </w:r>
                  <w:r>
                    <w:rPr>
                      <w:rFonts w:hint="eastAsia" w:cs="Times New Roman"/>
                      <w:color w:val="000000" w:themeColor="text1"/>
                      <w:kern w:val="0"/>
                      <w:sz w:val="21"/>
                      <w:szCs w:val="21"/>
                      <w:highlight w:val="none"/>
                      <w:lang w:val="en-US" w:eastAsia="zh-CN" w:bidi="ar"/>
                      <w14:textFill>
                        <w14:solidFill>
                          <w14:schemeClr w14:val="tx1"/>
                        </w14:solidFill>
                      </w14:textFill>
                    </w:rPr>
                    <w:t>树，部分为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毛竹林</w:t>
                  </w:r>
                </w:p>
              </w:tc>
              <w:tc>
                <w:tcPr>
                  <w:tcW w:w="138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南侧87.4m硖门集镇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2" w:hRule="atLeast"/>
              </w:trPr>
              <w:tc>
                <w:tcPr>
                  <w:tcW w:w="652" w:type="dxa"/>
                  <w:tcBorders>
                    <w:tl2br w:val="nil"/>
                    <w:tr2bl w:val="nil"/>
                  </w:tcBorders>
                  <w:vAlign w:val="center"/>
                </w:tcPr>
                <w:p>
                  <w:pPr>
                    <w:spacing w:line="240" w:lineRule="auto"/>
                    <w:jc w:val="center"/>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3#施工场</w:t>
                  </w:r>
                </w:p>
              </w:tc>
              <w:tc>
                <w:tcPr>
                  <w:tcW w:w="317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位于南埕山隧</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道</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进口</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附近</w:t>
                  </w:r>
                </w:p>
              </w:tc>
              <w:tc>
                <w:tcPr>
                  <w:tcW w:w="2618" w:type="dxa"/>
                  <w:tcBorders>
                    <w:tl2br w:val="nil"/>
                    <w:tr2bl w:val="nil"/>
                  </w:tcBorders>
                  <w:vAlign w:val="center"/>
                </w:tcPr>
                <w:p>
                  <w:pPr>
                    <w:spacing w:line="240" w:lineRule="auto"/>
                    <w:jc w:val="both"/>
                    <w:rPr>
                      <w:rFonts w:hint="default" w:ascii="宋体" w:hAnsi="宋体" w:eastAsia="宋体" w:cs="宋体"/>
                      <w:color w:val="000000" w:themeColor="text1"/>
                      <w:sz w:val="21"/>
                      <w:szCs w:val="21"/>
                      <w:highlight w:val="none"/>
                      <w:vertAlign w:val="baseli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地块现状为</w:t>
                  </w:r>
                  <w:r>
                    <w:rPr>
                      <w:rFonts w:hint="eastAsia" w:cs="Times New Roman"/>
                      <w:color w:val="000000" w:themeColor="text1"/>
                      <w:kern w:val="0"/>
                      <w:sz w:val="21"/>
                      <w:szCs w:val="21"/>
                      <w:highlight w:val="none"/>
                      <w:lang w:val="en-US" w:eastAsia="zh-CN" w:bidi="ar"/>
                      <w14:textFill>
                        <w14:solidFill>
                          <w14:schemeClr w14:val="tx1"/>
                        </w14:solidFill>
                      </w14:textFill>
                    </w:rPr>
                    <w:t>荒地</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植被为五节芒等当地普通草本类植物</w:t>
                  </w:r>
                </w:p>
              </w:tc>
              <w:tc>
                <w:tcPr>
                  <w:tcW w:w="138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西侧104m的零散居民点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6" w:hRule="atLeast"/>
              </w:trPr>
              <w:tc>
                <w:tcPr>
                  <w:tcW w:w="652" w:type="dxa"/>
                  <w:tcBorders>
                    <w:tl2br w:val="nil"/>
                    <w:tr2bl w:val="nil"/>
                  </w:tcBorders>
                  <w:vAlign w:val="center"/>
                </w:tcPr>
                <w:p>
                  <w:pPr>
                    <w:spacing w:line="240" w:lineRule="auto"/>
                    <w:jc w:val="center"/>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4#施工场</w:t>
                  </w:r>
                </w:p>
              </w:tc>
              <w:tc>
                <w:tcPr>
                  <w:tcW w:w="317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w:t>
                  </w:r>
                  <w:r>
                    <w:rPr>
                      <w:rFonts w:hint="eastAsia" w:cs="Times New Roman"/>
                      <w:color w:val="000000" w:themeColor="text1"/>
                      <w:kern w:val="0"/>
                      <w:sz w:val="21"/>
                      <w:szCs w:val="21"/>
                      <w:highlight w:val="none"/>
                      <w:lang w:val="en-US" w:eastAsia="zh-CN" w:bidi="ar"/>
                      <w14:textFill>
                        <w14:solidFill>
                          <w14:schemeClr w14:val="tx1"/>
                        </w14:solidFill>
                      </w14:textFill>
                    </w:rPr>
                    <w:t>海边的</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外海白沙村</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附近</w:t>
                  </w:r>
                </w:p>
              </w:tc>
              <w:tc>
                <w:tcPr>
                  <w:tcW w:w="2618" w:type="dxa"/>
                  <w:tcBorders>
                    <w:tl2br w:val="nil"/>
                    <w:tr2bl w:val="nil"/>
                  </w:tcBorders>
                  <w:vAlign w:val="center"/>
                </w:tcPr>
                <w:p>
                  <w:pPr>
                    <w:spacing w:line="240" w:lineRule="auto"/>
                    <w:jc w:val="both"/>
                    <w:rPr>
                      <w:rFonts w:hint="default" w:ascii="宋体" w:hAnsi="宋体" w:eastAsia="宋体" w:cs="宋体"/>
                      <w:color w:val="000000" w:themeColor="text1"/>
                      <w:sz w:val="21"/>
                      <w:szCs w:val="21"/>
                      <w:highlight w:val="none"/>
                      <w:vertAlign w:val="baseli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地块现状</w:t>
                  </w:r>
                  <w:r>
                    <w:rPr>
                      <w:rFonts w:hint="eastAsia" w:cs="Times New Roman"/>
                      <w:color w:val="000000" w:themeColor="text1"/>
                      <w:kern w:val="0"/>
                      <w:sz w:val="21"/>
                      <w:szCs w:val="21"/>
                      <w:highlight w:val="none"/>
                      <w:lang w:val="en-US" w:eastAsia="zh-CN" w:bidi="ar"/>
                      <w14:textFill>
                        <w14:solidFill>
                          <w14:schemeClr w14:val="tx1"/>
                        </w14:solidFill>
                      </w14:textFill>
                    </w:rPr>
                    <w:t>为荒地，植被为当地普通草本类植物</w:t>
                  </w:r>
                </w:p>
              </w:tc>
              <w:tc>
                <w:tcPr>
                  <w:tcW w:w="1388" w:type="dxa"/>
                  <w:tcBorders>
                    <w:tl2br w:val="nil"/>
                    <w:tr2bl w:val="nil"/>
                  </w:tcBorders>
                  <w:vAlign w:val="center"/>
                </w:tcPr>
                <w:p>
                  <w:pPr>
                    <w:spacing w:line="240" w:lineRule="auto"/>
                    <w:jc w:val="both"/>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西侧24.5m</w:t>
                  </w:r>
                </w:p>
                <w:p>
                  <w:pPr>
                    <w:spacing w:line="240" w:lineRule="auto"/>
                    <w:jc w:val="both"/>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生态红线</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总平面布置图见附图2。环境现状图如下：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lightGray"/>
                <w:lang w:val="en-US" w:eastAsia="zh-CN"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3437890</wp:posOffset>
                      </wp:positionH>
                      <wp:positionV relativeFrom="paragraph">
                        <wp:posOffset>1798955</wp:posOffset>
                      </wp:positionV>
                      <wp:extent cx="885825" cy="285750"/>
                      <wp:effectExtent l="0" t="0" r="0" b="0"/>
                      <wp:wrapNone/>
                      <wp:docPr id="80" name="文本框 80"/>
                      <wp:cNvGraphicFramePr/>
                      <a:graphic xmlns:a="http://schemas.openxmlformats.org/drawingml/2006/main">
                        <a:graphicData uri="http://schemas.microsoft.com/office/word/2010/wordprocessingShape">
                          <wps:wsp>
                            <wps:cNvSpPr txBox="1"/>
                            <wps:spPr>
                              <a:xfrm>
                                <a:off x="5062220" y="8948420"/>
                                <a:ext cx="8858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2#施工区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7pt;margin-top:141.65pt;height:22.5pt;width:69.75pt;z-index:251677696;mso-width-relative:page;mso-height-relative:page;" filled="f" stroked="f" coordsize="21600,21600" o:gfxdata="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Kjt9wAAAALAQAADwAAAAAAAAAB&#10;ACAAAAAiAAAAZHJzL2Rvd25yZXYueG1sUEsBAhQAFAAAAAgAh07iQAKr6exFAgAAcwQAAA4AAAAA&#10;AAAAAQAgAAAAKw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2#施工区</w:t>
                            </w:r>
                          </w:p>
                        </w:txbxContent>
                      </v:textbox>
                    </v:shape>
                  </w:pict>
                </mc:Fallback>
              </mc:AlternateConten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drawing>
                <wp:inline distT="0" distB="0" distL="114300" distR="114300">
                  <wp:extent cx="2265680" cy="1698625"/>
                  <wp:effectExtent l="0" t="0" r="1270" b="15875"/>
                  <wp:docPr id="43" name="图片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
                          <pic:cNvPicPr>
                            <a:picLocks noChangeAspect="1"/>
                          </pic:cNvPicPr>
                        </pic:nvPicPr>
                        <pic:blipFill>
                          <a:blip r:embed="rId10"/>
                          <a:srcRect l="19919" t="23397" r="24858" b="26252"/>
                          <a:stretch>
                            <a:fillRect/>
                          </a:stretch>
                        </pic:blipFill>
                        <pic:spPr>
                          <a:xfrm>
                            <a:off x="0" y="0"/>
                            <a:ext cx="2265680" cy="1698625"/>
                          </a:xfrm>
                          <a:prstGeom prst="rect">
                            <a:avLst/>
                          </a:prstGeom>
                        </pic:spPr>
                      </pic:pic>
                    </a:graphicData>
                  </a:graphic>
                </wp:inline>
              </w:drawing>
            </w:r>
            <w:r>
              <w:rPr>
                <w:rFonts w:hint="default" w:ascii="Times New Roman" w:hAnsi="Times New Roman" w:eastAsia="宋体" w:cs="Times New Roman"/>
                <w:color w:val="000000" w:themeColor="text1"/>
                <w:kern w:val="0"/>
                <w:sz w:val="24"/>
                <w:szCs w:val="24"/>
                <w:highlight w:val="lightGray"/>
                <w:lang w:val="en-US" w:eastAsia="zh-CN" w:bidi="ar"/>
                <w14:textFill>
                  <w14:solidFill>
                    <w14:schemeClr w14:val="tx1"/>
                  </w14:solidFill>
                </w14:textFill>
              </w:rPr>
              <w:drawing>
                <wp:inline distT="0" distB="0" distL="114300" distR="114300">
                  <wp:extent cx="2245995" cy="1685290"/>
                  <wp:effectExtent l="0" t="0" r="1905" b="10160"/>
                  <wp:docPr id="48" name="图片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
                          <pic:cNvPicPr>
                            <a:picLocks noChangeAspect="1"/>
                          </pic:cNvPicPr>
                        </pic:nvPicPr>
                        <pic:blipFill>
                          <a:blip r:embed="rId11"/>
                          <a:srcRect l="33521" t="33914" r="384" b="-4"/>
                          <a:stretch>
                            <a:fillRect/>
                          </a:stretch>
                        </pic:blipFill>
                        <pic:spPr>
                          <a:xfrm>
                            <a:off x="0" y="0"/>
                            <a:ext cx="2245995" cy="1685290"/>
                          </a:xfrm>
                          <a:prstGeom prst="rect">
                            <a:avLst/>
                          </a:prstGeom>
                        </pic:spPr>
                      </pic:pic>
                    </a:graphicData>
                  </a:graphic>
                </wp:inline>
              </w:drawing>
            </w:r>
          </w:p>
          <w:p>
            <w:pPr>
              <w:pStyle w:val="3"/>
              <w:numPr>
                <w:ilvl w:val="0"/>
                <w:numId w:val="0"/>
              </w:numPr>
              <w:ind w:leftChars="0"/>
              <w:rPr>
                <w:rFonts w:hint="eastAsia" w:cs="Times New Roman"/>
                <w:color w:val="000000" w:themeColor="text1"/>
                <w:sz w:val="24"/>
                <w:szCs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970915</wp:posOffset>
                      </wp:positionH>
                      <wp:positionV relativeFrom="paragraph">
                        <wp:posOffset>15875</wp:posOffset>
                      </wp:positionV>
                      <wp:extent cx="1143000" cy="399415"/>
                      <wp:effectExtent l="0" t="0" r="0" b="0"/>
                      <wp:wrapNone/>
                      <wp:docPr id="75" name="文本框 75"/>
                      <wp:cNvGraphicFramePr/>
                      <a:graphic xmlns:a="http://schemas.openxmlformats.org/drawingml/2006/main">
                        <a:graphicData uri="http://schemas.microsoft.com/office/word/2010/wordprocessingShape">
                          <wps:wsp>
                            <wps:cNvSpPr txBox="1"/>
                            <wps:spPr>
                              <a:xfrm>
                                <a:off x="2433320" y="8900795"/>
                                <a:ext cx="114300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1#施工区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1.25pt;height:31.45pt;width:90pt;z-index:251676672;mso-width-relative:page;mso-height-relative:page;" filled="f" stroked="f" coordsize="21600,21600" o:gfxdata="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VMIFjYAAAACAEAAA8AAAAAAAAA&#10;AQAgAAAAIgAAAGRycy9kb3ducmV2LnhtbFBLAQIUABQAAAAIAIdO4kDVzhYUSgIAAHQEAAAOAAAA&#10;AAAAAAEAIAAAACcBAABkcnMvZTJvRG9jLnhtbFBLBQYAAAAABgAGAFkBAADjBQAAAAA=&#10;">
                      <v:fill on="f" focussize="0,0"/>
                      <v:stroke on="f" weight="0.5pt"/>
                      <v:imagedata o:title=""/>
                      <o:lock v:ext="edit" aspectratio="f"/>
                      <v:textbox>
                        <w:txbxContent>
                          <w:p>
                            <w:pPr>
                              <w:rPr>
                                <w:rFonts w:hint="default" w:eastAsia="宋体"/>
                                <w:lang w:val="en-US" w:eastAsia="zh-CN"/>
                              </w:rPr>
                            </w:pPr>
                            <w:r>
                              <w:rPr>
                                <w:rFonts w:hint="eastAsia"/>
                                <w:lang w:val="en-US" w:eastAsia="zh-CN"/>
                              </w:rPr>
                              <w:t>1#施工区</w:t>
                            </w:r>
                          </w:p>
                        </w:txbxContent>
                      </v:textbox>
                    </v:shape>
                  </w:pict>
                </mc:Fallback>
              </mc:AlternateContent>
            </w:r>
          </w:p>
          <w:p>
            <w:pPr>
              <w:pStyle w:val="3"/>
              <w:numPr>
                <w:ilvl w:val="0"/>
                <w:numId w:val="0"/>
              </w:numPr>
              <w:ind w:leftChars="0"/>
              <w:jc w:val="center"/>
              <w:rPr>
                <w:rFonts w:hint="eastAsia" w:eastAsia="宋体"/>
                <w:color w:val="000000" w:themeColor="text1"/>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799465</wp:posOffset>
                      </wp:positionH>
                      <wp:positionV relativeFrom="paragraph">
                        <wp:posOffset>1786255</wp:posOffset>
                      </wp:positionV>
                      <wp:extent cx="1132840" cy="323850"/>
                      <wp:effectExtent l="0" t="0" r="0" b="0"/>
                      <wp:wrapNone/>
                      <wp:docPr id="81" name="文本框 81"/>
                      <wp:cNvGraphicFramePr/>
                      <a:graphic xmlns:a="http://schemas.openxmlformats.org/drawingml/2006/main">
                        <a:graphicData uri="http://schemas.microsoft.com/office/word/2010/wordprocessingShape">
                          <wps:wsp>
                            <wps:cNvSpPr txBox="1"/>
                            <wps:spPr>
                              <a:xfrm>
                                <a:off x="2366645" y="2959100"/>
                                <a:ext cx="113284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3#施工区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95pt;margin-top:140.65pt;height:25.5pt;width:89.2pt;z-index:251678720;mso-width-relative:page;mso-height-relative:page;" filled="f" stroked="f" coordsize="21600,21600" o:gfxdata="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PdWlvaAAAACwEAAA8AAAAAAAAAAQAg&#10;AAAAIgAAAGRycy9kb3ducmV2LnhtbFBLAQIUABQAAAAIAIdO4kCakl/XRQIAAHQEAAAOAAAAAAAA&#10;AAEAIAAAACkBAABkcnMvZTJvRG9jLnhtbFBLBQYAAAAABgAGAFkBAADgBQAAAAA=&#10;">
                      <v:fill on="f" focussize="0,0"/>
                      <v:stroke on="f" weight="0.5pt"/>
                      <v:imagedata o:title=""/>
                      <o:lock v:ext="edit" aspectratio="f"/>
                      <v:textbox>
                        <w:txbxContent>
                          <w:p>
                            <w:pPr>
                              <w:rPr>
                                <w:rFonts w:hint="default" w:eastAsia="宋体"/>
                                <w:lang w:val="en-US" w:eastAsia="zh-CN"/>
                              </w:rPr>
                            </w:pPr>
                            <w:r>
                              <w:rPr>
                                <w:rFonts w:hint="eastAsia"/>
                                <w:lang w:val="en-US" w:eastAsia="zh-CN"/>
                              </w:rPr>
                              <w:t>3#施工区</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3209290</wp:posOffset>
                      </wp:positionH>
                      <wp:positionV relativeFrom="paragraph">
                        <wp:posOffset>1814830</wp:posOffset>
                      </wp:positionV>
                      <wp:extent cx="952500" cy="361950"/>
                      <wp:effectExtent l="0" t="0" r="0" b="0"/>
                      <wp:wrapNone/>
                      <wp:docPr id="82" name="文本框 82"/>
                      <wp:cNvGraphicFramePr/>
                      <a:graphic xmlns:a="http://schemas.openxmlformats.org/drawingml/2006/main">
                        <a:graphicData uri="http://schemas.microsoft.com/office/word/2010/wordprocessingShape">
                          <wps:wsp>
                            <wps:cNvSpPr txBox="1"/>
                            <wps:spPr>
                              <a:xfrm>
                                <a:off x="4757420" y="2968625"/>
                                <a:ext cx="95250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4#施工区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7pt;margin-top:142.9pt;height:28.5pt;width:75pt;z-index:251679744;mso-width-relative:page;mso-height-relative:page;" filled="f" stroked="f" coordsize="21600,21600" o:gfxdata="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0I4tsAAAALAQAADwAAAAAA&#10;AAABACAAAAAiAAAAZHJzL2Rvd25yZXYueG1sUEsBAhQAFAAAAAgAh07iQJ90GbZJAgAAcwQAAA4A&#10;AAAAAAAAAQAgAAAAKgEAAGRycy9lMm9Eb2MueG1sUEsFBgAAAAAGAAYAWQEAAOUFAAAAAA==&#10;">
                      <v:fill on="f" focussize="0,0"/>
                      <v:stroke on="f" weight="0.5pt"/>
                      <v:imagedata o:title=""/>
                      <o:lock v:ext="edit" aspectratio="f"/>
                      <v:textbox>
                        <w:txbxContent>
                          <w:p>
                            <w:pPr>
                              <w:rPr>
                                <w:rFonts w:hint="default" w:eastAsia="宋体"/>
                                <w:lang w:val="en-US" w:eastAsia="zh-CN"/>
                              </w:rPr>
                            </w:pPr>
                            <w:r>
                              <w:rPr>
                                <w:rFonts w:hint="eastAsia"/>
                                <w:lang w:val="en-US" w:eastAsia="zh-CN"/>
                              </w:rPr>
                              <w:t>4#施工区</w:t>
                            </w:r>
                          </w:p>
                        </w:txbxContent>
                      </v:textbox>
                    </v:shape>
                  </w:pict>
                </mc:Fallback>
              </mc:AlternateContent>
            </w:r>
            <w:r>
              <w:rPr>
                <w:rFonts w:hint="default" w:ascii="Times New Roman" w:hAnsi="Times New Roman" w:eastAsia="宋体" w:cs="Times New Roman"/>
                <w:b/>
                <w:bCs/>
                <w:color w:val="000000" w:themeColor="text1"/>
                <w:sz w:val="28"/>
                <w:szCs w:val="28"/>
                <w:highlight w:val="none"/>
                <w14:textFill>
                  <w14:solidFill>
                    <w14:schemeClr w14:val="tx1"/>
                  </w14:solidFill>
                </w14:textFill>
              </w:rPr>
              <w:drawing>
                <wp:inline distT="0" distB="0" distL="114300" distR="114300">
                  <wp:extent cx="2344420" cy="1758950"/>
                  <wp:effectExtent l="0" t="0" r="17780" b="12700"/>
                  <wp:docPr id="71" name="图片 7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3"/>
                          <pic:cNvPicPr>
                            <a:picLocks noChangeAspect="1"/>
                          </pic:cNvPicPr>
                        </pic:nvPicPr>
                        <pic:blipFill>
                          <a:blip r:embed="rId12"/>
                          <a:srcRect l="16078" t="16393" b="-292"/>
                          <a:stretch>
                            <a:fillRect/>
                          </a:stretch>
                        </pic:blipFill>
                        <pic:spPr>
                          <a:xfrm>
                            <a:off x="0" y="0"/>
                            <a:ext cx="2344420" cy="1758950"/>
                          </a:xfrm>
                          <a:prstGeom prst="rect">
                            <a:avLst/>
                          </a:prstGeom>
                        </pic:spPr>
                      </pic:pic>
                    </a:graphicData>
                  </a:graphic>
                </wp:inline>
              </w:drawing>
            </w:r>
            <w:r>
              <w:rPr>
                <w:rFonts w:hint="eastAsia" w:eastAsia="宋体"/>
                <w:color w:val="000000" w:themeColor="text1"/>
                <w:lang w:val="en-US" w:eastAsia="zh-CN"/>
                <w14:textFill>
                  <w14:solidFill>
                    <w14:schemeClr w14:val="tx1"/>
                  </w14:solidFill>
                </w14:textFill>
              </w:rPr>
              <w:drawing>
                <wp:inline distT="0" distB="0" distL="114300" distR="114300">
                  <wp:extent cx="2345055" cy="1758950"/>
                  <wp:effectExtent l="0" t="0" r="17145" b="12700"/>
                  <wp:docPr id="74" name="图片 7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4"/>
                          <pic:cNvPicPr>
                            <a:picLocks noChangeAspect="1"/>
                          </pic:cNvPicPr>
                        </pic:nvPicPr>
                        <pic:blipFill>
                          <a:blip r:embed="rId13"/>
                          <a:srcRect l="-191" t="32750" r="191" b="11002"/>
                          <a:stretch>
                            <a:fillRect/>
                          </a:stretch>
                        </pic:blipFill>
                        <pic:spPr>
                          <a:xfrm>
                            <a:off x="0" y="0"/>
                            <a:ext cx="2345055" cy="17589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根据现场调查，各个施工区距离敏感目标较远，植被类型为当地常见物种，对生态环境破坏较小，不涉及生态红线。项目施工过程中，各施工区针对各项污染物采取相应的环保措施，确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保各污染物达标排放，最大限度避免对周围环境产生不良影响。因此本项目施工</w:t>
            </w:r>
            <w:r>
              <w:rPr>
                <w:rFonts w:hint="eastAsia" w:cs="Times New Roman"/>
                <w:color w:val="000000" w:themeColor="text1"/>
                <w:kern w:val="0"/>
                <w:sz w:val="24"/>
                <w:szCs w:val="24"/>
                <w:lang w:val="en-US" w:eastAsia="zh-CN" w:bidi="ar"/>
                <w14:textFill>
                  <w14:solidFill>
                    <w14:schemeClr w14:val="tx1"/>
                  </w14:solidFill>
                </w14:textFill>
              </w:rPr>
              <w:t>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选址从环境保护角度分析是可行的。</w:t>
            </w:r>
          </w:p>
          <w:p>
            <w:pPr>
              <w:pStyle w:val="4"/>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产业政策的符合性结论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项目建设内容为防洪</w:t>
            </w:r>
            <w:r>
              <w:rPr>
                <w:rFonts w:hint="eastAsia"/>
                <w:color w:val="000000" w:themeColor="text1"/>
                <w:sz w:val="24"/>
                <w:lang w:val="en-US" w:eastAsia="zh-CN"/>
                <w14:textFill>
                  <w14:solidFill>
                    <w14:schemeClr w14:val="tx1"/>
                  </w14:solidFill>
                </w14:textFill>
              </w:rPr>
              <w:t>排涝</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建设，项目地址位于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硖门畲族乡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。本项目的建设属于《产业结构调整指导目录（2019年本）》中鼓励类</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二、水利：9、城市积涝预警和防洪工程，符合国家产业政策。</w:t>
            </w:r>
          </w:p>
          <w:p>
            <w:pPr>
              <w:widowControl/>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项目取得了福鼎市发展和改革局关于</w:t>
            </w:r>
            <w:r>
              <w:rPr>
                <w:rFonts w:hint="eastAsia" w:cs="Times New Roman"/>
                <w:color w:val="000000" w:themeColor="text1"/>
                <w:kern w:val="0"/>
                <w:sz w:val="24"/>
                <w:szCs w:val="24"/>
                <w:highlight w:val="none"/>
                <w:lang w:val="en-US" w:eastAsia="zh-CN" w:bidi="ar"/>
                <w14:textFill>
                  <w14:solidFill>
                    <w14:schemeClr w14:val="tx1"/>
                  </w14:solidFill>
                </w14:textFill>
              </w:rPr>
              <w:t>福鼎市硖门畲族乡庙后溪山洪治理（高水高排）工程</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可行性研究报告的批复（鼎发改审批[2021]</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165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号</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），项目符合地方政策。</w:t>
            </w:r>
          </w:p>
        </w:tc>
      </w:tr>
    </w:tbl>
    <w:p>
      <w:pPr>
        <w:spacing w:line="360" w:lineRule="auto"/>
        <w:outlineLvl w:val="0"/>
        <w:rPr>
          <w:rFonts w:eastAsia="黑体"/>
          <w:color w:val="000000" w:themeColor="text1"/>
          <w:sz w:val="30"/>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二、建设内容</w:t>
      </w:r>
    </w:p>
    <w:tbl>
      <w:tblPr>
        <w:tblStyle w:val="18"/>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6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8" w:hRule="atLeast"/>
          <w:jc w:val="center"/>
        </w:trPr>
        <w:tc>
          <w:tcPr>
            <w:tcW w:w="444" w:type="dxa"/>
            <w:vAlign w:val="center"/>
          </w:tcPr>
          <w:p>
            <w:pPr>
              <w:adjustRightInd w:val="0"/>
              <w:snapToGrid w:val="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地理位置</w:t>
            </w:r>
          </w:p>
        </w:tc>
        <w:tc>
          <w:tcPr>
            <w:tcW w:w="861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硖门畲族乡，隶属于福建省</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HYPERLINK"https://baike.baidu.com/item/%E5%AE%81%E5%BE%B7%E5%B8%82/608085"\t"https://baike.baidu.com/item/%E7%A1%96%E9%97%A8%E7%95%B2%E6%97%8F%E4%B9%A1/_blank"</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宁德市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HYPERLINK"https://baike.baidu.com/item/%E7%A6%8F%E9%BC%8E%E5%B8%82/3451704"\t"https://baike.baidu.com/item/%E7%A1%96%E9%97%A8%E7%95%B2%E6%97%8F%E4%B9%A1/_blank"</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福鼎市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，硖门畲族乡地处福鼎市东南沿海，东南濒海与大嵛山隔海相望，西南接霞浦牙城，北邻</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HYPERLINK"https://baike.baidu.com/item/%E5%A4%AA%E5%A7%A5%E5%B1%B1%E9%95%87/10028065"\t"https://baike.baidu.com/item/%E7%A1%96%E9%97%A8%E7%95%B2%E6%97%8F%E4%B9%A1/_blank"</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太姥山镇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福鼎市硖门畲族乡庙后溪山洪治理（高水高排）工程通过开挖隧洞穿过硖门畲族乡教堂对面山体；为避免与硖门隧道（高程约20.00m）交叉，采用压力箱涵从福宁高速公路硖门高架桥桥墩之间（地面高程约7~12m）穿过；然后沿着东北向42°开挖隧洞穿过山体到达大厝里；为避免与南埕山隧道（进口柏洋侧高程约7.3m）交叉，采用压力箱涵从南埕山隧道进口公路下穿；然后沿着东向开挖隧洞并转角37°向着东南向穿过山体到达白沙出口。</w:t>
            </w:r>
            <w:r>
              <w:rPr>
                <w:rFonts w:hint="eastAsia"/>
                <w:color w:val="000000" w:themeColor="text1"/>
                <w:kern w:val="0"/>
                <w:sz w:val="24"/>
                <w:lang w:val="en-US" w:eastAsia="zh-CN" w:bidi="ar"/>
                <w14:textFill>
                  <w14:solidFill>
                    <w14:schemeClr w14:val="tx1"/>
                  </w14:solidFill>
                </w14:textFill>
              </w:rPr>
              <w:t>总长2928.02m。</w:t>
            </w:r>
            <w:r>
              <w:rPr>
                <w:rFonts w:hint="default" w:ascii="Times New Roman" w:hAnsi="Times New Roman" w:cs="Times New Roman"/>
                <w:color w:val="000000" w:themeColor="text1"/>
                <w:kern w:val="0"/>
                <w:sz w:val="24"/>
                <w14:textFill>
                  <w14:solidFill>
                    <w14:schemeClr w14:val="tx1"/>
                  </w14:solidFill>
                </w14:textFill>
              </w:rPr>
              <w:t>项目地理位置详见图</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1</w:t>
            </w:r>
            <w:r>
              <w:rPr>
                <w:rFonts w:hint="default" w:ascii="Times New Roman" w:hAnsi="Times New Roman" w:cs="Times New Roman"/>
                <w:color w:val="000000" w:themeColor="text1"/>
                <w:kern w:val="0"/>
                <w:sz w:val="24"/>
                <w:lang w:eastAsia="zh-CN"/>
                <w14:textFill>
                  <w14:solidFill>
                    <w14:schemeClr w14:val="tx1"/>
                  </w14:solidFill>
                </w14:textFill>
              </w:rPr>
              <w:t>。</w:t>
            </w:r>
          </w:p>
          <w:p>
            <w:pPr>
              <w:pStyle w:val="4"/>
              <w:rPr>
                <w:rFonts w:hint="eastAsia"/>
                <w:color w:val="000000" w:themeColor="text1"/>
                <w:lang w:eastAsia="zh-CN"/>
                <w14:textFill>
                  <w14:solidFill>
                    <w14:schemeClr w14:val="tx1"/>
                  </w14:solidFill>
                </w14:textFill>
              </w:rPr>
            </w:pPr>
          </w:p>
          <w:p>
            <w:pPr>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图2-1工程地理位置图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8" w:hRule="atLeast"/>
          <w:jc w:val="center"/>
        </w:trPr>
        <w:tc>
          <w:tcPr>
            <w:tcW w:w="444" w:type="dxa"/>
            <w:vAlign w:val="center"/>
          </w:tcPr>
          <w:p>
            <w:pPr>
              <w:adjustRightInd w:val="0"/>
              <w:snapToGrid w:val="0"/>
              <w:jc w:val="cente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项目的组成及规模</w:t>
            </w:r>
          </w:p>
        </w:tc>
        <w:tc>
          <w:tcPr>
            <w:tcW w:w="861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jc w:val="both"/>
              <w:textAlignment w:val="auto"/>
              <w:rPr>
                <w:rStyle w:val="41"/>
                <w:rFonts w:hint="eastAsia"/>
                <w:color w:val="000000" w:themeColor="text1"/>
                <w:lang w:val="en-US" w:eastAsia="zh-CN"/>
                <w14:textFill>
                  <w14:solidFill>
                    <w14:schemeClr w14:val="tx1"/>
                  </w14:solidFill>
                </w14:textFill>
              </w:rPr>
            </w:pPr>
            <w:r>
              <w:rPr>
                <w:rStyle w:val="41"/>
                <w:rFonts w:hint="eastAsia"/>
                <w:color w:val="000000" w:themeColor="text1"/>
                <w:lang w:val="en-US" w:eastAsia="zh-CN"/>
                <w14:textFill>
                  <w14:solidFill>
                    <w14:schemeClr w14:val="tx1"/>
                  </w14:solidFill>
                </w14:textFill>
              </w:rPr>
              <w:t>1.项目由来</w:t>
            </w:r>
          </w:p>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硖门畲族乡集镇高程偏低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庙后溪山洪流量大，洪水暴涨暴落，现有河道过流能力不足；受庙后溪出口水位顶托等诸多因素</w:t>
            </w:r>
            <w:r>
              <w:rPr>
                <w:rFonts w:hint="default" w:ascii="Times New Roman" w:hAnsi="Times New Roman" w:cs="Times New Roman"/>
                <w:color w:val="000000" w:themeColor="text1"/>
                <w:kern w:val="0"/>
                <w:sz w:val="24"/>
                <w:lang w:val="en-US" w:eastAsia="zh-CN" w:bidi="ar"/>
                <w14:textFill>
                  <w14:solidFill>
                    <w14:schemeClr w14:val="tx1"/>
                  </w14:solidFill>
                </w14:textFill>
              </w:rPr>
              <w:t>影响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，硖门畲族乡</w:t>
            </w:r>
            <w:r>
              <w:rPr>
                <w:rFonts w:hint="eastAsia" w:cs="Times New Roman"/>
                <w:color w:val="000000" w:themeColor="text1"/>
                <w:kern w:val="0"/>
                <w:sz w:val="24"/>
                <w:szCs w:val="24"/>
                <w:lang w:val="en-US" w:eastAsia="zh-CN" w:bidi="ar"/>
                <w14:textFill>
                  <w14:solidFill>
                    <w14:schemeClr w14:val="tx1"/>
                  </w14:solidFill>
                </w14:textFill>
              </w:rPr>
              <w:t>镇区常年受淹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给当地居民生活生产造成巨大损失。本工程的建设是减轻集镇防洪排涝压力、对接远期集镇规划发展的需要。综上，本工程的建设是必要且迫切的。</w:t>
            </w:r>
          </w:p>
          <w:p>
            <w:pPr>
              <w:pStyle w:val="4"/>
              <w:spacing w:beforeLines="0"/>
              <w:ind w:firstLine="480" w:firstLineChars="200"/>
              <w:rPr>
                <w:rFonts w:hint="default"/>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本工程属于《建设项目环境影响评价分类管理名录（2021年版）》中五十一、水利，127、防洪除涝工程中的</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“其他”</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，应编制环评报告表。</w:t>
            </w:r>
            <w:r>
              <w:rPr>
                <w:rFonts w:hint="eastAsia" w:cs="Times New Roman"/>
                <w:b w:val="0"/>
                <w:bCs w:val="0"/>
                <w:color w:val="000000" w:themeColor="text1"/>
                <w:kern w:val="0"/>
                <w:sz w:val="24"/>
                <w:szCs w:val="24"/>
                <w:lang w:val="en-US" w:eastAsia="zh-CN" w:bidi="ar"/>
                <w14:textFill>
                  <w14:solidFill>
                    <w14:schemeClr w14:val="tx1"/>
                  </w14:solidFill>
                </w14:textFill>
              </w:rPr>
              <w:t>福鼎市清洁能源项目服务投资有限公司</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于2022年</w:t>
            </w:r>
            <w:r>
              <w:rPr>
                <w:rFonts w:hint="eastAsia" w:cs="Times New Roman"/>
                <w:b w:val="0"/>
                <w:bCs w:val="0"/>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月</w:t>
            </w:r>
            <w:r>
              <w:rPr>
                <w:rFonts w:hint="eastAsia" w:cs="Times New Roman"/>
                <w:b w:val="0"/>
                <w:bCs w:val="0"/>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日委托福建省闽创环保科技有限公司对本工程进行环境影响评价</w:t>
            </w:r>
            <w:r>
              <w:rPr>
                <w:rFonts w:hint="default" w:ascii="Times New Roman" w:hAnsi="Times New Roman" w:cs="Times New Roman"/>
                <w:b w:val="0"/>
                <w:bCs w:val="0"/>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见附件1)。</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2.建设规模</w:t>
            </w:r>
          </w:p>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项目名称：</w:t>
            </w:r>
            <w:r>
              <w:rPr>
                <w:rFonts w:hint="eastAsia" w:cs="Times New Roman"/>
                <w:color w:val="000000" w:themeColor="text1"/>
                <w:kern w:val="0"/>
                <w:sz w:val="24"/>
                <w:szCs w:val="24"/>
                <w:lang w:val="en-US" w:eastAsia="zh-CN" w:bidi="ar"/>
                <w14:textFill>
                  <w14:solidFill>
                    <w14:schemeClr w14:val="tx1"/>
                  </w14:solidFill>
                </w14:textFill>
              </w:rPr>
              <w:t>福鼎市硖门畲族乡庙后溪山洪治理（高水高排）工程</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建设性质：新建；</w:t>
            </w:r>
          </w:p>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w:t>
            </w:r>
            <w:r>
              <w:rPr>
                <w:rFonts w:hint="eastAsia" w:cs="Times New Roman"/>
                <w:color w:val="000000" w:themeColor="text1"/>
                <w:kern w:val="0"/>
                <w:sz w:val="24"/>
                <w:szCs w:val="24"/>
                <w:lang w:val="en-US" w:eastAsia="zh-CN" w:bidi="ar"/>
                <w14:textFill>
                  <w14:solidFill>
                    <w14:schemeClr w14:val="tx1"/>
                  </w14:solidFill>
                </w14:textFill>
              </w:rPr>
              <w:t>福鼎市清洁能源项目服务投资有限公司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建设地点：福鼎市硖门畲族乡</w:t>
            </w:r>
            <w:r>
              <w:rPr>
                <w:rFonts w:hint="eastAsia" w:cs="Times New Roman"/>
                <w:color w:val="000000" w:themeColor="text1"/>
                <w:kern w:val="0"/>
                <w:sz w:val="24"/>
                <w:szCs w:val="24"/>
                <w:lang w:val="en-US" w:eastAsia="zh-CN" w:bidi="ar"/>
                <w14:textFill>
                  <w14:solidFill>
                    <w14:schemeClr w14:val="tx1"/>
                  </w14:solidFill>
                </w14:textFill>
              </w:rPr>
              <w:t>硖门村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建设内容及规模：</w:t>
            </w:r>
            <w:r>
              <w:rPr>
                <w:rFonts w:hint="eastAsia" w:cs="Times New Roman"/>
                <w:color w:val="000000" w:themeColor="text1"/>
                <w:kern w:val="0"/>
                <w:sz w:val="24"/>
                <w:szCs w:val="24"/>
                <w:lang w:val="en-US" w:eastAsia="zh-CN" w:bidi="ar"/>
                <w14:textFill>
                  <w14:solidFill>
                    <w14:schemeClr w14:val="tx1"/>
                  </w14:solidFill>
                </w14:textFill>
              </w:rPr>
              <w:t>在庙后溪硖门畲族乡教堂上游约100m处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建设长</w:t>
            </w:r>
            <w:r>
              <w:rPr>
                <w:rFonts w:hint="eastAsia" w:cs="Times New Roman"/>
                <w:color w:val="000000" w:themeColor="text1"/>
                <w:kern w:val="0"/>
                <w:sz w:val="24"/>
                <w:szCs w:val="24"/>
                <w:lang w:val="en-US" w:eastAsia="zh-CN" w:bidi="ar"/>
                <w14:textFill>
                  <w14:solidFill>
                    <w14:schemeClr w14:val="tx1"/>
                  </w14:solidFill>
                </w14:textFill>
              </w:rPr>
              <w:t>36.56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m拦河坝，并在左库岸设置分洪口，利用总长</w:t>
            </w:r>
            <w:r>
              <w:rPr>
                <w:rFonts w:hint="eastAsia" w:ascii="宋体" w:hAnsi="宋体" w:cs="宋体"/>
                <w:color w:val="000000" w:themeColor="text1"/>
                <w:sz w:val="24"/>
                <w:szCs w:val="24"/>
                <w:lang w:val="en-US" w:eastAsia="zh-CN"/>
                <w14:textFill>
                  <w14:solidFill>
                    <w14:schemeClr w14:val="tx1"/>
                  </w14:solidFill>
                </w14:textFill>
              </w:rPr>
              <w:t>2884.32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m（该长度含进水口，不含出口消能设施）的有压隧洞及箱涵，并在隧洞前端设置长21.85m的进水口1处，在出口设置长</w:t>
            </w:r>
            <w:r>
              <w:rPr>
                <w:rFonts w:hint="eastAsia" w:cs="Times New Roman"/>
                <w:color w:val="000000" w:themeColor="text1"/>
                <w:kern w:val="0"/>
                <w:sz w:val="24"/>
                <w:szCs w:val="24"/>
                <w:lang w:val="en-US" w:eastAsia="zh-CN" w:bidi="ar"/>
                <w14:textFill>
                  <w14:solidFill>
                    <w14:schemeClr w14:val="tx1"/>
                  </w14:solidFill>
                </w14:textFill>
              </w:rPr>
              <w:t>43.70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m的出口防冲设施1处</w:t>
            </w:r>
            <w:r>
              <w:rPr>
                <w:rFonts w:hint="eastAsia" w:cs="Times New Roman"/>
                <w:color w:val="000000" w:themeColor="text1"/>
                <w:kern w:val="0"/>
                <w:sz w:val="24"/>
                <w:szCs w:val="24"/>
                <w:lang w:val="en-US" w:eastAsia="zh-CN" w:bidi="ar"/>
                <w14:textFill>
                  <w14:solidFill>
                    <w14:schemeClr w14:val="tx1"/>
                  </w14:solidFill>
                </w14:textFill>
              </w:rPr>
              <w:t>，将分洪洪水（Q=75m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vertAlign w:val="baseline"/>
                <w:lang w:val="en-US" w:eastAsia="zh-CN" w:bidi="ar"/>
                <w14:textFill>
                  <w14:solidFill>
                    <w14:schemeClr w14:val="tx1"/>
                  </w14:solidFill>
                </w14:textFill>
              </w:rPr>
              <w:t>/s</w:t>
            </w:r>
            <w:r>
              <w:rPr>
                <w:rFonts w:hint="eastAsia" w:cs="Times New Roman"/>
                <w:color w:val="000000" w:themeColor="text1"/>
                <w:kern w:val="0"/>
                <w:sz w:val="24"/>
                <w:szCs w:val="24"/>
                <w:lang w:val="en-US" w:eastAsia="zh-CN" w:bidi="ar"/>
                <w14:textFill>
                  <w14:solidFill>
                    <w14:schemeClr w14:val="tx1"/>
                  </w14:solidFill>
                </w14:textFill>
              </w:rPr>
              <w:t>）通过庙后、大厝里、白沙排入外海</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项目总投资约6591万元。</w:t>
            </w:r>
          </w:p>
          <w:p>
            <w:pPr>
              <w:pStyle w:val="4"/>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3.建设内容</w:t>
            </w:r>
          </w:p>
          <w:p>
            <w:pPr>
              <w:keepLines w:val="0"/>
              <w:pageBreakBefore w:val="0"/>
              <w:widowControl w:val="0"/>
              <w:kinsoku/>
              <w:wordWrap/>
              <w:topLinePunct w:val="0"/>
              <w:autoSpaceDE/>
              <w:autoSpaceDN/>
              <w:bidi w:val="0"/>
              <w:adjustRightInd/>
              <w:snapToGrid w:val="0"/>
              <w:spacing w:beforeLines="0" w:line="360" w:lineRule="auto"/>
              <w:ind w:firstLine="480" w:firstLineChars="200"/>
              <w:textAlignment w:val="auto"/>
              <w:rPr>
                <w:rFonts w:hint="default" w:eastAsia="宋体"/>
                <w:color w:val="000000" w:themeColor="text1"/>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项目建设内容见表</w:t>
            </w:r>
            <w:r>
              <w:rPr>
                <w:rFonts w:hint="eastAsia"/>
                <w:color w:val="000000" w:themeColor="text1"/>
                <w:sz w:val="24"/>
                <w:szCs w:val="24"/>
                <w:lang w:val="en-US" w:eastAsia="zh-CN"/>
                <w14:textFill>
                  <w14:solidFill>
                    <w14:schemeClr w14:val="tx1"/>
                  </w14:solidFill>
                </w14:textFill>
              </w:rPr>
              <w:t>2-1</w:t>
            </w:r>
          </w:p>
          <w:p>
            <w:pPr>
              <w:pStyle w:val="23"/>
              <w:numPr>
                <w:ilvl w:val="7"/>
                <w:numId w:val="0"/>
              </w:numPr>
              <w:bidi w:val="0"/>
              <w:ind w:leftChars="0"/>
              <w:jc w:val="center"/>
              <w:rPr>
                <w:rFonts w:hint="default"/>
                <w:color w:val="000000" w:themeColor="text1"/>
                <w:lang w:val="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表2-1</w:t>
            </w:r>
            <w:r>
              <w:rPr>
                <w:rFonts w:hint="default"/>
                <w:color w:val="000000" w:themeColor="text1"/>
                <w:sz w:val="24"/>
                <w:szCs w:val="24"/>
                <w:lang w:val="zh-CN"/>
                <w14:textFill>
                  <w14:solidFill>
                    <w14:schemeClr w14:val="tx1"/>
                  </w14:solidFill>
                </w14:textFill>
              </w:rPr>
              <w:t>项目主要建设内容</w:t>
            </w:r>
          </w:p>
          <w:tbl>
            <w:tblPr>
              <w:tblStyle w:val="18"/>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995"/>
              <w:gridCol w:w="4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9" w:type="dxa"/>
                  <w:vAlign w:val="center"/>
                </w:tcPr>
                <w:p>
                  <w:pPr>
                    <w:pStyle w:val="26"/>
                    <w:keepNext w:val="0"/>
                    <w:keepLines w:val="0"/>
                    <w:pageBreakBefore w:val="0"/>
                    <w:widowControl/>
                    <w:kinsoku/>
                    <w:wordWrap/>
                    <w:overflowPunct/>
                    <w:topLinePunct w:val="0"/>
                    <w:autoSpaceDE/>
                    <w:autoSpaceDN/>
                    <w:bidi w:val="0"/>
                    <w:adjustRightInd/>
                    <w:snapToGrid/>
                    <w:spacing w:line="240" w:lineRule="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工程类别</w:t>
                  </w:r>
                </w:p>
              </w:tc>
              <w:tc>
                <w:tcPr>
                  <w:tcW w:w="1995" w:type="dxa"/>
                  <w:vAlign w:val="center"/>
                </w:tcPr>
                <w:p>
                  <w:pPr>
                    <w:pStyle w:val="26"/>
                    <w:keepNext w:val="0"/>
                    <w:keepLines w:val="0"/>
                    <w:pageBreakBefore w:val="0"/>
                    <w:widowControl/>
                    <w:kinsoku/>
                    <w:wordWrap/>
                    <w:overflowPunct/>
                    <w:topLinePunct w:val="0"/>
                    <w:autoSpaceDE/>
                    <w:autoSpaceDN/>
                    <w:bidi w:val="0"/>
                    <w:adjustRightInd/>
                    <w:snapToGrid/>
                    <w:spacing w:line="240" w:lineRule="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建设内容</w:t>
                  </w:r>
                </w:p>
              </w:tc>
              <w:tc>
                <w:tcPr>
                  <w:tcW w:w="4864" w:type="dxa"/>
                  <w:vAlign w:val="center"/>
                </w:tcPr>
                <w:p>
                  <w:pPr>
                    <w:pStyle w:val="26"/>
                    <w:keepNext w:val="0"/>
                    <w:keepLines w:val="0"/>
                    <w:pageBreakBefore w:val="0"/>
                    <w:widowControl/>
                    <w:kinsoku/>
                    <w:wordWrap/>
                    <w:overflowPunct/>
                    <w:topLinePunct w:val="0"/>
                    <w:autoSpaceDE/>
                    <w:autoSpaceDN/>
                    <w:bidi w:val="0"/>
                    <w:adjustRightInd/>
                    <w:snapToGrid/>
                    <w:spacing w:line="240" w:lineRule="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19" w:type="dxa"/>
                  <w:vMerge w:val="restart"/>
                  <w:tcBorders>
                    <w:top w:val="single" w:color="auto" w:sz="4" w:space="0"/>
                  </w:tcBorders>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主体工程</w:t>
                  </w:r>
                </w:p>
              </w:tc>
              <w:tc>
                <w:tcPr>
                  <w:tcW w:w="1995"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1.拦河坝及库区相关工程</w:t>
                  </w:r>
                </w:p>
              </w:tc>
              <w:tc>
                <w:tcPr>
                  <w:tcW w:w="4864"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拦河坝布置在庙后溪硖门畲族乡教堂上游约100m处，坝顶长度36.56m，分为溢流坝段15m，非溢流坝段21.56m。溢流坝段堰顶高程28.00m，非溢流坝段坝顶高程30.60m，坝顶宽度2.0m。</w:t>
                  </w:r>
                </w:p>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坝肩右岸设置C25砼台阶，对拦河坝右岸高程不满足要求的道路进行加高处理，加高处道路路面高程29.60m，长约54m，宽</w:t>
                  </w:r>
                  <w:r>
                    <w:rPr>
                      <w:rFonts w:hint="eastAsia"/>
                      <w:color w:val="000000" w:themeColor="text1"/>
                      <w:sz w:val="21"/>
                      <w:szCs w:val="21"/>
                      <w:lang w:val="en-US" w:eastAsia="zh-CN"/>
                      <w14:textFill>
                        <w14:solidFill>
                          <w14:schemeClr w14:val="tx1"/>
                        </w14:solidFill>
                      </w14:textFill>
                    </w:rPr>
                    <w:t>约</w:t>
                  </w:r>
                  <w:r>
                    <w:rPr>
                      <w:rFonts w:hint="default"/>
                      <w:color w:val="000000" w:themeColor="text1"/>
                      <w:sz w:val="21"/>
                      <w:szCs w:val="21"/>
                      <w:lang w:val="en-US" w:eastAsia="zh-CN"/>
                      <w14:textFill>
                        <w14:solidFill>
                          <w14:schemeClr w14:val="tx1"/>
                        </w14:solidFill>
                      </w14:textFill>
                    </w:rPr>
                    <w:t>3.95m。库区适当开挖形</w:t>
                  </w:r>
                  <w:r>
                    <w:rPr>
                      <w:rFonts w:hint="eastAsia"/>
                      <w:color w:val="000000" w:themeColor="text1"/>
                      <w:sz w:val="21"/>
                      <w:szCs w:val="21"/>
                      <w:lang w:val="en-US" w:eastAsia="zh-CN"/>
                      <w14:textFill>
                        <w14:solidFill>
                          <w14:schemeClr w14:val="tx1"/>
                        </w14:solidFill>
                      </w14:textFill>
                    </w:rPr>
                    <w:t>成</w:t>
                  </w:r>
                  <w:r>
                    <w:rPr>
                      <w:rFonts w:hint="default"/>
                      <w:color w:val="000000" w:themeColor="text1"/>
                      <w:sz w:val="21"/>
                      <w:szCs w:val="21"/>
                      <w:lang w:val="en-US" w:eastAsia="zh-CN"/>
                      <w14:textFill>
                        <w14:solidFill>
                          <w14:schemeClr w14:val="tx1"/>
                        </w14:solidFill>
                      </w14:textFill>
                    </w:rPr>
                    <w:t>一定库容，开挖最低高程21.5m</w:t>
                  </w:r>
                  <w:r>
                    <w:rPr>
                      <w:rFonts w:hint="eastAsia"/>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Merge w:val="continue"/>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2.隧洞及箱涵工程</w:t>
                  </w:r>
                </w:p>
              </w:tc>
              <w:tc>
                <w:tcPr>
                  <w:tcW w:w="4864" w:type="dxa"/>
                  <w:vAlign w:val="center"/>
                </w:tcPr>
                <w:p>
                  <w:pPr>
                    <w:spacing w:line="240" w:lineRule="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隧洞及箱涵总长2884.32m（长度含进水口，不含出口防冲设施），隧洞进水口底高程（堰顶高程）23.00m。隧洞前端设置单孔进水口，进水口总长21.85m，末端设置出口防冲设施1处，长43.70m。有压隧洞三段总长2458.33m</w:t>
                  </w:r>
                  <w:r>
                    <w:rPr>
                      <w:rFonts w:hint="eastAsia"/>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其中1#隧洞段长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84.37</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m，桩号为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KA0+021.85~KA0+106.22</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2#隧洞段长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1545.45</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桩号为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KA0+247.22~KA1+792.67</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；3#隧洞段长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828.51</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桩号为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KA2+050.81~KA2+884.32</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，压力箱涵两段404.14m</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其中1#箱涵段长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141.00</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桩号为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KA0+106.22~KA0+247.22</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2#箱涵段长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263.14</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桩号为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KA1+792.67~KA2+050.81</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119"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辅助工程</w:t>
                  </w: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施工便道</w:t>
                  </w:r>
                </w:p>
              </w:tc>
              <w:tc>
                <w:tcPr>
                  <w:tcW w:w="4864"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新建施工便道290m，连接3#隧洞出口和4#施工区，由300mm碎石土路基和150mm泥结碎石层构成。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1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hint="default"/>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施工场地</w:t>
                  </w:r>
                </w:p>
              </w:tc>
              <w:tc>
                <w:tcPr>
                  <w:tcW w:w="4864"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设置4个施工场地，分别</w:t>
                  </w:r>
                  <w:r>
                    <w:rPr>
                      <w:rFonts w:hint="eastAsia"/>
                      <w:color w:val="000000" w:themeColor="text1"/>
                      <w:sz w:val="21"/>
                      <w:szCs w:val="21"/>
                      <w:lang w:val="en-US" w:eastAsia="zh-CN"/>
                      <w14:textFill>
                        <w14:solidFill>
                          <w14:schemeClr w14:val="tx1"/>
                        </w14:solidFill>
                      </w14:textFill>
                    </w:rPr>
                    <w:t>是教堂上游（1#施工区）、庙后溪硖门畲族乡教堂下游（2#施工区）、南埕山隧洞进口附近大厝里村（3#施工区）、外海白沙村（4#施工区）</w:t>
                  </w:r>
                  <w:r>
                    <w:rPr>
                      <w:rFonts w:hint="default"/>
                      <w:color w:val="000000" w:themeColor="text1"/>
                      <w:sz w:val="21"/>
                      <w:szCs w:val="21"/>
                      <w:lang w:val="en-US" w:eastAsia="zh-CN"/>
                      <w14:textFill>
                        <w14:solidFill>
                          <w14:schemeClr w14:val="tx1"/>
                        </w14:solidFill>
                      </w14:textFill>
                    </w:rPr>
                    <w:t>。</w:t>
                  </w:r>
                  <w:r>
                    <w:rPr>
                      <w:color w:val="000000" w:themeColor="text1"/>
                      <w:sz w:val="21"/>
                      <w:szCs w:val="21"/>
                      <w:highlight w:val="none"/>
                      <w:lang w:eastAsia="zh-CN"/>
                      <w14:textFill>
                        <w14:solidFill>
                          <w14:schemeClr w14:val="tx1"/>
                        </w14:solidFill>
                      </w14:textFill>
                    </w:rPr>
                    <w:t>各施工区内布置</w:t>
                  </w:r>
                  <w:r>
                    <w:rPr>
                      <w:color w:val="000000" w:themeColor="text1"/>
                      <w:sz w:val="21"/>
                      <w:szCs w:val="21"/>
                      <w:highlight w:val="lightGray"/>
                      <w:lang w:eastAsia="zh-CN"/>
                      <w14:textFill>
                        <w14:solidFill>
                          <w14:schemeClr w14:val="tx1"/>
                        </w14:solidFill>
                      </w14:textFill>
                    </w:rPr>
                    <w:t>1</w:t>
                  </w:r>
                  <w:r>
                    <w:rPr>
                      <w:color w:val="000000" w:themeColor="text1"/>
                      <w:sz w:val="21"/>
                      <w:szCs w:val="21"/>
                      <w:highlight w:val="none"/>
                      <w:lang w:eastAsia="zh-CN"/>
                      <w14:textFill>
                        <w14:solidFill>
                          <w14:schemeClr w14:val="tx1"/>
                        </w14:solidFill>
                      </w14:textFill>
                    </w:rPr>
                    <w:t>座砼拌和站</w:t>
                  </w:r>
                  <w:r>
                    <w:rPr>
                      <w:color w:val="000000" w:themeColor="text1"/>
                      <w:sz w:val="21"/>
                      <w:szCs w:val="21"/>
                      <w:lang w:eastAsia="zh-CN"/>
                      <w14:textFill>
                        <w14:solidFill>
                          <w14:schemeClr w14:val="tx1"/>
                        </w14:solidFill>
                      </w14:textFill>
                    </w:rPr>
                    <w:t>，砼拌和站内设1台0.8m</w:t>
                  </w:r>
                  <w:r>
                    <w:rPr>
                      <w:color w:val="000000" w:themeColor="text1"/>
                      <w:sz w:val="21"/>
                      <w:szCs w:val="21"/>
                      <w:vertAlign w:val="superscript"/>
                      <w:lang w:eastAsia="zh-CN"/>
                      <w14:textFill>
                        <w14:solidFill>
                          <w14:schemeClr w14:val="tx1"/>
                        </w14:solidFill>
                      </w14:textFill>
                    </w:rPr>
                    <w:t>3</w:t>
                  </w:r>
                  <w:r>
                    <w:rPr>
                      <w:color w:val="000000" w:themeColor="text1"/>
                      <w:sz w:val="21"/>
                      <w:szCs w:val="21"/>
                      <w:lang w:eastAsia="zh-CN"/>
                      <w14:textFill>
                        <w14:solidFill>
                          <w14:schemeClr w14:val="tx1"/>
                        </w14:solidFill>
                      </w14:textFill>
                    </w:rPr>
                    <w:t>拌和机，可满足施工需要。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11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hint="default"/>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临时</w:t>
                  </w:r>
                  <w:r>
                    <w:rPr>
                      <w:rFonts w:hint="default"/>
                      <w:color w:val="000000" w:themeColor="text1"/>
                      <w:sz w:val="21"/>
                      <w:szCs w:val="21"/>
                      <w:lang w:val="en-US" w:eastAsia="zh-CN"/>
                      <w14:textFill>
                        <w14:solidFill>
                          <w14:schemeClr w14:val="tx1"/>
                        </w14:solidFill>
                      </w14:textFill>
                    </w:rPr>
                    <w:t>堆场</w:t>
                  </w:r>
                </w:p>
              </w:tc>
              <w:tc>
                <w:tcPr>
                  <w:tcW w:w="4864" w:type="dxa"/>
                  <w:vAlign w:val="center"/>
                </w:tcPr>
                <w:p>
                  <w:pPr>
                    <w:adjustRightInd w:val="0"/>
                    <w:snapToGrid w:val="0"/>
                    <w:spacing w:line="240" w:lineRule="auto"/>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分别在2#和3#施工区附近设置两个临时土方堆场。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19"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共用工程</w:t>
                  </w: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供水</w:t>
                  </w:r>
                </w:p>
              </w:tc>
              <w:tc>
                <w:tcPr>
                  <w:tcW w:w="4864" w:type="dxa"/>
                  <w:vAlign w:val="center"/>
                </w:tcPr>
                <w:p>
                  <w:pPr>
                    <w:keepNext w:val="0"/>
                    <w:keepLines w:val="0"/>
                    <w:widowControl/>
                    <w:suppressLineNumbers w:val="0"/>
                    <w:spacing w:line="240" w:lineRule="auto"/>
                    <w:jc w:val="left"/>
                    <w:rPr>
                      <w:rFonts w:hint="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施工用水接用当地自来水或现有生活水源，现场设置水池调蓄；生活用水利用当地自来水管网供给。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19" w:type="dxa"/>
                  <w:vMerge w:val="continue"/>
                  <w:vAlign w:val="center"/>
                </w:tcPr>
                <w:p>
                  <w:pPr>
                    <w:adjustRightInd w:val="0"/>
                    <w:snapToGrid w:val="0"/>
                    <w:spacing w:line="240" w:lineRule="auto"/>
                    <w:jc w:val="left"/>
                    <w:rPr>
                      <w:color w:val="000000" w:themeColor="text1"/>
                      <w14:textFill>
                        <w14:solidFill>
                          <w14:schemeClr w14:val="tx1"/>
                        </w14:solidFill>
                      </w14:textFill>
                    </w:rPr>
                  </w:pP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用电</w:t>
                  </w:r>
                </w:p>
              </w:tc>
              <w:tc>
                <w:tcPr>
                  <w:tcW w:w="4864" w:type="dxa"/>
                  <w:vAlign w:val="center"/>
                </w:tcPr>
                <w:p>
                  <w:pPr>
                    <w:keepNext w:val="0"/>
                    <w:keepLines w:val="0"/>
                    <w:widowControl/>
                    <w:suppressLineNumbers w:val="0"/>
                    <w:spacing w:line="240" w:lineRule="auto"/>
                    <w:jc w:val="left"/>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由临近乡、村电网供给，配备1台</w:t>
                  </w:r>
                  <w:r>
                    <w:rPr>
                      <w:rFonts w:hint="eastAsia" w:ascii="Times New Roman" w:hAnsi="Times New Roman" w:cs="Times New Roman"/>
                      <w:color w:val="000000" w:themeColor="text1"/>
                      <w:kern w:val="0"/>
                      <w:sz w:val="21"/>
                      <w:szCs w:val="21"/>
                      <w:lang w:val="en-US" w:eastAsia="zh-CN"/>
                      <w14:textFill>
                        <w14:solidFill>
                          <w14:schemeClr w14:val="tx1"/>
                        </w14:solidFill>
                      </w14:textFill>
                    </w:rPr>
                    <w:t>15</w:t>
                  </w:r>
                  <w:r>
                    <w:rPr>
                      <w:rFonts w:hint="default" w:ascii="Times New Roman" w:hAnsi="Times New Roman" w:cs="Times New Roman"/>
                      <w:color w:val="000000" w:themeColor="text1"/>
                      <w:kern w:val="0"/>
                      <w:sz w:val="21"/>
                      <w:szCs w:val="21"/>
                      <w:lang w:val="en-US" w:eastAsia="zh-CN"/>
                      <w14:textFill>
                        <w14:solidFill>
                          <w14:schemeClr w14:val="tx1"/>
                        </w14:solidFill>
                      </w14:textFill>
                    </w:rPr>
                    <w:t>kw柴油发电机</w:t>
                  </w:r>
                  <w:r>
                    <w:rPr>
                      <w:rFonts w:hint="eastAsia" w:ascii="Times New Roman" w:hAnsi="Times New Roman" w:cs="Times New Roman"/>
                      <w:color w:val="000000" w:themeColor="text1"/>
                      <w:kern w:val="0"/>
                      <w:sz w:val="21"/>
                      <w:szCs w:val="21"/>
                      <w:lang w:val="en-US" w:eastAsia="zh-CN"/>
                      <w14:textFill>
                        <w14:solidFill>
                          <w14:schemeClr w14:val="tx1"/>
                        </w14:solidFill>
                      </w14:textFill>
                    </w:rPr>
                    <w:t>作为备用电源</w:t>
                  </w: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119"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环保工程</w:t>
                  </w: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废水</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施工期</w:t>
                  </w:r>
                  <w:r>
                    <w:rPr>
                      <w:rFonts w:hint="eastAsia"/>
                      <w:color w:val="000000" w:themeColor="text1"/>
                      <w:sz w:val="21"/>
                      <w:szCs w:val="21"/>
                      <w:lang w:eastAsia="zh-CN"/>
                      <w14:textFill>
                        <w14:solidFill>
                          <w14:schemeClr w14:val="tx1"/>
                        </w14:solidFill>
                      </w14:textFill>
                    </w:rPr>
                    <w:t>）</w:t>
                  </w:r>
                </w:p>
              </w:tc>
              <w:tc>
                <w:tcPr>
                  <w:tcW w:w="4864" w:type="dxa"/>
                  <w:vAlign w:val="center"/>
                </w:tcPr>
                <w:p>
                  <w:pPr>
                    <w:adjustRightInd w:val="0"/>
                    <w:snapToGrid w:val="0"/>
                    <w:spacing w:line="240" w:lineRule="auto"/>
                    <w:jc w:val="left"/>
                    <w:rPr>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混凝土搅拌系统清洗废水：沉淀池处理后回用不外排；</w:t>
                  </w:r>
                </w:p>
                <w:p>
                  <w:pPr>
                    <w:pStyle w:val="4"/>
                    <w:spacing w:line="240" w:lineRule="auto"/>
                    <w:jc w:val="left"/>
                    <w:rPr>
                      <w:rFonts w:hint="eastAsia"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汽车冲洗废水：隔油沉淀池处理后回用于道路洒水降尘</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p>
                  <w:pPr>
                    <w:adjustRightInd w:val="0"/>
                    <w:snapToGrid w:val="0"/>
                    <w:spacing w:line="240" w:lineRule="auto"/>
                    <w:jc w:val="left"/>
                    <w:rPr>
                      <w:rFonts w:hint="eastAsia"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隧道涌水：沉淀池处理后</w:t>
                  </w:r>
                  <w:r>
                    <w:rPr>
                      <w:rFonts w:hint="eastAsia" w:cs="Times New Roman"/>
                      <w:color w:val="000000" w:themeColor="text1"/>
                      <w:kern w:val="0"/>
                      <w:sz w:val="21"/>
                      <w:szCs w:val="21"/>
                      <w:lang w:val="en-US" w:eastAsia="zh-CN"/>
                      <w14:textFill>
                        <w14:solidFill>
                          <w14:schemeClr w14:val="tx1"/>
                        </w14:solidFill>
                      </w14:textFill>
                    </w:rPr>
                    <w:t>排放至</w:t>
                  </w:r>
                  <w:r>
                    <w:rPr>
                      <w:rFonts w:hint="eastAsia" w:hAnsi="仿宋"/>
                      <w:color w:val="000000" w:themeColor="text1"/>
                      <w:sz w:val="21"/>
                      <w:szCs w:val="21"/>
                      <w:highlight w:val="none"/>
                      <w:lang w:val="en-US" w:eastAsia="zh-CN"/>
                      <w14:textFill>
                        <w14:solidFill>
                          <w14:schemeClr w14:val="tx1"/>
                        </w14:solidFill>
                      </w14:textFill>
                    </w:rPr>
                    <w:t>南埕山隧道所在公路两边自然沟渠或庙后溪</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p>
                  <w:pPr>
                    <w:pStyle w:val="4"/>
                    <w:spacing w:line="240" w:lineRule="auto"/>
                    <w:jc w:val="left"/>
                    <w:rPr>
                      <w:rFonts w:hint="default"/>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生活污水依托当地污水处理设施处理。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11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施工期</w:t>
                  </w:r>
                  <w:r>
                    <w:rPr>
                      <w:rFonts w:hint="eastAsia"/>
                      <w:color w:val="000000" w:themeColor="text1"/>
                      <w:sz w:val="21"/>
                      <w:szCs w:val="21"/>
                      <w:lang w:eastAsia="zh-CN"/>
                      <w14:textFill>
                        <w14:solidFill>
                          <w14:schemeClr w14:val="tx1"/>
                        </w14:solidFill>
                      </w14:textFill>
                    </w:rPr>
                    <w:t>）</w:t>
                  </w:r>
                </w:p>
              </w:tc>
              <w:tc>
                <w:tcPr>
                  <w:tcW w:w="4864" w:type="dxa"/>
                  <w:vAlign w:val="center"/>
                </w:tcPr>
                <w:p>
                  <w:pPr>
                    <w:adjustRightInd w:val="0"/>
                    <w:snapToGrid w:val="0"/>
                    <w:spacing w:line="240" w:lineRule="auto"/>
                    <w:jc w:val="left"/>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施工场地：洒水降尘；</w:t>
                  </w:r>
                </w:p>
                <w:p>
                  <w:pPr>
                    <w:pStyle w:val="4"/>
                    <w:spacing w:line="240" w:lineRule="auto"/>
                    <w:jc w:val="left"/>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选用性能良好的施工机械，禁止不符合国家废气排放标准的机械进入工区。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1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噪声</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施工期</w:t>
                  </w:r>
                  <w:r>
                    <w:rPr>
                      <w:rFonts w:hint="eastAsia"/>
                      <w:color w:val="000000" w:themeColor="text1"/>
                      <w:sz w:val="21"/>
                      <w:szCs w:val="21"/>
                      <w:lang w:eastAsia="zh-CN"/>
                      <w14:textFill>
                        <w14:solidFill>
                          <w14:schemeClr w14:val="tx1"/>
                        </w14:solidFill>
                      </w14:textFill>
                    </w:rPr>
                    <w:t>）</w:t>
                  </w:r>
                </w:p>
              </w:tc>
              <w:tc>
                <w:tcPr>
                  <w:tcW w:w="4864"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加强运行管理措施，</w:t>
                  </w:r>
                  <w:r>
                    <w:rPr>
                      <w:rFonts w:hint="eastAsia"/>
                      <w:color w:val="000000" w:themeColor="text1"/>
                      <w:sz w:val="21"/>
                      <w:szCs w:val="21"/>
                      <w:lang w:val="en-US" w:eastAsia="zh-CN"/>
                      <w14:textFill>
                        <w14:solidFill>
                          <w14:schemeClr w14:val="tx1"/>
                        </w14:solidFill>
                      </w14:textFill>
                    </w:rPr>
                    <w:t>高噪声设备基础减振</w:t>
                  </w:r>
                  <w:r>
                    <w:rPr>
                      <w:rFonts w:hint="default"/>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11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固废</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施工期</w:t>
                  </w:r>
                  <w:r>
                    <w:rPr>
                      <w:rFonts w:hint="eastAsia"/>
                      <w:color w:val="000000" w:themeColor="text1"/>
                      <w:sz w:val="21"/>
                      <w:szCs w:val="21"/>
                      <w:lang w:eastAsia="zh-CN"/>
                      <w14:textFill>
                        <w14:solidFill>
                          <w14:schemeClr w14:val="tx1"/>
                        </w14:solidFill>
                      </w14:textFill>
                    </w:rPr>
                    <w:t>）</w:t>
                  </w:r>
                </w:p>
              </w:tc>
              <w:tc>
                <w:tcPr>
                  <w:tcW w:w="4864" w:type="dxa"/>
                  <w:vAlign w:val="center"/>
                </w:tcPr>
                <w:p>
                  <w:pPr>
                    <w:adjustRightInd w:val="0"/>
                    <w:snapToGrid w:val="0"/>
                    <w:spacing w:line="240" w:lineRule="auto"/>
                    <w:jc w:val="left"/>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弃渣临时堆存，部分回填，其余转运；生活垃圾交由环卫部门定期清运处理。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11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sz w:val="21"/>
                      <w:szCs w:val="21"/>
                      <w:lang w:val="en-US" w:eastAsia="zh-CN"/>
                      <w14:textFill>
                        <w14:solidFill>
                          <w14:schemeClr w14:val="tx1"/>
                        </w14:solidFill>
                      </w14:textFill>
                    </w:rPr>
                  </w:pPr>
                </w:p>
              </w:tc>
              <w:tc>
                <w:tcPr>
                  <w:tcW w:w="19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生态</w:t>
                  </w:r>
                </w:p>
              </w:tc>
              <w:tc>
                <w:tcPr>
                  <w:tcW w:w="4864" w:type="dxa"/>
                  <w:vAlign w:val="center"/>
                </w:tcPr>
                <w:p>
                  <w:pPr>
                    <w:adjustRightInd w:val="0"/>
                    <w:snapToGrid w:val="0"/>
                    <w:spacing w:line="240" w:lineRule="auto"/>
                    <w:jc w:val="left"/>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施工期加强施工管理，避免在雨季施工，减少水土流失；</w:t>
                  </w:r>
                </w:p>
                <w:p>
                  <w:pPr>
                    <w:pStyle w:val="9"/>
                    <w:spacing w:line="240" w:lineRule="auto"/>
                    <w:rPr>
                      <w:rFonts w:hint="default"/>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做好临时用地的绿化恢复工作，</w:t>
                  </w:r>
                  <w:r>
                    <w:rPr>
                      <w:rFonts w:hint="eastAsia"/>
                      <w:color w:val="000000" w:themeColor="text1"/>
                      <w:sz w:val="21"/>
                      <w:szCs w:val="21"/>
                      <w:u w:val="none"/>
                      <w:lang w:val="en-US" w:eastAsia="zh-CN"/>
                      <w14:textFill>
                        <w14:solidFill>
                          <w14:schemeClr w14:val="tx1"/>
                        </w14:solidFill>
                      </w14:textFill>
                    </w:rPr>
                    <w:t>将箱涵开挖两侧堆积弃土方进行回填平整并播撒草种进行植被恢复， 保证植被覆盖率至少恢复到原有水平。</w:t>
                  </w:r>
                </w:p>
              </w:tc>
            </w:tr>
          </w:tbl>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4.建设征地与移民安置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本工程永久占地</w:t>
            </w:r>
            <w:r>
              <w:rPr>
                <w:rFonts w:hint="eastAsia"/>
                <w:color w:val="000000" w:themeColor="text1"/>
                <w:sz w:val="24"/>
                <w:szCs w:val="24"/>
                <w:lang w:val="en-US" w:eastAsia="zh-CN"/>
                <w14:textFill>
                  <w14:solidFill>
                    <w14:schemeClr w14:val="tx1"/>
                  </w14:solidFill>
                </w14:textFill>
              </w:rPr>
              <w:t>农用地</w:t>
            </w:r>
            <w:r>
              <w:rPr>
                <w:rFonts w:hint="default"/>
                <w:color w:val="000000" w:themeColor="text1"/>
                <w:sz w:val="24"/>
                <w:szCs w:val="24"/>
                <w:lang w:val="en-US" w:eastAsia="zh-CN"/>
                <w14:textFill>
                  <w14:solidFill>
                    <w14:schemeClr w14:val="tx1"/>
                  </w14:solidFill>
                </w14:textFill>
              </w:rPr>
              <w:t>以及未利用地等，主要集中在拦河坝及其库区（含隧洞进水口）、1#箱涵段</w:t>
            </w:r>
            <w:r>
              <w:rPr>
                <w:rFonts w:hint="eastAsia"/>
                <w:color w:val="000000" w:themeColor="text1"/>
                <w:sz w:val="24"/>
                <w:szCs w:val="24"/>
                <w:lang w:val="en-US" w:eastAsia="zh-CN"/>
                <w14:textFill>
                  <w14:solidFill>
                    <w14:schemeClr w14:val="tx1"/>
                  </w14:solidFill>
                </w14:textFill>
              </w:rPr>
              <w:t>（全长</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141.00</w:t>
            </w:r>
            <w:r>
              <w:rPr>
                <w:rFonts w:hint="eastAsia"/>
                <w:color w:val="000000" w:themeColor="text1"/>
                <w:sz w:val="24"/>
                <w:szCs w:val="24"/>
                <w:lang w:val="en-US" w:eastAsia="zh-CN"/>
                <w14:textFill>
                  <w14:solidFill>
                    <w14:schemeClr w14:val="tx1"/>
                  </w14:solidFill>
                </w14:textFill>
              </w:rPr>
              <w:t>m，衔接1#隧洞段与2#隧洞段，</w:t>
            </w:r>
            <w:r>
              <w:rPr>
                <w:rFonts w:hAnsi="仿宋"/>
                <w:color w:val="000000" w:themeColor="text1"/>
                <w:lang w:eastAsia="zh-CN"/>
                <w14:textFill>
                  <w14:solidFill>
                    <w14:schemeClr w14:val="tx1"/>
                  </w14:solidFill>
                </w14:textFill>
              </w:rPr>
              <w:t>桩号为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KA0+106.22~KA0+247.22</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、2#箱涵段</w:t>
            </w:r>
            <w:r>
              <w:rPr>
                <w:rFonts w:hint="eastAsia"/>
                <w:color w:val="000000" w:themeColor="text1"/>
                <w:sz w:val="24"/>
                <w:szCs w:val="24"/>
                <w:lang w:val="en-US" w:eastAsia="zh-CN"/>
                <w14:textFill>
                  <w14:solidFill>
                    <w14:schemeClr w14:val="tx1"/>
                  </w14:solidFill>
                </w14:textFill>
              </w:rPr>
              <w:t>（全长</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263.14</w:t>
            </w:r>
            <w:r>
              <w:rPr>
                <w:rFonts w:hint="eastAsia"/>
                <w:color w:val="000000" w:themeColor="text1"/>
                <w:sz w:val="24"/>
                <w:szCs w:val="24"/>
                <w:lang w:val="en-US" w:eastAsia="zh-CN"/>
                <w14:textFill>
                  <w14:solidFill>
                    <w14:schemeClr w14:val="tx1"/>
                  </w14:solidFill>
                </w14:textFill>
              </w:rPr>
              <w:t>m，衔接2#隧洞段与3#隧洞段，桩号为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KA1+792.67~KA2+050.81</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、出口消能段</w:t>
            </w:r>
            <w:r>
              <w:rPr>
                <w:rFonts w:hint="eastAsia"/>
                <w:color w:val="000000" w:themeColor="text1"/>
                <w:sz w:val="24"/>
                <w:szCs w:val="24"/>
                <w:lang w:val="en-US" w:eastAsia="zh-CN"/>
                <w14:textFill>
                  <w14:solidFill>
                    <w14:schemeClr w14:val="tx1"/>
                  </w14:solidFill>
                </w14:textFill>
              </w:rPr>
              <w:t>，总计22亩。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rPr>
                <w:rFonts w:hint="default"/>
                <w:color w:val="000000" w:themeColor="text1"/>
                <w:sz w:val="24"/>
                <w:szCs w:val="24"/>
                <w:lang w:val="en-US" w:eastAsia="zh-CN"/>
                <w14:textFill>
                  <w14:solidFill>
                    <w14:schemeClr w14:val="tx1"/>
                  </w14:solidFill>
                </w14:textFill>
              </w:rPr>
              <w:t>本工程</w:t>
            </w:r>
            <w:r>
              <w:rPr>
                <w:rFonts w:hint="eastAsia"/>
                <w:color w:val="000000" w:themeColor="text1"/>
                <w:sz w:val="24"/>
                <w:szCs w:val="24"/>
                <w:lang w:val="en-US" w:eastAsia="zh-CN"/>
                <w14:textFill>
                  <w14:solidFill>
                    <w14:schemeClr w14:val="tx1"/>
                  </w14:solidFill>
                </w14:textFill>
              </w:rPr>
              <w:t>建设</w:t>
            </w:r>
            <w:r>
              <w:rPr>
                <w:rFonts w:hint="default"/>
                <w:color w:val="000000" w:themeColor="text1"/>
                <w:sz w:val="24"/>
                <w:szCs w:val="24"/>
                <w:lang w:val="en-US" w:eastAsia="zh-CN"/>
                <w14:textFill>
                  <w14:solidFill>
                    <w14:schemeClr w14:val="tx1"/>
                  </w14:solidFill>
                </w14:textFill>
              </w:rPr>
              <w:t>方案涉及</w:t>
            </w:r>
            <w:r>
              <w:rPr>
                <w:rFonts w:hint="eastAsia"/>
                <w:color w:val="000000" w:themeColor="text1"/>
                <w:sz w:val="24"/>
                <w:szCs w:val="24"/>
                <w:lang w:val="en-US" w:eastAsia="zh-CN"/>
                <w14:textFill>
                  <w14:solidFill>
                    <w14:schemeClr w14:val="tx1"/>
                  </w14:solidFill>
                </w14:textFill>
              </w:rPr>
              <w:t>1座</w:t>
            </w:r>
            <w:r>
              <w:rPr>
                <w:rFonts w:hint="default"/>
                <w:color w:val="000000" w:themeColor="text1"/>
                <w:sz w:val="24"/>
                <w:szCs w:val="24"/>
                <w:lang w:val="en-US" w:eastAsia="zh-CN"/>
                <w14:textFill>
                  <w14:solidFill>
                    <w14:schemeClr w14:val="tx1"/>
                  </w14:solidFill>
                </w14:textFill>
              </w:rPr>
              <w:t>房屋拆迁</w:t>
            </w:r>
            <w:r>
              <w:rPr>
                <w:rFonts w:hint="eastAsia"/>
                <w:color w:val="000000" w:themeColor="text1"/>
                <w:sz w:val="24"/>
                <w:szCs w:val="24"/>
                <w:lang w:val="en-US" w:eastAsia="zh-CN"/>
                <w14:textFill>
                  <w14:solidFill>
                    <w14:schemeClr w14:val="tx1"/>
                  </w14:solidFill>
                </w14:textFill>
              </w:rPr>
              <w:t>，位于</w:t>
            </w:r>
            <w:r>
              <w:rPr>
                <w:rFonts w:hint="default"/>
                <w:color w:val="000000" w:themeColor="text1"/>
                <w:sz w:val="24"/>
                <w:szCs w:val="24"/>
                <w:lang w:val="en-US" w:eastAsia="zh-CN"/>
                <w14:textFill>
                  <w14:solidFill>
                    <w14:schemeClr w14:val="tx1"/>
                  </w14:solidFill>
                </w14:textFill>
              </w:rPr>
              <w:t>1#隧洞出口附近</w:t>
            </w:r>
            <w:r>
              <w:rPr>
                <w:rFonts w:hint="eastAsia"/>
                <w:color w:val="000000" w:themeColor="text1"/>
                <w:sz w:val="24"/>
                <w:szCs w:val="24"/>
                <w:lang w:val="en-US" w:eastAsia="zh-CN"/>
                <w14:textFill>
                  <w14:solidFill>
                    <w14:schemeClr w14:val="tx1"/>
                  </w14:solidFill>
                </w14:textFill>
              </w:rPr>
              <w:t>，房屋为村集体所有，具有养老院性质</w:t>
            </w:r>
            <w:r>
              <w:rPr>
                <w:rFonts w:hint="default"/>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占地面积大约120 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vertAlign w:val="baseline"/>
                <w:lang w:val="en-US" w:eastAsia="zh-CN"/>
                <w14:textFill>
                  <w14:solidFill>
                    <w14:schemeClr w14:val="tx1"/>
                  </w14:solidFill>
                </w14:textFill>
              </w:rPr>
              <w:t>，入住五位养老人员，本工程实施前，拟将上述养老人员另行安排至</w:t>
            </w:r>
            <w:r>
              <w:rPr>
                <w:rFonts w:hint="eastAsia"/>
                <w:color w:val="000000" w:themeColor="text1"/>
                <w:sz w:val="24"/>
                <w:szCs w:val="24"/>
                <w:highlight w:val="none"/>
                <w:vertAlign w:val="baseline"/>
                <w:lang w:val="en-US" w:eastAsia="zh-CN"/>
                <w14:textFill>
                  <w14:solidFill>
                    <w14:schemeClr w14:val="tx1"/>
                  </w14:solidFill>
                </w14:textFill>
              </w:rPr>
              <w:t>硖门乡</w:t>
            </w:r>
            <w:r>
              <w:rPr>
                <w:rFonts w:hint="eastAsia"/>
                <w:color w:val="000000" w:themeColor="text1"/>
                <w:sz w:val="24"/>
                <w:szCs w:val="24"/>
                <w:vertAlign w:val="baseline"/>
                <w:lang w:val="en-US" w:eastAsia="zh-CN"/>
                <w14:textFill>
                  <w14:solidFill>
                    <w14:schemeClr w14:val="tx1"/>
                  </w14:solidFill>
                </w14:textFill>
              </w:rPr>
              <w:t>养老院安置</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附件5</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本工程项目占地情况见表</w:t>
            </w:r>
            <w:r>
              <w:rPr>
                <w:rFonts w:hint="eastAsia"/>
                <w:color w:val="000000" w:themeColor="text1"/>
                <w:sz w:val="24"/>
                <w:szCs w:val="24"/>
                <w:lang w:val="en-US" w:eastAsia="zh-CN"/>
                <w14:textFill>
                  <w14:solidFill>
                    <w14:schemeClr w14:val="tx1"/>
                  </w14:solidFill>
                </w14:textFill>
              </w:rPr>
              <w:t>2-2</w:t>
            </w:r>
            <w:r>
              <w:rPr>
                <w:rFonts w:hint="default"/>
                <w:color w:val="000000" w:themeColor="text1"/>
                <w:sz w:val="24"/>
                <w:szCs w:val="24"/>
                <w:lang w:val="en-US" w:eastAsia="zh-CN"/>
                <w14:textFill>
                  <w14:solidFill>
                    <w14:schemeClr w14:val="tx1"/>
                  </w14:solidFill>
                </w14:textFill>
              </w:rPr>
              <w:t>。</w:t>
            </w:r>
          </w:p>
          <w:p>
            <w:pPr>
              <w:pStyle w:val="23"/>
              <w:keepNext w:val="0"/>
              <w:keepLines w:val="0"/>
              <w:pageBreakBefore w:val="0"/>
              <w:widowControl w:val="0"/>
              <w:numPr>
                <w:ilvl w:val="7"/>
                <w:numId w:val="0"/>
              </w:numPr>
              <w:kinsoku/>
              <w:wordWrap/>
              <w:overflowPunct/>
              <w:topLinePunct w:val="0"/>
              <w:autoSpaceDE/>
              <w:autoSpaceDN/>
              <w:bidi w:val="0"/>
              <w:adjustRightInd/>
              <w:snapToGrid/>
              <w:spacing w:before="0" w:beforeLines="0"/>
              <w:ind w:leftChars="0"/>
              <w:jc w:val="center"/>
              <w:textAlignment w:val="auto"/>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表2-2</w:t>
            </w:r>
            <w:r>
              <w:rPr>
                <w:rFonts w:hint="default"/>
                <w:color w:val="000000" w:themeColor="text1"/>
                <w:lang w:val="en-US" w:eastAsia="zh-CN"/>
                <w14:textFill>
                  <w14:solidFill>
                    <w14:schemeClr w14:val="tx1"/>
                  </w14:solidFill>
                </w14:textFill>
              </w:rPr>
              <w:t>工程占地情况表</w:t>
            </w:r>
          </w:p>
          <w:tbl>
            <w:tblPr>
              <w:tblStyle w:val="19"/>
              <w:tblW w:w="7999" w:type="dxa"/>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960"/>
              <w:gridCol w:w="960"/>
              <w:gridCol w:w="960"/>
              <w:gridCol w:w="960"/>
              <w:gridCol w:w="960"/>
              <w:gridCol w:w="1600"/>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9" w:type="dxa"/>
                  <w:vMerge w:val="restart"/>
                  <w:tcBorders>
                    <w:top w:val="single" w:color="auto" w:sz="12" w:space="0"/>
                    <w:bottom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名称</w:t>
                  </w:r>
                </w:p>
              </w:tc>
              <w:tc>
                <w:tcPr>
                  <w:tcW w:w="6400" w:type="dxa"/>
                  <w:gridSpan w:val="6"/>
                  <w:tcBorders>
                    <w:top w:val="single" w:color="auto" w:sz="12" w:space="0"/>
                    <w:left w:val="single" w:color="auto" w:sz="4" w:space="0"/>
                    <w:bottom w:val="single" w:color="auto" w:sz="4"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占地类型及面积（亩）</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9" w:type="dxa"/>
                  <w:vMerge w:val="continue"/>
                  <w:tcBorders>
                    <w:top w:val="single" w:color="auto" w:sz="4" w:space="0"/>
                    <w:bottom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14:textFill>
                        <w14:solidFill>
                          <w14:schemeClr w14:val="tx1"/>
                        </w14:solidFill>
                      </w14:textFill>
                    </w:rPr>
                  </w:pPr>
                </w:p>
              </w:tc>
              <w:tc>
                <w:tcPr>
                  <w:tcW w:w="960" w:type="dxa"/>
                  <w:tcBorders>
                    <w:top w:val="single" w:color="auto" w:sz="4" w:space="0"/>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茶园</w:t>
                  </w:r>
                </w:p>
              </w:tc>
              <w:tc>
                <w:tcPr>
                  <w:tcW w:w="960" w:type="dxa"/>
                  <w:tcBorders>
                    <w:top w:val="single" w:color="auto" w:sz="4" w:space="0"/>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旱地</w:t>
                  </w:r>
                </w:p>
              </w:tc>
              <w:tc>
                <w:tcPr>
                  <w:tcW w:w="960" w:type="dxa"/>
                  <w:tcBorders>
                    <w:top w:val="single" w:color="auto" w:sz="4" w:space="0"/>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草地</w:t>
                  </w:r>
                </w:p>
              </w:tc>
              <w:tc>
                <w:tcPr>
                  <w:tcW w:w="960" w:type="dxa"/>
                  <w:tcBorders>
                    <w:top w:val="single" w:color="auto" w:sz="4" w:space="0"/>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林地</w:t>
                  </w:r>
                </w:p>
              </w:tc>
              <w:tc>
                <w:tcPr>
                  <w:tcW w:w="960" w:type="dxa"/>
                  <w:tcBorders>
                    <w:top w:val="single" w:color="auto" w:sz="4" w:space="0"/>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海滩</w:t>
                  </w:r>
                </w:p>
              </w:tc>
              <w:tc>
                <w:tcPr>
                  <w:tcW w:w="1600" w:type="dxa"/>
                  <w:tcBorders>
                    <w:top w:val="single" w:color="auto" w:sz="4" w:space="0"/>
                    <w:left w:val="single" w:color="auto" w:sz="4" w:space="0"/>
                    <w:bottom w:val="single" w:color="auto" w:sz="4"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小计</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99" w:type="dxa"/>
                  <w:tcBorders>
                    <w:top w:val="single" w:color="auto" w:sz="4" w:space="0"/>
                    <w:bottom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永久占地</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10</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w:t>
                  </w:r>
                </w:p>
              </w:tc>
              <w:tc>
                <w:tcPr>
                  <w:tcW w:w="1600" w:type="dxa"/>
                  <w:tcBorders>
                    <w:top w:val="single" w:color="auto" w:sz="4" w:space="0"/>
                    <w:left w:val="single" w:color="auto" w:sz="4" w:space="0"/>
                    <w:bottom w:val="single" w:color="auto" w:sz="4"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599" w:type="dxa"/>
                  <w:tcBorders>
                    <w:top w:val="single" w:color="auto" w:sz="4" w:space="0"/>
                    <w:bottom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临时用地</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0.6</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0.8</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0.6</w:t>
                  </w:r>
                </w:p>
              </w:tc>
              <w:tc>
                <w:tcPr>
                  <w:tcW w:w="960" w:type="dxa"/>
                  <w:tcBorders>
                    <w:left w:val="single" w:color="auto" w:sz="4"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1.2</w:t>
                  </w:r>
                </w:p>
              </w:tc>
              <w:tc>
                <w:tcPr>
                  <w:tcW w:w="1600" w:type="dxa"/>
                  <w:tcBorders>
                    <w:top w:val="single" w:color="auto" w:sz="4" w:space="0"/>
                    <w:left w:val="single" w:color="auto" w:sz="4" w:space="0"/>
                    <w:bottom w:val="single" w:color="auto" w:sz="4"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9" w:type="dxa"/>
                  <w:tcBorders>
                    <w:top w:val="single" w:color="auto" w:sz="4" w:space="0"/>
                    <w:bottom w:val="single" w:color="auto" w:sz="12"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合计</w:t>
                  </w:r>
                </w:p>
              </w:tc>
              <w:tc>
                <w:tcPr>
                  <w:tcW w:w="960" w:type="dxa"/>
                  <w:tcBorders>
                    <w:left w:val="single" w:color="auto" w:sz="4" w:space="0"/>
                    <w:bottom w:val="single" w:color="auto" w:sz="12"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10.6</w:t>
                  </w:r>
                </w:p>
              </w:tc>
              <w:tc>
                <w:tcPr>
                  <w:tcW w:w="960" w:type="dxa"/>
                  <w:tcBorders>
                    <w:left w:val="single" w:color="auto" w:sz="4" w:space="0"/>
                    <w:bottom w:val="single" w:color="auto" w:sz="12"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2.8</w:t>
                  </w:r>
                </w:p>
              </w:tc>
              <w:tc>
                <w:tcPr>
                  <w:tcW w:w="960" w:type="dxa"/>
                  <w:tcBorders>
                    <w:left w:val="single" w:color="auto" w:sz="4" w:space="0"/>
                    <w:bottom w:val="single" w:color="auto" w:sz="12"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w:t>
                  </w:r>
                </w:p>
              </w:tc>
              <w:tc>
                <w:tcPr>
                  <w:tcW w:w="960" w:type="dxa"/>
                  <w:tcBorders>
                    <w:left w:val="single" w:color="auto" w:sz="4" w:space="0"/>
                    <w:bottom w:val="single" w:color="auto" w:sz="12"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4.6</w:t>
                  </w:r>
                </w:p>
              </w:tc>
              <w:tc>
                <w:tcPr>
                  <w:tcW w:w="960" w:type="dxa"/>
                  <w:tcBorders>
                    <w:left w:val="single" w:color="auto" w:sz="4" w:space="0"/>
                    <w:bottom w:val="single" w:color="auto" w:sz="12" w:space="0"/>
                    <w:right w:val="single" w:color="auto" w:sz="4"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3.2</w:t>
                  </w:r>
                </w:p>
              </w:tc>
              <w:tc>
                <w:tcPr>
                  <w:tcW w:w="1600" w:type="dxa"/>
                  <w:tcBorders>
                    <w:top w:val="single" w:color="auto" w:sz="4" w:space="0"/>
                    <w:left w:val="single" w:color="auto" w:sz="4" w:space="0"/>
                    <w:bottom w:val="single" w:color="auto" w:sz="12"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26.2</w:t>
                  </w:r>
                </w:p>
              </w:tc>
            </w:tr>
          </w:tbl>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5.主要工程参数</w:t>
            </w:r>
          </w:p>
          <w:p>
            <w:pPr>
              <w:pStyle w:val="4"/>
              <w:ind w:firstLine="480" w:firstLineChars="200"/>
              <w:jc w:val="both"/>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项目工程特性见表2-3</w:t>
            </w:r>
            <w:r>
              <w:rPr>
                <w:rFonts w:hint="eastAsia"/>
                <w:b w:val="0"/>
                <w:bCs w:val="0"/>
                <w:color w:val="000000" w:themeColor="text1"/>
                <w:lang w:val="en-US" w:eastAsia="zh-CN"/>
                <w14:textFill>
                  <w14:solidFill>
                    <w14:schemeClr w14:val="tx1"/>
                  </w14:solidFill>
                </w14:textFill>
              </w:rPr>
              <w:t>。</w:t>
            </w:r>
          </w:p>
          <w:p>
            <w:pPr>
              <w:pStyle w:val="4"/>
              <w:jc w:val="center"/>
              <w:rPr>
                <w:rFonts w:hint="default"/>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表2-3 项目工程特性表</w:t>
            </w:r>
          </w:p>
          <w:tbl>
            <w:tblPr>
              <w:tblStyle w:val="18"/>
              <w:tblW w:w="8377" w:type="dxa"/>
              <w:jc w:val="center"/>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009"/>
              <w:gridCol w:w="898"/>
              <w:gridCol w:w="1510"/>
              <w:gridCol w:w="2960"/>
            </w:tblGrid>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5" w:hRule="atLeast"/>
                <w:tblHeader/>
                <w:jc w:val="center"/>
              </w:trPr>
              <w:tc>
                <w:tcPr>
                  <w:tcW w:w="3009" w:type="dxa"/>
                  <w:tcBorders>
                    <w:top w:val="single" w:color="000000" w:sz="12"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序号及名称</w:t>
                  </w:r>
                </w:p>
              </w:tc>
              <w:tc>
                <w:tcPr>
                  <w:tcW w:w="898" w:type="dxa"/>
                  <w:tcBorders>
                    <w:top w:val="single" w:color="000000" w:sz="12"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单位</w:t>
                  </w:r>
                </w:p>
              </w:tc>
              <w:tc>
                <w:tcPr>
                  <w:tcW w:w="1510" w:type="dxa"/>
                  <w:tcBorders>
                    <w:top w:val="single" w:color="000000" w:sz="12"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数量</w:t>
                  </w:r>
                </w:p>
              </w:tc>
              <w:tc>
                <w:tcPr>
                  <w:tcW w:w="2960" w:type="dxa"/>
                  <w:tcBorders>
                    <w:top w:val="single" w:color="000000" w:sz="12"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备注</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一、工程规模</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1.设计防洪标准</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10年一遇</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2.设计水位</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28.00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分洪口</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3.河道泄量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r>
                    <w:rPr>
                      <w:rFonts w:hint="eastAsia"/>
                      <w:b w:val="0"/>
                      <w:bCs/>
                      <w:color w:val="000000" w:themeColor="text1"/>
                      <w:sz w:val="21"/>
                      <w:szCs w:val="21"/>
                      <w:lang w:val="en-US" w:eastAsia="zh-CN"/>
                      <w14:textFill>
                        <w14:solidFill>
                          <w14:schemeClr w14:val="tx1"/>
                        </w14:solidFill>
                      </w14:textFill>
                    </w:rPr>
                    <w:t>/s</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18.4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4.设计分洪流量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r>
                    <w:rPr>
                      <w:rFonts w:hint="eastAsia"/>
                      <w:b w:val="0"/>
                      <w:bCs/>
                      <w:color w:val="000000" w:themeColor="text1"/>
                      <w:sz w:val="21"/>
                      <w:szCs w:val="21"/>
                      <w:lang w:val="en-US" w:eastAsia="zh-CN"/>
                      <w14:textFill>
                        <w14:solidFill>
                          <w14:schemeClr w14:val="tx1"/>
                        </w14:solidFill>
                      </w14:textFill>
                    </w:rPr>
                    <w:t>/s</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75.0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含下里洋溪引洪流量</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5.建设拦河坝</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36.50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坝顶长度</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6.建设进水口</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21.85</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单孔总净宽（堰宽）6m</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7.建设隧洞</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2458.33</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不含进水，含衔接过渡段</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8.建设箱涵</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404.14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9.建设消能设施</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43.70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含溢流出口段、涵管段、抛</w:t>
                  </w:r>
                </w:p>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石护底段</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二、主要建筑物及设备</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地震动参数设计值</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0.05</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抗震基本烈度</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度</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Ⅵ</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（一）.拦河坝及库区相关工程</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（1）拦河坝</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拦河坝型式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重力坝</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坝顶高程</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30.60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堰顶高程（正常蓄水位）</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28.00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设计洪水位</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28.94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20年一遇</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校核洪水位</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29.97</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100年一遇</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坝顶长度</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36.50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其中溢流坝段15m</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最大坝高</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9.8</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（2）库区开挖</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开挖最低高程</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21.80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开挖</w:t>
                  </w:r>
                  <w:r>
                    <w:rPr>
                      <w:rFonts w:hint="eastAsia"/>
                      <w:b w:val="0"/>
                      <w:bCs/>
                      <w:color w:val="000000" w:themeColor="text1"/>
                      <w:sz w:val="21"/>
                      <w:szCs w:val="21"/>
                      <w:highlight w:val="none"/>
                      <w:lang w:val="en-US" w:eastAsia="zh-CN"/>
                      <w14:textFill>
                        <w14:solidFill>
                          <w14:schemeClr w14:val="tx1"/>
                        </w14:solidFill>
                      </w14:textFill>
                    </w:rPr>
                    <w:t>方</w:t>
                  </w:r>
                  <w:r>
                    <w:rPr>
                      <w:rFonts w:hint="eastAsia"/>
                      <w:b w:val="0"/>
                      <w:bCs/>
                      <w:color w:val="000000" w:themeColor="text1"/>
                      <w:sz w:val="21"/>
                      <w:szCs w:val="21"/>
                      <w:lang w:val="en-US" w:eastAsia="zh-CN"/>
                      <w14:textFill>
                        <w14:solidFill>
                          <w14:schemeClr w14:val="tx1"/>
                        </w14:solidFill>
                      </w14:textFill>
                    </w:rPr>
                    <w:t>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4231</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（3）其他</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路边防浪墙</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46.50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（二）隧洞及箱涵工程</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（1）隧洞进水口</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进口底高程（堰顶高程）</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23.00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出口底高程</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16.00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进口宽度（堰顶宽度）</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闸门（孔口）尺寸</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5.0×5.0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净宽×净高</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（2）隧洞工程（含与箱涵过渡段）</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2458.33</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共3段（1#、2#、3#）</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隧洞</w:t>
                  </w:r>
                  <w:r>
                    <w:rPr>
                      <w:rFonts w:hint="eastAsia"/>
                      <w:b w:val="0"/>
                      <w:bCs/>
                      <w:color w:val="000000" w:themeColor="text1"/>
                      <w:sz w:val="21"/>
                      <w:szCs w:val="21"/>
                      <w:highlight w:val="none"/>
                      <w:lang w:val="en-US" w:eastAsia="zh-CN"/>
                      <w14:textFill>
                        <w14:solidFill>
                          <w14:schemeClr w14:val="tx1"/>
                        </w14:solidFill>
                      </w14:textFill>
                    </w:rPr>
                    <w:t>型式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有压圆形</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开挖尺寸</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5.7</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直径</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衬砌后最小尺寸</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直径</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（3）压力箱涵</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404.14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共2段（1#、2#）</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箱涵</w:t>
                  </w:r>
                  <w:r>
                    <w:rPr>
                      <w:rFonts w:hint="eastAsia"/>
                      <w:b w:val="0"/>
                      <w:bCs/>
                      <w:color w:val="000000" w:themeColor="text1"/>
                      <w:sz w:val="21"/>
                      <w:szCs w:val="21"/>
                      <w:highlight w:val="none"/>
                      <w:lang w:val="en-US" w:eastAsia="zh-CN"/>
                      <w14:textFill>
                        <w14:solidFill>
                          <w14:schemeClr w14:val="tx1"/>
                        </w14:solidFill>
                      </w14:textFill>
                    </w:rPr>
                    <w:t>型式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现浇有压方涵</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净尺寸</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4.4</w:t>
                  </w:r>
                  <w:r>
                    <w:rPr>
                      <w:rFonts w:hint="eastAsia"/>
                      <w:b w:val="0"/>
                      <w:bCs/>
                      <w:color w:val="000000" w:themeColor="text1"/>
                      <w:sz w:val="21"/>
                      <w:szCs w:val="21"/>
                      <w:highlight w:val="none"/>
                      <w:lang w:val="en-US" w:eastAsia="zh-CN"/>
                      <w14:textFill>
                        <w14:solidFill>
                          <w14:schemeClr w14:val="tx1"/>
                        </w14:solidFill>
                      </w14:textFill>
                    </w:rPr>
                    <w:sym w:font="Symbol" w:char="F0B4"/>
                  </w:r>
                  <w:r>
                    <w:rPr>
                      <w:rFonts w:hint="eastAsia"/>
                      <w:b w:val="0"/>
                      <w:bCs/>
                      <w:color w:val="000000" w:themeColor="text1"/>
                      <w:sz w:val="21"/>
                      <w:szCs w:val="21"/>
                      <w:lang w:val="en-US" w:eastAsia="zh-CN"/>
                      <w14:textFill>
                        <w14:solidFill>
                          <w14:schemeClr w14:val="tx1"/>
                        </w14:solidFill>
                      </w14:textFill>
                    </w:rPr>
                    <w:t>4.4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净宽×净高</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底板厚度</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0.5</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顶板厚度</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侧墙厚度</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（4）出口防冲设施</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43.70</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总长</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溢流出口段</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7.8×7.8×5.5m</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（净长×净宽×净高）</w:t>
                  </w:r>
                </w:p>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顶部溢流</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涵管段</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151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3根DN2000涵管</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抛石护底段长</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31</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三、施工</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1.主体工程数量</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钢筋砼</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7563</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喷混凝土（含挂网喷）</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m</w:t>
                  </w:r>
                  <w:r>
                    <w:rPr>
                      <w:rFonts w:hint="eastAsia"/>
                      <w:b w:val="0"/>
                      <w:bCs/>
                      <w:color w:val="000000" w:themeColor="text1"/>
                      <w:sz w:val="21"/>
                      <w:szCs w:val="21"/>
                      <w:vertAlign w:val="superscript"/>
                      <w:lang w:val="en-US" w:eastAsia="zh-CN"/>
                      <w14:textFill>
                        <w14:solidFill>
                          <w14:schemeClr w14:val="tx1"/>
                        </w14:solidFill>
                      </w14:textFill>
                    </w:rPr>
                    <w:t>3</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5074</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钢材（含钢拱架等）</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t</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1403</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2.施工动力来源</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供电</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kW</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2960" w:type="dxa"/>
                  <w:tcBorders>
                    <w:top w:val="single" w:color="000000" w:sz="6" w:space="0"/>
                    <w:left w:val="single" w:color="000000" w:sz="6" w:space="0"/>
                    <w:bottom w:val="single" w:color="000000" w:sz="6" w:space="0"/>
                    <w:right w:val="nil"/>
                  </w:tcBorders>
                  <w:vAlign w:val="top"/>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附近村镇</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3.施工导流</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土石围堰</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布置少量导流涵管</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4.施工期限</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009" w:type="dxa"/>
                  <w:tcBorders>
                    <w:top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准备工期</w:t>
                  </w:r>
                </w:p>
              </w:tc>
              <w:tc>
                <w:tcPr>
                  <w:tcW w:w="898"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月</w:t>
                  </w:r>
                </w:p>
              </w:tc>
              <w:tc>
                <w:tcPr>
                  <w:tcW w:w="1510" w:type="dxa"/>
                  <w:tcBorders>
                    <w:top w:val="single" w:color="000000" w:sz="6" w:space="0"/>
                    <w:left w:val="single" w:color="000000" w:sz="6" w:space="0"/>
                    <w:bottom w:val="single" w:color="000000" w:sz="6"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w:t>
                  </w:r>
                </w:p>
              </w:tc>
              <w:tc>
                <w:tcPr>
                  <w:tcW w:w="2960" w:type="dxa"/>
                  <w:tcBorders>
                    <w:top w:val="single" w:color="000000" w:sz="6" w:space="0"/>
                    <w:left w:val="single" w:color="000000" w:sz="6" w:space="0"/>
                    <w:bottom w:val="single" w:color="000000" w:sz="6"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r>
              <w:tblPrEx>
                <w:tblBorders>
                  <w:top w:val="single" w:color="auto" w:sz="18" w:space="0"/>
                  <w:left w:val="none" w:color="auto" w:sz="0"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3009" w:type="dxa"/>
                  <w:tcBorders>
                    <w:top w:val="single" w:color="000000" w:sz="6" w:space="0"/>
                    <w:bottom w:val="single" w:color="000000" w:sz="12"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总工期</w:t>
                  </w:r>
                </w:p>
              </w:tc>
              <w:tc>
                <w:tcPr>
                  <w:tcW w:w="898" w:type="dxa"/>
                  <w:tcBorders>
                    <w:top w:val="single" w:color="000000" w:sz="6" w:space="0"/>
                    <w:left w:val="single" w:color="000000" w:sz="6" w:space="0"/>
                    <w:bottom w:val="single" w:color="000000" w:sz="12"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月</w:t>
                  </w:r>
                </w:p>
              </w:tc>
              <w:tc>
                <w:tcPr>
                  <w:tcW w:w="1510" w:type="dxa"/>
                  <w:tcBorders>
                    <w:top w:val="single" w:color="000000" w:sz="6" w:space="0"/>
                    <w:left w:val="single" w:color="000000" w:sz="6" w:space="0"/>
                    <w:bottom w:val="single" w:color="000000" w:sz="12" w:space="0"/>
                    <w:right w:val="single" w:color="000000" w:sz="6"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18</w:t>
                  </w:r>
                </w:p>
              </w:tc>
              <w:tc>
                <w:tcPr>
                  <w:tcW w:w="2960" w:type="dxa"/>
                  <w:tcBorders>
                    <w:top w:val="single" w:color="000000" w:sz="6" w:space="0"/>
                    <w:left w:val="single" w:color="000000" w:sz="6" w:space="0"/>
                    <w:bottom w:val="single" w:color="000000" w:sz="12" w:space="0"/>
                    <w:right w:val="nil"/>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before="0" w:beforeLines="0" w:line="240" w:lineRule="auto"/>
                    <w:jc w:val="center"/>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w:t>
                  </w:r>
                </w:p>
              </w:tc>
            </w:tr>
          </w:tbl>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6.工程任务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工程任务是防洪，工程建设内容：庙后溪集镇区上游新建分洪隧洞/箱涵，高排至外海，缓解硖门集镇片防洪问题，提高硖门集镇的防洪能力</w:t>
            </w:r>
            <w:r>
              <w:rPr>
                <w:rFonts w:hint="eastAsia" w:cs="Times New Roman"/>
                <w:color w:val="000000" w:themeColor="text1"/>
                <w:kern w:val="0"/>
                <w:sz w:val="24"/>
                <w:szCs w:val="24"/>
                <w:highlight w:val="none"/>
                <w:lang w:val="en-US" w:eastAsia="zh-CN" w:bidi="ar"/>
                <w14:textFill>
                  <w14:solidFill>
                    <w14:schemeClr w14:val="tx1"/>
                  </w14:solidFill>
                </w14:textFill>
              </w:rPr>
              <w:t>。</w:t>
            </w:r>
          </w:p>
          <w:p>
            <w:pPr>
              <w:pStyle w:val="5"/>
              <w:bidi w:val="0"/>
              <w:jc w:val="left"/>
              <w:rPr>
                <w:rFonts w:hint="eastAsia"/>
                <w:color w:val="000000" w:themeColor="text1"/>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6.1工程等级和</w:t>
            </w:r>
            <w:r>
              <w:rPr>
                <w:rFonts w:hint="eastAsia"/>
                <w:color w:val="000000" w:themeColor="text1"/>
                <w:lang w:val="en-US" w:eastAsia="zh-CN"/>
                <w14:textFill>
                  <w14:solidFill>
                    <w14:schemeClr w14:val="tx1"/>
                  </w14:solidFill>
                </w14:textFill>
              </w:rPr>
              <w:t>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（1）工程等级</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利工程按照工程规模、效益和经济社会中的重要性确定工程等别，本工程主要保护对象为硖门畲族乡集镇，硖门畲族乡现状总人口约1.7万人，根据《水利水电工程等级及防洪标准》SL252-2017表3.0.1，工程等别为Ⅴ等；根据《防洪标准》（GB50201-2014）当人口小于20万人，耕地面积小30万亩，对应乡镇防护等级为Ⅳ等，因此综合确定本工程的工程等别为Ⅳ等，与乡镇防洪排涝规划一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（2）片区标准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①防洪标准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硖门畲族乡的防洪标准10年一遇，防山洪标准采用10年一遇。</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②排涝标准</w:t>
            </w:r>
          </w:p>
          <w:p>
            <w:pPr>
              <w:keepNext w:val="0"/>
              <w:keepLines w:val="0"/>
              <w:widowControl/>
              <w:suppressLineNumbers w:val="0"/>
              <w:spacing w:line="360" w:lineRule="auto"/>
              <w:ind w:firstLine="480" w:firstLineChars="200"/>
              <w:jc w:val="left"/>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排涝设计标准采用10年一遇，即10年一遇设计暴雨，24小时暴雨24小时排除的排涝标准。</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6.2工程总布置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庙后溪在教堂后山旁河道内建设1座拦河坝拦截山洪，在坝上游左岸山体开挖排洪洞（排洪洞设计流量75.0m³/s），穿过硖门乡教堂对面山体，为避免与硖门隧道（高程约20.00m）交叉，采用压力箱涵从硖门乡高速桥桥墩之间（地面高程约7~12m）穿过；然后沿着东北向42°开挖隧洞穿过山体到达大厝里；为避免与南埕山隧道交叉，采用压力箱涵从南埕山隧道进口公路下穿；然后沿着东向开挖隧洞并转角37°向着东南向穿过山体到达白沙出口。在下里洋溪上游建设拦河坝，沿山体建设引水渠（排洪管道总长约573m），将下里洋溪山洪引至庙后溪拦河坝上游库区内，通过庙后溪排洪洞一起排入外海。庙后溪两岸建设防浪墙约504m，在河口设置1座一体化泵闸，排涝流量10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/s，在硖门溪低水位时开闸排洪，在硖门溪高水位时关闸启用泵站抽排庙后溪洪水。</w:t>
            </w:r>
          </w:p>
          <w:p>
            <w:pPr>
              <w:pStyle w:val="40"/>
              <w:spacing w:before="0" w:after="0"/>
              <w:ind w:firstLine="560"/>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本工程主要建设内容包括两部分：（1）拦河坝及库区相关工程；（2）隧洞及箱涵工程。</w:t>
            </w:r>
          </w:p>
          <w:p>
            <w:pPr>
              <w:pStyle w:val="40"/>
              <w:spacing w:before="0" w:after="0" w:line="360" w:lineRule="auto"/>
              <w:ind w:firstLine="560"/>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（1）拦河坝及库区相关工程</w:t>
            </w:r>
          </w:p>
          <w:p>
            <w:pPr>
              <w:pStyle w:val="40"/>
              <w:spacing w:before="0" w:after="0" w:line="360" w:lineRule="auto"/>
              <w:ind w:firstLine="561"/>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工程拦河坝布置在庙后溪硖门畲族乡教堂上游约100m处，为C20埋石砼重力坝，坝顶长度36.56m，分为溢流坝段15m，非溢流坝段21.56m。溢流坝段堰顶高程28.00m，非溢流坝段坝顶高程30.60m，坝顶宽度2.0m。穿坝设置DN600冲沙孔兼生态放水孔，底高程为22.30m，下游设置闸阀控制。坝肩右岸设置C25砼台阶，便于下河检修及放水。同时，为满足拦河坝蓄水要求，对拦河坝右岸高程不满足要求的道路进行加高处理，加高处道路路面高程29.60m，长约54m，宽约3.95m。</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库区适当开挖，库容为2.2万立方米，开挖最低高程为21.</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0m，平时可蓄水作为下游河道的补水和生态放水，通过大坝生态放水孔进行下放。洪水期需要分洪时，水库能形成雍水效果，保证隧洞的进口水头及进口水流平顺需求。</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（2）隧洞及箱涵工程</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本工程隧洞及箱涵总长</w:t>
            </w:r>
            <w:r>
              <w:rPr>
                <w:rFonts w:hint="eastAsia" w:cs="Times New Roman"/>
                <w:color w:val="000000" w:themeColor="text1"/>
                <w:kern w:val="0"/>
                <w:sz w:val="24"/>
                <w:szCs w:val="24"/>
                <w:highlight w:val="none"/>
                <w:lang w:val="en-US" w:eastAsia="zh-CN" w:bidi="ar"/>
                <w14:textFill>
                  <w14:solidFill>
                    <w14:schemeClr w14:val="tx1"/>
                  </w14:solidFill>
                </w14:textFill>
              </w:rPr>
              <w:t>2884.32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m（该长度含进水口，不含出口防冲设施），隧洞进水口底高程23.00m，出口（不含出口防冲部分）底高程为0.5m。有压隧洞进水口长21.85m，有压隧洞三段总长</w:t>
            </w:r>
            <w:r>
              <w:rPr>
                <w:rFonts w:hint="eastAsia" w:cs="Times New Roman"/>
                <w:color w:val="000000" w:themeColor="text1"/>
                <w:kern w:val="0"/>
                <w:sz w:val="24"/>
                <w:szCs w:val="24"/>
                <w:highlight w:val="none"/>
                <w:lang w:val="en-US" w:eastAsia="zh-CN" w:bidi="ar"/>
                <w14:textFill>
                  <w14:solidFill>
                    <w14:schemeClr w14:val="tx1"/>
                  </w14:solidFill>
                </w14:textFill>
              </w:rPr>
              <w:t>2458.33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m（分别为1#隧洞长</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84.37</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m、2#隧洞长</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1545.45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m、3#隧洞长</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828.51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m），压力箱涵两段共40</w:t>
            </w:r>
            <w:r>
              <w:rPr>
                <w:rFonts w:hint="eastAsia" w:cs="Times New Roman"/>
                <w:color w:val="000000" w:themeColor="text1"/>
                <w:kern w:val="0"/>
                <w:sz w:val="24"/>
                <w:szCs w:val="24"/>
                <w:highlight w:val="none"/>
                <w:lang w:val="en-US" w:eastAsia="zh-CN" w:bidi="ar"/>
                <w14:textFill>
                  <w14:solidFill>
                    <w14:schemeClr w14:val="tx1"/>
                  </w14:solidFill>
                </w14:textFill>
              </w:rPr>
              <w:t>4.14</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m（分别为1#箱涵</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141.00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m、2#箱涵</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263.14</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m），隧洞采用圆型断面（开挖洞径5.7m，最小支护洞径5.0m），压力箱涵壁厚0.4m（净尺寸4.4m×4.4m），隧洞出口设置溢流口及埋涵出流，防止外海风浪对隧洞的影响，出口设施总长</w:t>
            </w:r>
            <w:r>
              <w:rPr>
                <w:rFonts w:hint="eastAsia" w:cs="Times New Roman"/>
                <w:color w:val="000000" w:themeColor="text1"/>
                <w:kern w:val="0"/>
                <w:sz w:val="24"/>
                <w:szCs w:val="24"/>
                <w:highlight w:val="none"/>
                <w:lang w:val="en-US" w:eastAsia="zh-CN" w:bidi="ar"/>
                <w14:textFill>
                  <w14:solidFill>
                    <w14:schemeClr w14:val="tx1"/>
                  </w14:solidFill>
                </w14:textFill>
              </w:rPr>
              <w:t>43.70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主要建筑物</w:t>
            </w:r>
          </w:p>
          <w:p>
            <w:pPr>
              <w:spacing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（1）拦河坝</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工程拦河坝的作用主要为抬高河道水位保证隧洞进口引水要求；拦蓄河水形成景观水面，同时下放生态基流及下游河道景观补水。根据以上运行及使用要求，选取在河道宽度较窄的位置布置重力坝，坝顶高程30.60m，堰顶高程28.00m，正常蓄水位28.00m，P=5%设计洪水位28.94m，P=1%校核洪水位29.97m，水库库容约2.2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拦河坝为C20埋石混凝土结构，坝顶长度36.56m，分为溢流坝段15m，非溢流坝段21.56m。溢流坝段堰顶高程28.00m，非溢流坝段坝顶高程30.60m，坝顶宽度2.0m。大坝上游面垂直，下游面坝顶高程29.60m~堰顶高程28.00m垂直，28.00m~坝底坡度为1:0.65m。穿坝设置DN600冲沙孔兼生态放水孔，底高程为22.30m，下游设置闸阀控制。坝肩右岸设置C25砼台阶，便于下河检修及放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拦河坝坝基条件较好，适当开开挖即可作为坝基持力层，不需要进行坝基处理，为防止绕渗，在坝右岸设置长3.0m，厚0.5m的防渗刺墙。由于坝下游基岩出露，抗冲能力较强，坝下游不考虑设置消力池。</w:t>
            </w:r>
          </w:p>
          <w:p>
            <w:pPr>
              <w:spacing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（2）隧洞及箱涵结构</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本工程隧洞及箱涵总长</w:t>
            </w:r>
            <w:r>
              <w:rPr>
                <w:rFonts w:hint="eastAsia" w:cs="Times New Roman"/>
                <w:color w:val="000000" w:themeColor="text1"/>
                <w:kern w:val="0"/>
                <w:sz w:val="24"/>
                <w:szCs w:val="24"/>
                <w:highlight w:val="none"/>
                <w:lang w:val="en-US" w:eastAsia="zh-CN" w:bidi="ar"/>
                <w14:textFill>
                  <w14:solidFill>
                    <w14:schemeClr w14:val="tx1"/>
                  </w14:solidFill>
                </w14:textFill>
              </w:rPr>
              <w:t>2884.32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m（长度含进水口，不含出口防冲设施），隧洞进水口底高程（堰顶高程）23.00m。隧洞前端设置单孔进水口，进水口总长21.85m，末端设置出口防冲设施1处，长</w:t>
            </w:r>
            <w:r>
              <w:rPr>
                <w:rFonts w:hint="eastAsia" w:cs="Times New Roman"/>
                <w:color w:val="000000" w:themeColor="text1"/>
                <w:kern w:val="0"/>
                <w:sz w:val="24"/>
                <w:szCs w:val="24"/>
                <w:highlight w:val="none"/>
                <w:lang w:val="en-US" w:eastAsia="zh-CN" w:bidi="ar"/>
                <w14:textFill>
                  <w14:solidFill>
                    <w14:schemeClr w14:val="tx1"/>
                  </w14:solidFill>
                </w14:textFill>
              </w:rPr>
              <w:t>43.70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m。有压隧洞三段总长</w:t>
            </w:r>
            <w:r>
              <w:rPr>
                <w:rFonts w:hint="eastAsia" w:cs="Times New Roman"/>
                <w:color w:val="000000" w:themeColor="text1"/>
                <w:kern w:val="0"/>
                <w:sz w:val="24"/>
                <w:szCs w:val="24"/>
                <w:highlight w:val="none"/>
                <w:lang w:val="en-US" w:eastAsia="zh-CN" w:bidi="ar"/>
                <w14:textFill>
                  <w14:solidFill>
                    <w14:schemeClr w14:val="tx1"/>
                  </w14:solidFill>
                </w14:textFill>
              </w:rPr>
              <w:t>2458.33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m（分别为1#隧洞长</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84.37</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m、2#隧洞长</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1545.45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m、3#隧洞长</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828.51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m），压力箱涵两段共40</w:t>
            </w:r>
            <w:r>
              <w:rPr>
                <w:rFonts w:hint="eastAsia" w:cs="Times New Roman"/>
                <w:color w:val="000000" w:themeColor="text1"/>
                <w:kern w:val="0"/>
                <w:sz w:val="24"/>
                <w:szCs w:val="24"/>
                <w:highlight w:val="none"/>
                <w:lang w:val="en-US" w:eastAsia="zh-CN" w:bidi="ar"/>
                <w14:textFill>
                  <w14:solidFill>
                    <w14:schemeClr w14:val="tx1"/>
                  </w14:solidFill>
                </w14:textFill>
              </w:rPr>
              <w:t>4.14</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m（分别为1#箱涵</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141.00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m、2#箱涵</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263.14</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p>
          <w:p>
            <w:pPr>
              <w:pStyle w:val="40"/>
              <w:numPr>
                <w:ilvl w:val="0"/>
                <w:numId w:val="0"/>
              </w:numPr>
              <w:spacing w:before="0" w:after="0" w:line="360" w:lineRule="auto"/>
              <w:ind w:leftChars="200"/>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①进水口</w:t>
            </w:r>
          </w:p>
          <w:p>
            <w:pPr>
              <w:pStyle w:val="40"/>
              <w:spacing w:before="0" w:after="0" w:line="360" w:lineRule="auto"/>
              <w:ind w:firstLine="561"/>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隧洞进水口位于庙后溪左岸山体（中心线桩号KA0+000.00~KA0+021.85），后接1#隧洞，设计过流量75m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/s，为开敞式进水口，孔口尺寸为5.0m（单孔净宽）。进水口设置检修闸门，主要由下部进水口及上部启闭房组成。进水口闸门平时打开，当需进行检修时，关闭进水口闸门，场地交通通过左侧道路进入</w:t>
            </w:r>
            <w:r>
              <w:rPr>
                <w:rFonts w:hint="eastAsia" w:cs="Times New Roman"/>
                <w:color w:val="000000" w:themeColor="text1"/>
                <w:kern w:val="0"/>
                <w:sz w:val="24"/>
                <w:szCs w:val="24"/>
                <w:highlight w:val="none"/>
                <w:lang w:val="en-US" w:eastAsia="zh-CN" w:bidi="ar"/>
                <w14:textFill>
                  <w14:solidFill>
                    <w14:schemeClr w14:val="tx1"/>
                  </w14:solidFill>
                </w14:textFill>
              </w:rPr>
              <w:t>。</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进水口共设置1孔，采用钢筋砼结构，设置长7.54m的斜坡（堰面）段，后为长6.3m的平坡段。平坡段底高程 16.00m，在平坡段后侧设置闸门，平面钢闸门尺寸为5.0×5.0m（净宽×净高），边墩厚度1.0m，不设置中墩。平坡段上部设检修平台，检修平台高程为29.60m，上部设置启闭房，启闭平台高程为36.00m，内设QL2×50t手电两用螺杆启闭机。闸后设置长8m的衔接过渡段，之后再与1#隧洞相连。</w:t>
            </w:r>
          </w:p>
          <w:p>
            <w:pPr>
              <w:spacing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②出口防冲段</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隧洞出口防冲设施总长</w:t>
            </w:r>
            <w:r>
              <w:rPr>
                <w:rFonts w:hint="eastAsia" w:cs="Times New Roman"/>
                <w:color w:val="000000" w:themeColor="text1"/>
                <w:kern w:val="0"/>
                <w:sz w:val="24"/>
                <w:szCs w:val="24"/>
                <w:highlight w:val="none"/>
                <w:lang w:val="en-US" w:eastAsia="zh-CN" w:bidi="ar"/>
                <w14:textFill>
                  <w14:solidFill>
                    <w14:schemeClr w14:val="tx1"/>
                  </w14:solidFill>
                </w14:textFill>
              </w:rPr>
              <w:t>43.70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m（设置</w:t>
            </w:r>
            <w:r>
              <w:rPr>
                <w:rFonts w:hint="eastAsia" w:cs="Times New Roman"/>
                <w:color w:val="000000" w:themeColor="text1"/>
                <w:kern w:val="0"/>
                <w:sz w:val="24"/>
                <w:szCs w:val="24"/>
                <w:highlight w:val="none"/>
                <w:lang w:val="en-US" w:eastAsia="zh-CN" w:bidi="ar"/>
                <w14:textFill>
                  <w14:solidFill>
                    <w14:schemeClr w14:val="tx1"/>
                  </w14:solidFill>
                </w14:textFill>
              </w:rPr>
              <w:t>长9.40m</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溢流出口段、</w:t>
            </w:r>
            <w:r>
              <w:rPr>
                <w:rFonts w:hint="eastAsia" w:cs="Times New Roman"/>
                <w:color w:val="000000" w:themeColor="text1"/>
                <w:kern w:val="0"/>
                <w:sz w:val="24"/>
                <w:szCs w:val="24"/>
                <w:highlight w:val="none"/>
                <w:lang w:val="en-US" w:eastAsia="zh-CN" w:bidi="ar"/>
                <w14:textFill>
                  <w14:solidFill>
                    <w14:schemeClr w14:val="tx1"/>
                  </w14:solidFill>
                </w14:textFill>
              </w:rPr>
              <w:t>长26.50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涵管段、</w:t>
            </w:r>
            <w:r>
              <w:rPr>
                <w:rFonts w:hint="eastAsia" w:cs="Times New Roman"/>
                <w:color w:val="000000" w:themeColor="text1"/>
                <w:kern w:val="0"/>
                <w:sz w:val="24"/>
                <w:szCs w:val="24"/>
                <w:highlight w:val="none"/>
                <w:lang w:val="en-US" w:eastAsia="zh-CN" w:bidi="ar"/>
                <w14:textFill>
                  <w14:solidFill>
                    <w14:schemeClr w14:val="tx1"/>
                  </w14:solidFill>
                </w14:textFill>
              </w:rPr>
              <w:t>长7.80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抛石护底段）。小流量从涵管下泄不漫过海滩，大流量泄流从溢流口顶部漫出。</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溢流出口段为C30钢筋砼矩形水池结构，尺寸为7.8×7.8×5.5m（净长×净宽×净高），上游与隧洞相连，下游与出口涵管相连。溢流口底高程0.50m，溢流口顶高程6.00m，深5.5m，上不封口，底板厚度1.0m，侧墙厚度0.8m。</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涵管段总长</w:t>
            </w:r>
            <w:r>
              <w:rPr>
                <w:rFonts w:hint="eastAsia" w:cs="Times New Roman"/>
                <w:color w:val="000000" w:themeColor="text1"/>
                <w:kern w:val="0"/>
                <w:sz w:val="24"/>
                <w:szCs w:val="24"/>
                <w:highlight w:val="none"/>
                <w:lang w:val="en-US" w:eastAsia="zh-CN" w:bidi="ar"/>
                <w14:textFill>
                  <w14:solidFill>
                    <w14:schemeClr w14:val="tx1"/>
                  </w14:solidFill>
                </w14:textFill>
              </w:rPr>
              <w:t>26.50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m，埋设3根DN2000钢筋混凝土涵管，各涵管中心间距2.4m，进口高程0.5m，出口高程</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0.</w:t>
            </w:r>
            <w:r>
              <w:rPr>
                <w:rFonts w:hint="eastAsia" w:cs="Times New Roman"/>
                <w:color w:val="000000" w:themeColor="text1"/>
                <w:kern w:val="0"/>
                <w:sz w:val="24"/>
                <w:szCs w:val="24"/>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m，涵管采用外包C20砼进行保护。管道前端与溢流出口段侧墙相连，出口设置净高3.0m，埋深1.8m的M10浆砌块石挡墙，管道穿过挡墙墙身。</w:t>
            </w:r>
          </w:p>
          <w:p>
            <w:pPr>
              <w:pStyle w:val="40"/>
              <w:spacing w:before="0" w:after="0"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抛石护底段长</w:t>
            </w:r>
            <w:r>
              <w:rPr>
                <w:rFonts w:hint="eastAsia" w:cs="Times New Roman"/>
                <w:color w:val="000000" w:themeColor="text1"/>
                <w:kern w:val="0"/>
                <w:sz w:val="24"/>
                <w:szCs w:val="24"/>
                <w:highlight w:val="none"/>
                <w:lang w:val="en-US" w:eastAsia="zh-CN" w:bidi="ar"/>
                <w14:textFill>
                  <w14:solidFill>
                    <w14:schemeClr w14:val="tx1"/>
                  </w14:solidFill>
                </w14:textFill>
              </w:rPr>
              <w:t>7.80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eastAsia" w:cs="Times New Roman"/>
                <w:color w:val="000000" w:themeColor="text1"/>
                <w:kern w:val="0"/>
                <w:sz w:val="24"/>
                <w:szCs w:val="24"/>
                <w:highlight w:val="none"/>
                <w:lang w:val="en-US" w:eastAsia="zh-CN" w:bidi="ar"/>
                <w14:textFill>
                  <w14:solidFill>
                    <w14:schemeClr w14:val="tx1"/>
                  </w14:solidFill>
                </w14:textFill>
              </w:rPr>
              <w:t>深1.8m，宽度扩散略宽于涵管埋深总宽度。</w:t>
            </w:r>
          </w:p>
          <w:p>
            <w:pPr>
              <w:spacing w:line="360" w:lineRule="auto"/>
              <w:ind w:firstLine="561"/>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隧洞及箱涵</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本工程隧洞进口（不含进水口）起点桩号为KA0+021.85，底高程16.00m，出口桩号为KA2+</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884.32</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，底高程为0.5m，后接出口防冲设施。沿线共分为若干段。有压隧洞三段总长24</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58.33</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m，压力箱涵两段</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404.14</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m。隧洞段采用有压隧洞，根据不同的围岩类型采取不同的支护措施。</w:t>
            </w:r>
          </w:p>
          <w:p>
            <w:pPr>
              <w:pStyle w:val="4"/>
              <w:jc w:val="center"/>
              <w:rPr>
                <w:rFonts w:hint="eastAsia" w:cs="Times New Roman"/>
                <w:b/>
                <w:bCs/>
                <w:color w:val="000000" w:themeColor="text1"/>
                <w:kern w:val="0"/>
                <w:sz w:val="24"/>
                <w:szCs w:val="24"/>
                <w:highlight w:val="none"/>
                <w:lang w:val="en-US" w:eastAsia="zh-CN" w:bidi="ar"/>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表2-4 各段隧洞及箱涵桩号</w:t>
            </w:r>
          </w:p>
          <w:tbl>
            <w:tblPr>
              <w:tblStyle w:val="19"/>
              <w:tblW w:w="8398" w:type="dxa"/>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30"/>
              <w:gridCol w:w="2771"/>
              <w:gridCol w:w="419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430"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施工段</w:t>
                  </w:r>
                </w:p>
              </w:tc>
              <w:tc>
                <w:tcPr>
                  <w:tcW w:w="2771"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长度（m）</w:t>
                  </w:r>
                </w:p>
              </w:tc>
              <w:tc>
                <w:tcPr>
                  <w:tcW w:w="4197"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桩号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430"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1#隧洞段</w:t>
                  </w:r>
                </w:p>
              </w:tc>
              <w:tc>
                <w:tcPr>
                  <w:tcW w:w="2771"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84.37</w:t>
                  </w:r>
                </w:p>
              </w:tc>
              <w:tc>
                <w:tcPr>
                  <w:tcW w:w="4197"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KA0+021.85~KA0+106.22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430"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1#箱涵段</w:t>
                  </w:r>
                </w:p>
              </w:tc>
              <w:tc>
                <w:tcPr>
                  <w:tcW w:w="2771"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141.00</w:t>
                  </w:r>
                </w:p>
              </w:tc>
              <w:tc>
                <w:tcPr>
                  <w:tcW w:w="4197"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KA0+106.22~KA0+247.22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430"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2#隧洞段</w:t>
                  </w:r>
                </w:p>
              </w:tc>
              <w:tc>
                <w:tcPr>
                  <w:tcW w:w="2771"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1545.45</w:t>
                  </w:r>
                </w:p>
              </w:tc>
              <w:tc>
                <w:tcPr>
                  <w:tcW w:w="4197"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KA0+247.22~KA1+792.67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430"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2#箱涵段</w:t>
                  </w:r>
                </w:p>
              </w:tc>
              <w:tc>
                <w:tcPr>
                  <w:tcW w:w="2771"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263.14</w:t>
                  </w:r>
                </w:p>
              </w:tc>
              <w:tc>
                <w:tcPr>
                  <w:tcW w:w="4197"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KA1+792.67~KA2+050.81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430"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3#隧洞段</w:t>
                  </w:r>
                </w:p>
              </w:tc>
              <w:tc>
                <w:tcPr>
                  <w:tcW w:w="2771"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828.51</w:t>
                  </w:r>
                </w:p>
              </w:tc>
              <w:tc>
                <w:tcPr>
                  <w:tcW w:w="4197" w:type="dxa"/>
                  <w:tcBorders>
                    <w:tl2br w:val="nil"/>
                    <w:tr2bl w:val="nil"/>
                  </w:tcBorders>
                  <w:vAlign w:val="center"/>
                </w:tcPr>
                <w:p>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KA2+050.81~KA2+884.32</w:t>
                  </w:r>
                </w:p>
              </w:tc>
            </w:tr>
          </w:tbl>
          <w:p>
            <w:pPr>
              <w:rPr>
                <w:rFonts w:hint="default"/>
                <w:color w:val="000000" w:themeColor="text1"/>
                <w:lang w:val="en-US" w:eastAsia="zh-CN"/>
                <w14:textFill>
                  <w14:solidFill>
                    <w14:schemeClr w14:val="tx1"/>
                  </w14:solidFill>
                </w14:textFill>
              </w:rPr>
            </w:pPr>
          </w:p>
          <w:p>
            <w:pPr>
              <w:keepNext w:val="0"/>
              <w:keepLines w:val="0"/>
              <w:widowControl/>
              <w:suppressLineNumbers w:val="0"/>
              <w:spacing w:line="360" w:lineRule="auto"/>
              <w:ind w:firstLine="480" w:firstLineChars="2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工程箱涵为压力箱涵，为保证承压宜采用现浇箱涵，并设置可靠的止水，采用矩形断面便于现浇箱涵立模板，压力箱涵净尺寸为4.4m×4.4m（净高×净宽）。压力箱涵采用C25钢筋砼结构。有压隧洞与压力箱涵过渡段的圆锥角采用6</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~10°，过渡段长度不小于1.5倍洞径</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w:t>
            </w:r>
          </w:p>
          <w:p>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w:t>
            </w:r>
            <w:r>
              <w:rPr>
                <w:rFonts w:hint="eastAsia" w:ascii="Times New Roman" w:hAnsi="Times New Roman" w:cs="Times New Roman"/>
                <w:color w:val="000000" w:themeColor="text1"/>
                <w:lang w:val="en-US" w:eastAsia="zh-CN"/>
                <w14:textFill>
                  <w14:solidFill>
                    <w14:schemeClr w14:val="tx1"/>
                  </w14:solidFill>
                </w14:textFill>
              </w:rPr>
              <w:t>出口消能设计与防风浪设计</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隧洞出口消能防冲设施必须在各种水力条件下，都能满足消散动能与均匀扩散水流的要求，且与下游有良好的衔接。根据地质资料，出口所处地貌为海积平原地貌，工程区内地面高程约0～5m。区内主要为海积成因的漂石、下伏全～强风化岩体。漂石覆盖于地表，厚度约5～8m，分布不均匀，粒径大小不一，工程性能较差，但能起到消能作用。本工程隧洞出口直接排入外海，下游无防护对象，消能设计可做简化，出口主要满足出洞口两侧岸坡抗冲及底部抗冲要求，泄洪出口不出现严重淘刷影响出口结构安全与泄洪安全即可。结合地形地质条件，本工程在隧洞出口下游设置大流量溢流出口及小流量埋涵，平时的小流量尽量通过泄流涵管从沙滩底部排泄，避免对岸坡的冲刷，泄洪时遭遇下游潮位较高或者泄流流量过大，涵管不能满足泄流能力是，则通过顶部溢流口泄流。</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大流量溢流出口流速计算</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根据能量守恒公式，出口的压力水头将转化为流速水头。经计算 </w:t>
            </w:r>
          </w:p>
          <w:p>
            <w:pPr>
              <w:keepNext w:val="0"/>
              <w:keepLines w:val="0"/>
              <w:widowControl/>
              <w:suppressLineNumbers w:val="0"/>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溢流出口流速约为2.55m/s。</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b.</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出口防风浪设计</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同时，由于出口直面大海，出口右侧为游玩沙滩，平时宜尽量将出口水流通过地下涵管等形式排出。本工程设置顶部溢流出口与地下埋涵的出口设计，外海风浪如从涵管进入，则由于溢流口顶部开口能顺畅排水排气，不会对隧洞造成不利影响；而顶部溢流口向上开口最大限度避免直接迎击风浪，不会对隧洞造成严重的影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出口布置</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以上情况，设置溢流出口及涵管也存在施工方便等优点，出口防冲设施总长43.70m（设置长9.40m的溢流出口段、长26.5m的涵管段、长7.8m的抛石护底段）。小流量从涵管下泄不漫过海滩，大流量泄流从溢流口顶部漫出。溢流出口段为矩形C30钢筋砼水池结构，上游与隧洞相连，下游与出口涵管相连。溢流口底高程0.50m，溢流口顶高程6.00m，深</w:t>
            </w:r>
          </w:p>
          <w:p>
            <w:pPr>
              <w:keepNext w:val="0"/>
              <w:keepLines w:val="0"/>
              <w:widowControl/>
              <w:suppressLineNumbers w:val="0"/>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5.5m，上不封口，底板厚度1.0m，侧墙厚度0.8m。</w:t>
            </w:r>
          </w:p>
          <w:p>
            <w:pPr>
              <w:keepNext w:val="0"/>
              <w:keepLines w:val="0"/>
              <w:widowControl/>
              <w:suppressLineNumbers w:val="0"/>
              <w:spacing w:line="360" w:lineRule="auto"/>
              <w:ind w:firstLine="480" w:firstLineChars="200"/>
              <w:jc w:val="left"/>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涵管段长26.5m，埋设3根DN2000钢筋混凝土涵管，各涵管中心间距2.4m，进口高程0.5m，出口高程-0.8m，涵管采用外包C20砼进行保护。管道前端与溢流出口段侧墙相连，出口设置净高3.0m，埋深1.8m的M10浆砌块石挡墙，管道穿过挡墙墙身。</w:t>
            </w:r>
          </w:p>
        </w:tc>
      </w:tr>
    </w:tbl>
    <w:p>
      <w:pPr>
        <w:rPr>
          <w:color w:val="000000" w:themeColor="text1"/>
          <w14:textFill>
            <w14:solidFill>
              <w14:schemeClr w14:val="tx1"/>
            </w14:solidFill>
          </w14:textFill>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8"/>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450" w:type="dxa"/>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总平面及现场布置</w:t>
            </w:r>
          </w:p>
        </w:tc>
        <w:tc>
          <w:tcPr>
            <w:tcW w:w="8838" w:type="dxa"/>
            <w:vAlign w:val="center"/>
          </w:tcPr>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总平面布置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庙后溪在教堂后山旁河道内建设1座拦河坝拦截山洪，在坝上游左岸山体开挖排洪洞（排洪洞设计流量75.0m³/s），穿过硖门乡教堂对面山体，为避免与硖门隧道（高程约20.00m）交叉，采用压力箱涵从硖门乡高速桥桥墩之间（地面高程约7~12m）穿过；然后沿着东北向42°开挖隧洞穿过山体到达大厝里；为避免与南埕山隧道交叉，采用压力箱涵从南埕山隧道进口公路下穿；然后沿着东向开挖隧洞并转角37°向着东南向穿过山体到达白沙出口。本工程施工布置共布置4个施工区，分别位于庙后溪硖门畲族乡教堂上游（1#施工区）、庙后溪硖门畲族乡教堂下游（2#施工区）、南埕山隧洞进口附近大厝里村（3#施工区）、外海白沙村（4#施工区）。工区内设置相应的施工工厂设施和仓库、砼拌和站（或小型拌合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本项目的施工总平面布置见详见附图2。</w:t>
            </w:r>
          </w:p>
          <w:p>
            <w:pPr>
              <w:pStyle w:val="4"/>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施工总布置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（1）布置原则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①以利于施工生产、方便生活、相对集中的要求出发，根据现场实际条件，因地制宜、因时制宜。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②尽量利用现有空闲地，充分利用管理区场地，减少施工布置临时占地，并有利于环境保护。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③施工生活、办公用房尽量租用当地民房。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④利用地方的服务条件简化施工修配等临时设施等。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（2）施工布置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工程为线性布置。根据工程布置及地形条件以及工程分段和工程分布特点，因地制宜地布置。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各工区可利用现状范围内布设设施，对于生活区、生产物资、材料仓库等应尽量靠近村镇布置。</w:t>
            </w:r>
            <w:r>
              <w:rPr>
                <w:rFonts w:hint="eastAsia" w:cs="Times New Roman"/>
                <w:color w:val="000000" w:themeColor="text1"/>
                <w:kern w:val="0"/>
                <w:sz w:val="24"/>
                <w:szCs w:val="24"/>
                <w:highlight w:val="none"/>
                <w:lang w:val="en-US" w:eastAsia="zh-CN" w:bidi="ar"/>
                <w14:textFill>
                  <w14:solidFill>
                    <w14:schemeClr w14:val="tx1"/>
                  </w14:solidFill>
                </w14:textFill>
              </w:rPr>
              <w:t>对于其他</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临建设施应本着便于施工和利于沿线布置的原则进行设置。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根据上述布置原则，</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本项目无施工营地，施工人员生活起居及施工管理办公用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房</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（集中布置，租用）租用周边民房</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。本项目不设置专门的设备维修维护工区，大型设备及机修主要利用当地现有修配能力。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（3）施工“三场”设置</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①取土场</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本项目回填土来自施工开挖产生土石方，项目未设置取土场。</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②</w:t>
            </w:r>
            <w:r>
              <w:rPr>
                <w:rFonts w:hint="eastAsia" w:cs="Times New Roman"/>
                <w:color w:val="000000" w:themeColor="text1"/>
                <w:sz w:val="24"/>
                <w:szCs w:val="24"/>
                <w:highlight w:val="none"/>
                <w:lang w:val="en-US" w:eastAsia="zh-CN"/>
                <w14:textFill>
                  <w14:solidFill>
                    <w14:schemeClr w14:val="tx1"/>
                  </w14:solidFill>
                </w14:textFill>
              </w:rPr>
              <w:t>临时堆场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项目开挖土石方就近临时堆放于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开挖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两侧</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土石方</w:t>
            </w:r>
            <w:r>
              <w:rPr>
                <w:rFonts w:hint="eastAsia"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时回填</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剩余土方转运后直接用于其他项目填埋使用。石方转运至硖门畲族乡硖门村的码头用于外售综合利用。（土石方接收说明函见附件4）</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③</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临时施工场地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临时施工场地</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处，1#施工</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位于庙后溪硖门畲族乡教堂上游</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因施工需求，布置于隧洞起点，</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庙后溪</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北侧</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2#施工区位于庙后溪硖门畲族乡教堂下游1#</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隧洞出口附近</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。3#施工区位于南埕山隧</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道</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进口</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附近</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。4#施工区位于</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海边的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外海白沙村</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附近。</w:t>
            </w:r>
          </w:p>
          <w:p>
            <w:pPr>
              <w:pStyle w:val="4"/>
              <w:numPr>
                <w:ilvl w:val="-1"/>
                <w:numId w:val="0"/>
              </w:numPr>
              <w:ind w:leftChars="0" w:firstLine="480" w:firstLineChars="20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④临时道路</w:t>
            </w:r>
          </w:p>
          <w:p>
            <w:pPr>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本项目临时</w:t>
            </w:r>
            <w:r>
              <w:rPr>
                <w:rFonts w:hint="eastAsia" w:cs="Times New Roman"/>
                <w:color w:val="000000" w:themeColor="text1"/>
                <w:sz w:val="24"/>
                <w:lang w:val="en-US" w:eastAsia="zh-CN"/>
                <w14:textFill>
                  <w14:solidFill>
                    <w14:schemeClr w14:val="tx1"/>
                  </w14:solidFill>
                </w14:textFill>
              </w:rPr>
              <w:t>水泥</w:t>
            </w:r>
            <w:r>
              <w:rPr>
                <w:rFonts w:hint="default" w:ascii="Times New Roman" w:hAnsi="Times New Roman" w:eastAsia="宋体" w:cs="Times New Roman"/>
                <w:color w:val="000000" w:themeColor="text1"/>
                <w:sz w:val="24"/>
                <w:lang w:val="en-US" w:eastAsia="zh-CN"/>
                <w14:textFill>
                  <w14:solidFill>
                    <w14:schemeClr w14:val="tx1"/>
                  </w14:solidFill>
                </w14:textFill>
              </w:rPr>
              <w:t>道路1条，连接4#施工区与3#隧洞出口，位于白沙村外侧沙滩，长290m</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施工结束后及时拆除。</w:t>
            </w:r>
          </w:p>
          <w:p>
            <w:pPr>
              <w:pStyle w:val="3"/>
              <w:numPr>
                <w:ilvl w:val="0"/>
                <w:numId w:val="0"/>
              </w:numPr>
              <w:ind w:leftChars="0"/>
              <w:rPr>
                <w:rFonts w:hint="default"/>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737870</wp:posOffset>
                      </wp:positionH>
                      <wp:positionV relativeFrom="paragraph">
                        <wp:posOffset>104140</wp:posOffset>
                      </wp:positionV>
                      <wp:extent cx="3976370" cy="445135"/>
                      <wp:effectExtent l="0" t="0" r="0" b="0"/>
                      <wp:wrapNone/>
                      <wp:docPr id="83" name="文本框 83"/>
                      <wp:cNvGraphicFramePr/>
                      <a:graphic xmlns:a="http://schemas.openxmlformats.org/drawingml/2006/main">
                        <a:graphicData uri="http://schemas.microsoft.com/office/word/2010/wordprocessingShape">
                          <wps:wsp>
                            <wps:cNvSpPr txBox="1"/>
                            <wps:spPr>
                              <a:xfrm>
                                <a:off x="3102610" y="8020685"/>
                                <a:ext cx="3976370" cy="445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cs="Times New Roman"/>
                                      <w:b/>
                                      <w:kern w:val="0"/>
                                      <w:sz w:val="24"/>
                                      <w:szCs w:val="20"/>
                                      <w:lang w:val="en-US" w:eastAsia="zh-CN" w:bidi="ar-SA"/>
                                    </w:rPr>
                                    <w:t xml:space="preserve">表3-1 </w:t>
                                  </w:r>
                                  <w:r>
                                    <w:rPr>
                                      <w:rFonts w:hint="default" w:ascii="Times New Roman" w:hAnsi="Times New Roman" w:eastAsia="宋体" w:cs="Times New Roman"/>
                                      <w:b/>
                                      <w:kern w:val="0"/>
                                      <w:sz w:val="24"/>
                                      <w:szCs w:val="20"/>
                                      <w:lang w:val="en-US" w:eastAsia="zh-CN" w:bidi="ar-SA"/>
                                    </w:rPr>
                                    <w:t>工程</w:t>
                                  </w:r>
                                  <w:r>
                                    <w:rPr>
                                      <w:rFonts w:hint="default" w:ascii="Times New Roman" w:hAnsi="Times New Roman" w:eastAsia="宋体" w:cs="Times New Roman"/>
                                      <w:b/>
                                      <w:bCs/>
                                      <w:color w:val="000000"/>
                                      <w:kern w:val="0"/>
                                      <w:sz w:val="24"/>
                                      <w:szCs w:val="24"/>
                                      <w:lang w:val="en-US" w:eastAsia="zh-CN" w:bidi="ar"/>
                                    </w:rPr>
                                    <w:t>占地类型及面积统计表</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单位：</w:t>
                                  </w:r>
                                  <w:r>
                                    <w:rPr>
                                      <w:rFonts w:hint="eastAsia" w:eastAsia="宋体" w:cs="Times New Roman"/>
                                      <w:b/>
                                      <w:bCs/>
                                      <w:color w:val="000000"/>
                                      <w:kern w:val="0"/>
                                      <w:sz w:val="24"/>
                                      <w:szCs w:val="24"/>
                                      <w:lang w:val="en-US" w:eastAsia="zh-CN" w:bidi="ar"/>
                                    </w:rPr>
                                    <w:t>亩</w:t>
                                  </w:r>
                                  <w:r>
                                    <w:rPr>
                                      <w:rFonts w:hint="eastAsia" w:ascii="Times New Roman" w:hAnsi="Times New Roman" w:eastAsia="宋体" w:cs="Times New Roman"/>
                                      <w:b/>
                                      <w:bCs/>
                                      <w:color w:val="000000"/>
                                      <w:kern w:val="0"/>
                                      <w:sz w:val="24"/>
                                      <w:szCs w:val="24"/>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1pt;margin-top:8.2pt;height:35.05pt;width:313.1pt;z-index:251680768;mso-width-relative:page;mso-height-relative:page;" filled="f" stroked="f" coordsize="21600,21600" o:gfxdata="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jHP9vZAAAACQEAAA8AAAAAAAAA&#10;AQAgAAAAIgAAAGRycy9kb3ducmV2LnhtbFBLAQIUABQAAAAIAIdO4kDkhJNjSQIAAHQEAAAOAAAA&#10;AAAAAAEAIAAAACgBAABkcnMvZTJvRG9jLnhtbFBLBQYAAAAABgAGAFkBAADjBQAAAAA=&#10;">
                      <v:fill on="f" focussize="0,0"/>
                      <v:stroke on="f" weight="0.5pt"/>
                      <v:imagedata o:title=""/>
                      <o:lock v:ext="edit" aspectratio="f"/>
                      <v:textbox>
                        <w:txbxContent>
                          <w:p>
                            <w:pPr>
                              <w:jc w:val="center"/>
                            </w:pPr>
                            <w:r>
                              <w:rPr>
                                <w:rFonts w:hint="eastAsia" w:cs="Times New Roman"/>
                                <w:b/>
                                <w:kern w:val="0"/>
                                <w:sz w:val="24"/>
                                <w:szCs w:val="20"/>
                                <w:lang w:val="en-US" w:eastAsia="zh-CN" w:bidi="ar-SA"/>
                              </w:rPr>
                              <w:t xml:space="preserve">表3-1 </w:t>
                            </w:r>
                            <w:r>
                              <w:rPr>
                                <w:rFonts w:hint="default" w:ascii="Times New Roman" w:hAnsi="Times New Roman" w:eastAsia="宋体" w:cs="Times New Roman"/>
                                <w:b/>
                                <w:kern w:val="0"/>
                                <w:sz w:val="24"/>
                                <w:szCs w:val="20"/>
                                <w:lang w:val="en-US" w:eastAsia="zh-CN" w:bidi="ar-SA"/>
                              </w:rPr>
                              <w:t>工程</w:t>
                            </w:r>
                            <w:r>
                              <w:rPr>
                                <w:rFonts w:hint="default" w:ascii="Times New Roman" w:hAnsi="Times New Roman" w:eastAsia="宋体" w:cs="Times New Roman"/>
                                <w:b/>
                                <w:bCs/>
                                <w:color w:val="000000"/>
                                <w:kern w:val="0"/>
                                <w:sz w:val="24"/>
                                <w:szCs w:val="24"/>
                                <w:lang w:val="en-US" w:eastAsia="zh-CN" w:bidi="ar"/>
                              </w:rPr>
                              <w:t>占地类型及面积统计表</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单位：</w:t>
                            </w:r>
                            <w:r>
                              <w:rPr>
                                <w:rFonts w:hint="eastAsia" w:eastAsia="宋体" w:cs="Times New Roman"/>
                                <w:b/>
                                <w:bCs/>
                                <w:color w:val="000000"/>
                                <w:kern w:val="0"/>
                                <w:sz w:val="24"/>
                                <w:szCs w:val="24"/>
                                <w:lang w:val="en-US" w:eastAsia="zh-CN" w:bidi="ar"/>
                              </w:rPr>
                              <w:t>亩</w:t>
                            </w:r>
                            <w:r>
                              <w:rPr>
                                <w:rFonts w:hint="eastAsia" w:ascii="Times New Roman" w:hAnsi="Times New Roman" w:eastAsia="宋体" w:cs="Times New Roman"/>
                                <w:b/>
                                <w:bCs/>
                                <w:color w:val="000000"/>
                                <w:kern w:val="0"/>
                                <w:sz w:val="24"/>
                                <w:szCs w:val="24"/>
                                <w:lang w:val="en-US" w:eastAsia="zh-CN" w:bidi="ar"/>
                              </w:rPr>
                              <w:t>）</w:t>
                            </w:r>
                          </w:p>
                        </w:txbxContent>
                      </v:textbox>
                    </v:shape>
                  </w:pict>
                </mc:Fallback>
              </mc:AlternateContent>
            </w:r>
          </w:p>
          <w:tbl>
            <w:tblPr>
              <w:tblStyle w:val="19"/>
              <w:tblW w:w="498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26"/>
              <w:gridCol w:w="789"/>
              <w:gridCol w:w="1951"/>
              <w:gridCol w:w="1174"/>
              <w:gridCol w:w="19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2045"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项目</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占地性质</w:t>
                  </w:r>
                </w:p>
              </w:tc>
              <w:tc>
                <w:tcPr>
                  <w:tcW w:w="68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小计</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用地性质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586" w:type="pct"/>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临时施工场地</w:t>
                  </w:r>
                </w:p>
              </w:tc>
              <w:tc>
                <w:tcPr>
                  <w:tcW w:w="459"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35" w:type="pct"/>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临时占地</w:t>
                  </w:r>
                </w:p>
              </w:tc>
              <w:tc>
                <w:tcPr>
                  <w:tcW w:w="68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其他用地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586"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459"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135"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68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其他用地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586"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459"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135"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68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其他用地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586"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459"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1135"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68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其他用地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2045" w:type="pct"/>
                  <w:gridSpan w:val="2"/>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合计</w:t>
                  </w: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68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rPr>
                  </w:pPr>
                </w:p>
              </w:tc>
              <w:tc>
                <w:tcPr>
                  <w:tcW w:w="113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pStyle w:val="4"/>
              <w:rPr>
                <w:rFonts w:hint="eastAsia" w:ascii="宋体" w:hAnsi="宋体" w:eastAsia="黑体" w:cs="宋体"/>
                <w:color w:val="000000" w:themeColor="text1"/>
                <w:kern w:val="0"/>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450" w:type="dxa"/>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施工方案</w:t>
            </w:r>
          </w:p>
        </w:tc>
        <w:tc>
          <w:tcPr>
            <w:tcW w:w="8838" w:type="dxa"/>
            <w:vAlign w:val="center"/>
          </w:tcPr>
          <w:p>
            <w:pPr>
              <w:pStyle w:val="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场址周边砂、土、石料含量丰富，满足工程，且运输方便；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河道治理</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施工时应本着因地制宜、就地取材的原则，充分合理利用沿线可提供的天然材料，同时应保护周围地质环境及生态环境，做到和谐可持续发展。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（2）工程用水、用电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路线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临近</w:t>
            </w:r>
            <w:r>
              <w:rPr>
                <w:rFonts w:hint="default" w:ascii="Times New Roman" w:hAnsi="Times New Roman" w:eastAsia="宋体" w:cs="Times New Roman"/>
                <w:color w:val="000000" w:themeColor="text1"/>
                <w:sz w:val="24"/>
                <w:szCs w:val="24"/>
                <w:highlight w:val="none"/>
                <w14:textFill>
                  <w14:solidFill>
                    <w14:schemeClr w14:val="tx1"/>
                  </w14:solidFill>
                </w14:textFill>
              </w:rPr>
              <w:t>居民区，基础设施较为齐全，施工</w:t>
            </w:r>
            <w:r>
              <w:rPr>
                <w:rFonts w:hint="eastAsia" w:cs="Times New Roman"/>
                <w:color w:val="000000" w:themeColor="text1"/>
                <w:sz w:val="24"/>
                <w:szCs w:val="24"/>
                <w:highlight w:val="none"/>
                <w:lang w:val="en-US" w:eastAsia="zh-CN"/>
                <w14:textFill>
                  <w14:solidFill>
                    <w14:schemeClr w14:val="tx1"/>
                  </w14:solidFill>
                </w14:textFill>
              </w:rPr>
              <w:t>用水</w:t>
            </w:r>
            <w:r>
              <w:rPr>
                <w:rFonts w:hint="default" w:ascii="Times New Roman" w:hAnsi="Times New Roman" w:eastAsia="宋体" w:cs="Times New Roman"/>
                <w:color w:val="000000" w:themeColor="text1"/>
                <w:sz w:val="24"/>
                <w:szCs w:val="24"/>
                <w:highlight w:val="none"/>
                <w14:textFill>
                  <w14:solidFill>
                    <w14:schemeClr w14:val="tx1"/>
                  </w14:solidFill>
                </w14:textFill>
              </w:rPr>
              <w:t>用电均可就近解决</w:t>
            </w:r>
            <w:r>
              <w:rPr>
                <w:rFonts w:hint="eastAsia"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（3）其它筑路材料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本期项目所需要的水泥、钢筋、木材、汽油、柴油等</w:t>
            </w:r>
            <w:r>
              <w:rPr>
                <w:rFonts w:hint="eastAsia" w:cs="Times New Roman"/>
                <w:color w:val="000000" w:themeColor="text1"/>
                <w:sz w:val="24"/>
                <w:szCs w:val="24"/>
                <w:highlight w:val="none"/>
                <w:lang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14:textFill>
                  <w14:solidFill>
                    <w14:schemeClr w14:val="tx1"/>
                  </w14:solidFill>
                </w14:textFill>
              </w:rPr>
              <w:t>筑路材料需外购。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（4）运输条件</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工程对外交通以县道公路为主要交通干道，硖门畲族乡各级村道到达项目区各处，工程所处位置陆路交通较为方便。</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项目实施进度计划</w:t>
            </w:r>
          </w:p>
          <w:p>
            <w:pPr>
              <w:jc w:val="center"/>
              <w:rPr>
                <w:rFonts w:hint="default" w:ascii="Times New Roman" w:hAnsi="Times New Roman" w:eastAsia="宋体" w:cs="Times New Roman"/>
                <w:b/>
                <w:bCs/>
                <w:color w:val="000000" w:themeColor="text1"/>
                <w:sz w:val="24"/>
                <w:szCs w:val="24"/>
                <w:highlight w:val="lightGray"/>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w:t>
            </w:r>
            <w:r>
              <w:rPr>
                <w:rFonts w:hint="eastAsia" w:cs="Times New Roman"/>
                <w:b/>
                <w:bCs/>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项目实施进度计划表</w:t>
            </w:r>
          </w:p>
          <w:tbl>
            <w:tblPr>
              <w:tblStyle w:val="19"/>
              <w:tblW w:w="4998" w:type="pct"/>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181"/>
              <w:gridCol w:w="1073"/>
              <w:gridCol w:w="933"/>
              <w:gridCol w:w="847"/>
              <w:gridCol w:w="847"/>
              <w:gridCol w:w="1085"/>
              <w:gridCol w:w="848"/>
              <w:gridCol w:w="850"/>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34" w:type="pct"/>
                  <w:gridSpan w:val="2"/>
                  <w:vMerge w:val="restart"/>
                  <w:tcBorders>
                    <w:top w:val="single" w:color="auto" w:sz="12"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项目内容</w:t>
                  </w:r>
                </w:p>
              </w:tc>
              <w:tc>
                <w:tcPr>
                  <w:tcW w:w="623" w:type="pct"/>
                  <w:tcBorders>
                    <w:top w:val="single" w:color="auto" w:sz="12"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第一年</w:t>
                  </w:r>
                </w:p>
              </w:tc>
              <w:tc>
                <w:tcPr>
                  <w:tcW w:w="2156" w:type="pct"/>
                  <w:gridSpan w:val="4"/>
                  <w:tcBorders>
                    <w:top w:val="single" w:color="auto" w:sz="12" w:space="0"/>
                    <w:left w:val="single" w:color="auto" w:sz="6" w:space="0"/>
                    <w:bottom w:val="single" w:color="auto" w:sz="6" w:space="0"/>
                    <w:right w:val="single" w:color="auto" w:sz="6" w:space="0"/>
                  </w:tcBorders>
                  <w:vAlign w:val="center"/>
                </w:tcPr>
                <w:p>
                  <w:pPr>
                    <w:spacing w:line="240" w:lineRule="auto"/>
                    <w:jc w:val="center"/>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第二年</w:t>
                  </w:r>
                </w:p>
              </w:tc>
              <w:tc>
                <w:tcPr>
                  <w:tcW w:w="985" w:type="pct"/>
                  <w:gridSpan w:val="2"/>
                  <w:tcBorders>
                    <w:top w:val="single" w:color="auto" w:sz="12"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第三年</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4" w:type="pct"/>
                  <w:gridSpan w:val="2"/>
                  <w:vMerge w:val="continue"/>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23"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11-12月</w:t>
                  </w:r>
                </w:p>
              </w:tc>
              <w:tc>
                <w:tcPr>
                  <w:tcW w:w="54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1-3月</w:t>
                  </w: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4-6月</w:t>
                  </w: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7-9月</w:t>
                  </w:r>
                </w:p>
              </w:tc>
              <w:tc>
                <w:tcPr>
                  <w:tcW w:w="629"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10-12月</w:t>
                  </w: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1-3月</w:t>
                  </w:r>
                </w:p>
              </w:tc>
              <w:tc>
                <w:tcPr>
                  <w:tcW w:w="492" w:type="pct"/>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4-5月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1234" w:type="pct"/>
                  <w:gridSpan w:val="2"/>
                  <w:tcBorders>
                    <w:top w:val="single" w:color="auto" w:sz="6" w:space="0"/>
                    <w:bottom w:val="single" w:color="auto" w:sz="6" w:space="0"/>
                    <w:right w:val="single" w:color="auto" w:sz="6" w:space="0"/>
                  </w:tcBorders>
                  <w:vAlign w:val="center"/>
                </w:tcPr>
                <w:p>
                  <w:pPr>
                    <w:tabs>
                      <w:tab w:val="left" w:pos="352"/>
                    </w:tabs>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施工准备期</w:t>
                  </w:r>
                </w:p>
              </w:tc>
              <w:tc>
                <w:tcPr>
                  <w:tcW w:w="623"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-67945</wp:posOffset>
                            </wp:positionH>
                            <wp:positionV relativeFrom="paragraph">
                              <wp:posOffset>297815</wp:posOffset>
                            </wp:positionV>
                            <wp:extent cx="449580" cy="0"/>
                            <wp:effectExtent l="0" t="19050" r="7620" b="26670"/>
                            <wp:wrapNone/>
                            <wp:docPr id="97" name="直接连接符 97"/>
                            <wp:cNvGraphicFramePr/>
                            <a:graphic xmlns:a="http://schemas.openxmlformats.org/drawingml/2006/main">
                              <a:graphicData uri="http://schemas.microsoft.com/office/word/2010/wordprocessingShape">
                                <wps:wsp>
                                  <wps:cNvCnPr/>
                                  <wps:spPr>
                                    <a:xfrm>
                                      <a:off x="2140585" y="6790690"/>
                                      <a:ext cx="44958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5.35pt;margin-top:23.45pt;height:0pt;width:35.4pt;z-index:251681792;mso-width-relative:page;mso-height-relative:page;" filled="f" stroked="t" coordsize="21600,21600" o:gfxdata="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Z1xorYAAAACAEAAA8AAAAAAAAAAQAgAAAAIgAAAGRycy9kb3ducmV2LnhtbFBLAQIU&#10;ABQAAAAIAIdO4kCVP/+38wEAAL8DAAAOAAAAAAAAAAEAIAAAACcBAABkcnMvZTJvRG9jLnhtbFBL&#10;BQYAAAAABgAGAFkBAACMBQAAAAA=&#10;">
                            <v:fill on="f" focussize="0,0"/>
                            <v:stroke weight="3pt" color="#000000 [3200]" miterlimit="8" joinstyle="miter"/>
                            <v:imagedata o:title=""/>
                            <o:lock v:ext="edit" aspectratio="f"/>
                          </v:line>
                        </w:pict>
                      </mc:Fallback>
                    </mc:AlternateContent>
                  </w:r>
                </w:p>
              </w:tc>
              <w:tc>
                <w:tcPr>
                  <w:tcW w:w="54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29"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48" w:type="pct"/>
                  <w:vMerge w:val="restart"/>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施工期</w:t>
                  </w:r>
                </w:p>
              </w:tc>
              <w:tc>
                <w:tcPr>
                  <w:tcW w:w="685"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前期工程</w:t>
                  </w:r>
                </w:p>
              </w:tc>
              <w:tc>
                <w:tcPr>
                  <w:tcW w:w="623"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442595</wp:posOffset>
                            </wp:positionH>
                            <wp:positionV relativeFrom="paragraph">
                              <wp:posOffset>236855</wp:posOffset>
                            </wp:positionV>
                            <wp:extent cx="175260" cy="0"/>
                            <wp:effectExtent l="0" t="19050" r="7620" b="26670"/>
                            <wp:wrapNone/>
                            <wp:docPr id="98" name="直接连接符 98"/>
                            <wp:cNvGraphicFramePr/>
                            <a:graphic xmlns:a="http://schemas.openxmlformats.org/drawingml/2006/main">
                              <a:graphicData uri="http://schemas.microsoft.com/office/word/2010/wordprocessingShape">
                                <wps:wsp>
                                  <wps:cNvCnPr/>
                                  <wps:spPr>
                                    <a:xfrm>
                                      <a:off x="2559685" y="7423150"/>
                                      <a:ext cx="17526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4.85pt;margin-top:18.65pt;height:0pt;width:13.8pt;z-index:251682816;mso-width-relative:page;mso-height-relative:page;" filled="f" stroked="t" coordsize="21600,21600" o:gfxdata="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2dAd1gAAAAcBAAAPAAAAAAAAAAEAIAAAACIAAABkcnMvZG93bnJldi54bWxQSwECFAAU&#10;AAAACACHTuJAnaxCvfMBAAC/AwAADgAAAAAAAAABACAAAAAlAQAAZHJzL2Uyb0RvYy54bWxQSwUG&#10;AAAAAAYABgBZAQAAigUAAAAA&#10;">
                            <v:fill on="f" focussize="0,0"/>
                            <v:stroke weight="3pt" color="#000000 [3200]" miterlimit="8" joinstyle="miter"/>
                            <v:imagedata o:title=""/>
                            <o:lock v:ext="edit" aspectratio="f"/>
                          </v:line>
                        </w:pict>
                      </mc:Fallback>
                    </mc:AlternateContent>
                  </w:r>
                </w:p>
              </w:tc>
              <w:tc>
                <w:tcPr>
                  <w:tcW w:w="54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29"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48" w:type="pct"/>
                  <w:vMerge w:val="continue"/>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85"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中期工程</w:t>
                  </w:r>
                </w:p>
              </w:tc>
              <w:tc>
                <w:tcPr>
                  <w:tcW w:w="623"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-64770</wp:posOffset>
                            </wp:positionH>
                            <wp:positionV relativeFrom="paragraph">
                              <wp:posOffset>213995</wp:posOffset>
                            </wp:positionV>
                            <wp:extent cx="3009900" cy="7620"/>
                            <wp:effectExtent l="0" t="19050" r="7620" b="19050"/>
                            <wp:wrapNone/>
                            <wp:docPr id="99" name="直接连接符 99"/>
                            <wp:cNvGraphicFramePr/>
                            <a:graphic xmlns:a="http://schemas.openxmlformats.org/drawingml/2006/main">
                              <a:graphicData uri="http://schemas.microsoft.com/office/word/2010/wordprocessingShape">
                                <wps:wsp>
                                  <wps:cNvCnPr/>
                                  <wps:spPr>
                                    <a:xfrm>
                                      <a:off x="2742565" y="8131810"/>
                                      <a:ext cx="3009900" cy="762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5.1pt;margin-top:16.85pt;height:0.6pt;width:237pt;z-index:251683840;mso-width-relative:page;mso-height-relative:page;" filled="f" stroked="t" coordsize="21600,21600" o:gfxdata="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J9uiLaAAAACQEAAA8AAAAAAAAAAQAgAAAAIgAAAGRycy9kb3ducmV2LnhtbFBL&#10;AQIUABQAAAAIAIdO4kB5JzOG9AEAAMMDAAAOAAAAAAAAAAEAIAAAACkBAABkcnMvZTJvRG9jLnht&#10;bFBLBQYAAAAABgAGAFkBAACPBQAAAAA=&#10;">
                            <v:fill on="f" focussize="0,0"/>
                            <v:stroke weight="3pt" color="#000000 [3200]" miterlimit="8" joinstyle="miter"/>
                            <v:imagedata o:title=""/>
                            <o:lock v:ext="edit" aspectratio="f"/>
                          </v:line>
                        </w:pict>
                      </mc:Fallback>
                    </mc:AlternateContent>
                  </w: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29"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48" w:type="pct"/>
                  <w:vMerge w:val="continue"/>
                  <w:tcBorders>
                    <w:top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85"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后期工程</w:t>
                  </w:r>
                </w:p>
              </w:tc>
              <w:tc>
                <w:tcPr>
                  <w:tcW w:w="623"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2"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629"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92" w:type="pct"/>
                  <w:tcBorders>
                    <w:top w:val="single" w:color="auto" w:sz="6" w:space="0"/>
                    <w:left w:val="single" w:color="auto" w:sz="6" w:space="0"/>
                    <w:bottom w:val="single" w:color="auto" w:sz="12" w:space="0"/>
                    <w:right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-70485</wp:posOffset>
                            </wp:positionH>
                            <wp:positionV relativeFrom="paragraph">
                              <wp:posOffset>191770</wp:posOffset>
                            </wp:positionV>
                            <wp:extent cx="532130" cy="6350"/>
                            <wp:effectExtent l="0" t="19050" r="1270" b="31750"/>
                            <wp:wrapNone/>
                            <wp:docPr id="100" name="直接连接符 100"/>
                            <wp:cNvGraphicFramePr/>
                            <a:graphic xmlns:a="http://schemas.openxmlformats.org/drawingml/2006/main">
                              <a:graphicData uri="http://schemas.microsoft.com/office/word/2010/wordprocessingShape">
                                <wps:wsp>
                                  <wps:cNvCnPr/>
                                  <wps:spPr>
                                    <a:xfrm flipV="1">
                                      <a:off x="5775325" y="8832850"/>
                                      <a:ext cx="532130" cy="635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5.55pt;margin-top:15.1pt;height:0.5pt;width:41.9pt;z-index:251684864;mso-width-relative:page;mso-height-relative:page;" filled="f" stroked="t" coordsize="21600,21600" o:gfxdata="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fcm20gAAAAgBAAAPAAAAAAAAAAEAIAAAACIAAABkcnMvZG93bnJldi54bWxQSwEC&#10;FAAUAAAACACHTuJAtOyKgfoBAADOAwAADgAAAAAAAAABACAAAAAhAQAAZHJzL2Uyb0RvYy54bWxQ&#10;SwUGAAAAAAYABgBZAQAAjQUAAAAA&#10;">
                            <v:fill on="f" focussize="0,0"/>
                            <v:stroke weight="3pt" color="#000000 [3200]" miterlimit="8" joinstyle="miter"/>
                            <v:imagedata o:title=""/>
                            <o:lock v:ext="edit" aspectratio="f"/>
                          </v:line>
                        </w:pict>
                      </mc:Fallback>
                    </mc:AlternateContent>
                  </w:r>
                </w:p>
              </w:tc>
            </w:tr>
          </w:tbl>
          <w:p>
            <w:pPr>
              <w:pStyle w:val="4"/>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主要工程施工工艺</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2.1施工导流</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2.1.1导流标准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工程主要建筑物排水隧洞及箱涵为3级建筑物，次要建筑物为4级；拦河坝主要建筑物级别为3级，次要建筑物级别为4级。根据水利部《水利水电工程施工组织设计规范》（SL303-2017）的规定，本工程围堰建筑物级别为5级。导流建筑物设计洪水标准：土石结构围堰建筑物按10～5年一遇洪水设计，混凝土及浆砌石结构建筑物按5～3年一遇洪水设计。根据本工程施工实际情况：庙后溪河道导流设计标准为5年一遇，白沙沿海围堰导流标准取10年一遇高潮水位为4.05m。</w:t>
            </w:r>
          </w:p>
          <w:p>
            <w:pPr>
              <w:keepNext w:val="0"/>
              <w:keepLines w:val="0"/>
              <w:widowControl/>
              <w:suppressLineNumbers w:val="0"/>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.2导流方式</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（1）拦河坝及隧洞进水口施工导流（庙后溪）</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新建拦河坝导流采用全段围堰法导流，考虑在拦河坝坝区上游桥附近修建上游土石围堰，并利用导流涵管导流至坝下游河道陡坎处。</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（2）隧洞白沙出口施工导流</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根据排水隧洞的施工特点以及地形地质条件，结合施工进度安排，新建排水隧洞出口及出口防冲段采用赶潮施工。 </w:t>
            </w:r>
          </w:p>
          <w:p>
            <w:pPr>
              <w:keepNext w:val="0"/>
              <w:keepLines w:val="0"/>
              <w:widowControl/>
              <w:suppressLineNumbers w:val="0"/>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.3导流建筑物设计</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（1）拦河坝及隧洞进水口施工导流建筑物（庙后溪）</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拦河坝坝区上游桥附近修建上游横向土石围堰总长10m，并利用导流涵管将水导流至坝下游河道陡坎处。其中上游围堰围堰主体采用土石填筑围堰结构，围堰顶宽2.0m，高1.5m，迎水面及背水面边坡均为1:1.5。围堰迎水坡面铺设一层防渗土工膜，并采用袋装土护坡压载。导流涵管采用DN600双壁波纹管。</w:t>
            </w:r>
          </w:p>
          <w:p>
            <w:pPr>
              <w:keepNext w:val="0"/>
              <w:keepLines w:val="0"/>
              <w:widowControl/>
              <w:suppressLineNumbers w:val="0"/>
              <w:spacing w:line="360" w:lineRule="auto"/>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.4导流建筑物施工</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土石围堰利用就近开采土石渣料和合格粘土料，运料至工作面，挖掘机和装载机配合卸料，推土机推料、人工铺筑，振动碾或蛙式夯机夯实。土工布铺设前先焊接成宽幅的成捆卷，边铺边填筑土袋压载，幅与幅之间采用搭接法连接。袋装碎石护坡采用人工装袋，人工推双胶轮车运，人工铺填。迎水面坡脚抛块石护脚采用装载车运输，挖掘机卸料抛投，并随围堰身填筑同步上升。</w:t>
            </w:r>
          </w:p>
          <w:p>
            <w:pPr>
              <w:pStyle w:val="4"/>
              <w:ind w:firstLine="480" w:firstLineChars="200"/>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导流建筑物拆除施工采用机械挖除，人工配合整修完成。基坑降水采用坑内集水明排方式进行降水，并采用水泵抽水方式。</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2.2主体工程施工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本工程主要为排水隧洞工程，建设隧洞、箱涵、进水口、出口防冲设施，另新建拦河坝及库区土石方开挖。主要施工内容为明挖、洞挖、砼工程、隧洞灌浆、边坡支护等工作。各项目的分项工程施工分述如下：</w:t>
            </w:r>
          </w:p>
          <w:p>
            <w:pPr>
              <w:pStyle w:val="5"/>
              <w:bidi w:val="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2.2.1</w:t>
            </w:r>
            <w:r>
              <w:rPr>
                <w:rFonts w:hint="default"/>
                <w:b w:val="0"/>
                <w:bCs w:val="0"/>
                <w:color w:val="000000" w:themeColor="text1"/>
                <w:lang w:val="en-US" w:eastAsia="zh-CN"/>
                <w14:textFill>
                  <w14:solidFill>
                    <w14:schemeClr w14:val="tx1"/>
                  </w14:solidFill>
                </w14:textFill>
              </w:rPr>
              <w:t>明挖、洞挖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（1）洞挖石方</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本工程隧洞开挖断面为直径5.7m的圆形断面，1#隧洞由下游端头开挖掘进；2#隧洞</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3#隧洞由两端同时开挖掘进</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开挖采用全断面钻爆法施工，选用风钻钻孔，导电线电雷管起爆，全断面爆破，洞挖石渣由0.6m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挖掘机装车，5t自卸汽车出渣。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）明挖石方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本工程石方明挖采用控制爆破、机械开挖、静力裂解等方式开挖。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控制爆破开挖由手风钻钻孔，毫秒延期非电导爆雷管起爆，1m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反铲挖掘机装8t自卸汽车运输出渣。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使用挖掘机液压破碎锤进行破碎挖掘时，采用挖掘机液压破碎锤进行破岩，破碎后石料作为回填或利用料，为符合要求，最大块岩石粒径不大于30cm。主要施工工序为：装卸机头→机械移动→破碎岩石→解小→装车→运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静力裂解施工首先在岩石上钻孔，然后灌装静力裂解剂，依靠其膨胀力使岩石产生裂隙、裂缝，从而达到破碎目的。主要施工顺序为：布孔→钻孔→验孔→装填膨胀剂→填塞→撬移→解小→装车→运输。</w:t>
            </w:r>
          </w:p>
          <w:p>
            <w:pPr>
              <w:pStyle w:val="5"/>
              <w:bidi w:val="0"/>
              <w:rPr>
                <w:rFonts w:hint="default"/>
                <w:b w:val="0"/>
                <w:bCs w:val="0"/>
                <w:color w:val="000000" w:themeColor="text1"/>
                <w:lang w:val="en-US" w:eastAsia="zh-CN"/>
                <w14:textFill>
                  <w14:solidFill>
                    <w14:schemeClr w14:val="tx1"/>
                  </w14:solidFill>
                </w14:textFill>
              </w:rPr>
            </w:pPr>
            <w:bookmarkStart w:id="1" w:name="_Toc28278"/>
            <w:r>
              <w:rPr>
                <w:rFonts w:hint="eastAsia"/>
                <w:b w:val="0"/>
                <w:bCs w:val="0"/>
                <w:color w:val="000000" w:themeColor="text1"/>
                <w:lang w:val="en-US" w:eastAsia="zh-CN"/>
                <w14:textFill>
                  <w14:solidFill>
                    <w14:schemeClr w14:val="tx1"/>
                  </w14:solidFill>
                </w14:textFill>
              </w:rPr>
              <w:t>2.2.</w:t>
            </w:r>
            <w:r>
              <w:rPr>
                <w:rFonts w:hint="default"/>
                <w:b w:val="0"/>
                <w:bCs w:val="0"/>
                <w:color w:val="000000" w:themeColor="text1"/>
                <w:lang w:val="en-US" w:eastAsia="zh-CN"/>
                <w14:textFill>
                  <w14:solidFill>
                    <w14:schemeClr w14:val="tx1"/>
                  </w14:solidFill>
                </w14:textFill>
              </w:rPr>
              <w:t>2砼工程</w:t>
            </w:r>
            <w:bookmarkEnd w:id="1"/>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隧洞砼衬砌采用隧洞钢模，衬砌砼由进口端旁边设的拌和机拌制，砼输送泵压送入仓。喷射砼采用湿喷，由斗车运送砼供喷射机施喷。隧洞回填灌浆在衬砌混凝土达到70%设计强度后进行。</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箱涵，进水口、出口消能池等钢筋砼部分采用现浇钢筋砼方式施工，砼浇筑采用拌和机拌制，机械运输溜槽入仓浇筑。隧洞洞脸边坡先进行适当清表开挖（开挖坡度约1:0.75~1:1）后，采用挂网喷射砼、系统锚杆支护方式施工，喷射砼采用湿喷，由斗车运送砼供喷射机施喷。</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拦河坝坝体砼采用现浇埋石砼现浇方式施工，砼浇筑采用拌和机拌制，机械运输溜槽入仓浇筑。</w:t>
            </w:r>
          </w:p>
          <w:p>
            <w:pPr>
              <w:pStyle w:val="5"/>
              <w:bidi w:val="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w:t>
            </w:r>
            <w:r>
              <w:rPr>
                <w:rFonts w:hint="default"/>
                <w:b w:val="0"/>
                <w:bCs w:val="0"/>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2.</w:t>
            </w:r>
            <w:r>
              <w:rPr>
                <w:rFonts w:hint="default"/>
                <w:b w:val="0"/>
                <w:bCs w:val="0"/>
                <w:color w:val="000000" w:themeColor="text1"/>
                <w:lang w:val="en-US" w:eastAsia="zh-CN"/>
                <w14:textFill>
                  <w14:solidFill>
                    <w14:schemeClr w14:val="tx1"/>
                  </w14:solidFill>
                </w14:textFill>
              </w:rPr>
              <w:t>3隧洞灌浆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灌浆工程按衬砌和回填砼浇筑的先后次序分区进行，先回填灌浆，后固结灌浆。灌浆时利用砼浇筑前预埋的灌浆管路，采用分序逐渐加密的方法，由0.25m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的灰浆搅拌机拌制浆液，通过离心泵和钢管将浆液送到各灌浆工作面。隧洞回填灌浆在衬砌混凝土达到70%设计强度后进行。</w:t>
            </w:r>
          </w:p>
          <w:p>
            <w:pPr>
              <w:pStyle w:val="5"/>
              <w:bidi w:val="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w:t>
            </w:r>
            <w:r>
              <w:rPr>
                <w:rFonts w:hint="default"/>
                <w:b w:val="0"/>
                <w:bCs w:val="0"/>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2.</w:t>
            </w:r>
            <w:r>
              <w:rPr>
                <w:rFonts w:hint="default"/>
                <w:b w:val="0"/>
                <w:bCs w:val="0"/>
                <w:color w:val="000000" w:themeColor="text1"/>
                <w:lang w:val="en-US" w:eastAsia="zh-CN"/>
                <w14:textFill>
                  <w14:solidFill>
                    <w14:schemeClr w14:val="tx1"/>
                  </w14:solidFill>
                </w14:textFill>
              </w:rPr>
              <w:t>4边坡支护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各洞脸边坡开挖后，应及时进行锚网喷支护，锚杆采用手风钻钻孔，人工插设，之后挂设钢筋网，砼由设在各洞脸附近的施工辅助设施区内的0.8m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拌和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机供料，隧洞洞脸边坡先进行适当清表开挖（开挖坡度约1:0.75~1:1）后，采用挂网喷射砼、系统锚杆支护等方式施工，喷射砼采用湿喷，由斗车运送砼供喷射机施喷。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450" w:type="dxa"/>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其他</w:t>
            </w:r>
          </w:p>
        </w:tc>
        <w:tc>
          <w:tcPr>
            <w:tcW w:w="8838" w:type="dxa"/>
            <w:vAlign w:val="center"/>
          </w:tcPr>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1.分洪洞进口的选择</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通过现场查勘，分洪进口选择位于硖门畲族乡教堂上游约</w:t>
            </w:r>
            <w:r>
              <w:rPr>
                <w:rFonts w:hint="default" w:cs="Times New Roman"/>
                <w:b w:val="0"/>
                <w:bCs w:val="0"/>
                <w:color w:val="000000" w:themeColor="text1"/>
                <w:kern w:val="2"/>
                <w:sz w:val="24"/>
                <w:szCs w:val="24"/>
                <w:lang w:val="en-US" w:eastAsia="zh-CN" w:bidi="ar-SA"/>
                <w14:textFill>
                  <w14:solidFill>
                    <w14:schemeClr w14:val="tx1"/>
                  </w14:solidFill>
                </w14:textFill>
              </w:rPr>
              <w:t>100m</w:t>
            </w:r>
            <w:r>
              <w:rPr>
                <w:rFonts w:hint="eastAsia" w:cs="Times New Roman"/>
                <w:b w:val="0"/>
                <w:bCs w:val="0"/>
                <w:color w:val="000000" w:themeColor="text1"/>
                <w:kern w:val="2"/>
                <w:sz w:val="24"/>
                <w:szCs w:val="24"/>
                <w:lang w:val="en-US" w:eastAsia="zh-CN" w:bidi="ar-SA"/>
                <w14:textFill>
                  <w14:solidFill>
                    <w14:schemeClr w14:val="tx1"/>
                  </w14:solidFill>
                </w14:textFill>
              </w:rPr>
              <w:t>处。该处下游由于河道骤降，河底高程仅约</w:t>
            </w:r>
            <w:r>
              <w:rPr>
                <w:rFonts w:hint="default" w:cs="Times New Roman"/>
                <w:b w:val="0"/>
                <w:bCs w:val="0"/>
                <w:color w:val="000000" w:themeColor="text1"/>
                <w:kern w:val="2"/>
                <w:sz w:val="24"/>
                <w:szCs w:val="24"/>
                <w:lang w:val="en-US" w:eastAsia="zh-CN" w:bidi="ar-SA"/>
                <w14:textFill>
                  <w14:solidFill>
                    <w14:schemeClr w14:val="tx1"/>
                  </w14:solidFill>
                </w14:textFill>
              </w:rPr>
              <w:t>6.0m</w:t>
            </w:r>
            <w:r>
              <w:rPr>
                <w:rFonts w:hint="eastAsia" w:cs="Times New Roman"/>
                <w:b w:val="0"/>
                <w:bCs w:val="0"/>
                <w:color w:val="000000" w:themeColor="text1"/>
                <w:kern w:val="2"/>
                <w:sz w:val="24"/>
                <w:szCs w:val="24"/>
                <w:lang w:val="en-US" w:eastAsia="zh-CN" w:bidi="ar-SA"/>
                <w14:textFill>
                  <w14:solidFill>
                    <w14:schemeClr w14:val="tx1"/>
                  </w14:solidFill>
                </w14:textFill>
              </w:rPr>
              <w:t>左右，若选在下游由于水头差不足将导致隧洞尺寸急剧增加；推荐分洪口处高程较高达到</w:t>
            </w:r>
            <w:r>
              <w:rPr>
                <w:rFonts w:hint="default" w:cs="Times New Roman"/>
                <w:b w:val="0"/>
                <w:bCs w:val="0"/>
                <w:color w:val="000000" w:themeColor="text1"/>
                <w:kern w:val="2"/>
                <w:sz w:val="24"/>
                <w:szCs w:val="24"/>
                <w:lang w:val="en-US" w:eastAsia="zh-CN" w:bidi="ar-SA"/>
                <w14:textFill>
                  <w14:solidFill>
                    <w14:schemeClr w14:val="tx1"/>
                  </w14:solidFill>
                </w14:textFill>
              </w:rPr>
              <w:t>23.0m</w:t>
            </w:r>
            <w:r>
              <w:rPr>
                <w:rFonts w:hint="eastAsia" w:cs="Times New Roman"/>
                <w:b w:val="0"/>
                <w:bCs w:val="0"/>
                <w:color w:val="000000" w:themeColor="text1"/>
                <w:kern w:val="2"/>
                <w:sz w:val="24"/>
                <w:szCs w:val="24"/>
                <w:lang w:val="en-US" w:eastAsia="zh-CN" w:bidi="ar-SA"/>
                <w14:textFill>
                  <w14:solidFill>
                    <w14:schemeClr w14:val="tx1"/>
                  </w14:solidFill>
                </w14:textFill>
              </w:rPr>
              <w:t>，具有较高的高程及水头，可有效减少隧洞尺寸；同时河道宽度较窄，地质条件较好，具备建设拦河坝的条件；该处有天然的盆地，通过适当开挖可形成隧洞引水前池。</w:t>
            </w:r>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2.分洪洞出口的选择</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根据地形条件分析，可选择的分洪出口主要有三处，分别是硖门白沙（直排外海、</w:t>
            </w:r>
            <w:r>
              <w:rPr>
                <w:rFonts w:hint="default" w:cs="Times New Roman"/>
                <w:b w:val="0"/>
                <w:bCs w:val="0"/>
                <w:color w:val="000000" w:themeColor="text1"/>
                <w:kern w:val="2"/>
                <w:sz w:val="24"/>
                <w:szCs w:val="24"/>
                <w:lang w:val="en-US" w:eastAsia="zh-CN" w:bidi="ar-SA"/>
                <w14:textFill>
                  <w14:solidFill>
                    <w14:schemeClr w14:val="tx1"/>
                  </w14:solidFill>
                </w14:textFill>
              </w:rPr>
              <w:t>A</w:t>
            </w:r>
            <w:r>
              <w:rPr>
                <w:rFonts w:hint="eastAsia" w:cs="Times New Roman"/>
                <w:b w:val="0"/>
                <w:bCs w:val="0"/>
                <w:color w:val="000000" w:themeColor="text1"/>
                <w:kern w:val="2"/>
                <w:sz w:val="24"/>
                <w:szCs w:val="24"/>
                <w:lang w:val="en-US" w:eastAsia="zh-CN" w:bidi="ar-SA"/>
                <w14:textFill>
                  <w14:solidFill>
                    <w14:schemeClr w14:val="tx1"/>
                  </w14:solidFill>
                </w14:textFill>
              </w:rPr>
              <w:t>出口）、柏洋洋尾坪（跨流域、</w:t>
            </w:r>
            <w:r>
              <w:rPr>
                <w:rFonts w:hint="default" w:cs="Times New Roman"/>
                <w:b w:val="0"/>
                <w:bCs w:val="0"/>
                <w:color w:val="000000" w:themeColor="text1"/>
                <w:kern w:val="2"/>
                <w:sz w:val="24"/>
                <w:szCs w:val="24"/>
                <w:lang w:val="en-US" w:eastAsia="zh-CN" w:bidi="ar-SA"/>
                <w14:textFill>
                  <w14:solidFill>
                    <w14:schemeClr w14:val="tx1"/>
                  </w14:solidFill>
                </w14:textFill>
              </w:rPr>
              <w:t>B</w:t>
            </w:r>
            <w:r>
              <w:rPr>
                <w:rFonts w:hint="eastAsia" w:cs="Times New Roman"/>
                <w:b w:val="0"/>
                <w:bCs w:val="0"/>
                <w:color w:val="000000" w:themeColor="text1"/>
                <w:kern w:val="2"/>
                <w:sz w:val="24"/>
                <w:szCs w:val="24"/>
                <w:lang w:val="en-US" w:eastAsia="zh-CN" w:bidi="ar-SA"/>
                <w14:textFill>
                  <w14:solidFill>
                    <w14:schemeClr w14:val="tx1"/>
                  </w14:solidFill>
                </w14:textFill>
              </w:rPr>
              <w:t>出口）、硖门里厝（排入硖门溪、</w:t>
            </w:r>
            <w:r>
              <w:rPr>
                <w:rFonts w:hint="default" w:cs="Times New Roman"/>
                <w:b w:val="0"/>
                <w:bCs w:val="0"/>
                <w:color w:val="000000" w:themeColor="text1"/>
                <w:kern w:val="2"/>
                <w:sz w:val="24"/>
                <w:szCs w:val="24"/>
                <w:lang w:val="en-US" w:eastAsia="zh-CN" w:bidi="ar-SA"/>
                <w14:textFill>
                  <w14:solidFill>
                    <w14:schemeClr w14:val="tx1"/>
                  </w14:solidFill>
                </w14:textFill>
              </w:rPr>
              <w:t>C</w:t>
            </w:r>
            <w:r>
              <w:rPr>
                <w:rFonts w:hint="eastAsia" w:cs="Times New Roman"/>
                <w:b w:val="0"/>
                <w:bCs w:val="0"/>
                <w:color w:val="000000" w:themeColor="text1"/>
                <w:kern w:val="2"/>
                <w:sz w:val="24"/>
                <w:szCs w:val="24"/>
                <w:lang w:val="en-US" w:eastAsia="zh-CN" w:bidi="ar-SA"/>
                <w14:textFill>
                  <w14:solidFill>
                    <w14:schemeClr w14:val="tx1"/>
                  </w14:solidFill>
                </w14:textFill>
              </w:rPr>
              <w:t>出口）。通过分析，由于排到柏洋洋尾坪属于跨流域分洪方案，且承泄流域本身防洪排涝压力也很大，出口村镇较多，该方案虽然线路较短，但实施难度大，协调难度大，因此不宜采用。本次排洪出口方案拟定为直排外海（</w:t>
            </w:r>
            <w:r>
              <w:rPr>
                <w:rFonts w:hint="default" w:cs="Times New Roman"/>
                <w:b w:val="0"/>
                <w:bCs w:val="0"/>
                <w:color w:val="000000" w:themeColor="text1"/>
                <w:kern w:val="2"/>
                <w:sz w:val="24"/>
                <w:szCs w:val="24"/>
                <w:lang w:val="en-US" w:eastAsia="zh-CN" w:bidi="ar-SA"/>
                <w14:textFill>
                  <w14:solidFill>
                    <w14:schemeClr w14:val="tx1"/>
                  </w14:solidFill>
                </w14:textFill>
              </w:rPr>
              <w:t>A</w:t>
            </w:r>
            <w:r>
              <w:rPr>
                <w:rFonts w:hint="eastAsia" w:cs="Times New Roman"/>
                <w:b w:val="0"/>
                <w:bCs w:val="0"/>
                <w:color w:val="000000" w:themeColor="text1"/>
                <w:kern w:val="2"/>
                <w:sz w:val="24"/>
                <w:szCs w:val="24"/>
                <w:lang w:val="en-US" w:eastAsia="zh-CN" w:bidi="ar-SA"/>
                <w14:textFill>
                  <w14:solidFill>
                    <w14:schemeClr w14:val="tx1"/>
                  </w14:solidFill>
                </w14:textFill>
              </w:rPr>
              <w:t>出口）和排入硖门溪（即出口位置位于边防所北侧山体，</w:t>
            </w:r>
            <w:r>
              <w:rPr>
                <w:rFonts w:hint="default" w:cs="Times New Roman"/>
                <w:b w:val="0"/>
                <w:bCs w:val="0"/>
                <w:color w:val="000000" w:themeColor="text1"/>
                <w:kern w:val="2"/>
                <w:sz w:val="24"/>
                <w:szCs w:val="24"/>
                <w:lang w:val="en-US" w:eastAsia="zh-CN" w:bidi="ar-SA"/>
                <w14:textFill>
                  <w14:solidFill>
                    <w14:schemeClr w14:val="tx1"/>
                  </w14:solidFill>
                </w14:textFill>
              </w:rPr>
              <w:t>C</w:t>
            </w:r>
            <w:r>
              <w:rPr>
                <w:rFonts w:hint="eastAsia" w:cs="Times New Roman"/>
                <w:b w:val="0"/>
                <w:bCs w:val="0"/>
                <w:color w:val="000000" w:themeColor="text1"/>
                <w:kern w:val="2"/>
                <w:sz w:val="24"/>
                <w:szCs w:val="24"/>
                <w:lang w:val="en-US" w:eastAsia="zh-CN" w:bidi="ar-SA"/>
                <w14:textFill>
                  <w14:solidFill>
                    <w14:schemeClr w14:val="tx1"/>
                  </w14:solidFill>
                </w14:textFill>
              </w:rPr>
              <w:t>出口）。分别对分洪洞出口进行方案比选。</w:t>
            </w:r>
          </w:p>
          <w:p>
            <w:pPr>
              <w:keepNext w:val="0"/>
              <w:keepLines w:val="0"/>
              <w:widowControl/>
              <w:suppressLineNumbers w:val="0"/>
              <w:spacing w:line="360" w:lineRule="auto"/>
              <w:ind w:firstLine="480" w:firstLineChars="200"/>
              <w:jc w:val="left"/>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比选方案</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根据《福鼎市硖门畲族乡庙后溪山洪治理（高水高排）工程可行性研究报告》，本次工程分洪洞出口有两种方案可以选择。</w:t>
            </w:r>
          </w:p>
          <w:p>
            <w:pPr>
              <w:keepNext w:val="0"/>
              <w:keepLines w:val="0"/>
              <w:widowControl/>
              <w:suppressLineNumbers w:val="0"/>
              <w:spacing w:line="360" w:lineRule="auto"/>
              <w:jc w:val="left"/>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方案一：分洪隧洞出口直排外海（A出口）</w:t>
            </w:r>
          </w:p>
          <w:p>
            <w:pPr>
              <w:keepNext w:val="0"/>
              <w:keepLines w:val="0"/>
              <w:widowControl/>
              <w:suppressLineNumbers w:val="0"/>
              <w:spacing w:line="360" w:lineRule="auto"/>
              <w:jc w:val="left"/>
              <w:rPr>
                <w:rFonts w:hint="eastAsia"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方案二：分洪隧洞出口排入硖门溪</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C出口</w:t>
            </w:r>
            <w:r>
              <w:rPr>
                <w:rFonts w:hint="eastAsia"/>
                <w:color w:val="000000" w:themeColor="text1"/>
                <w:lang w:eastAsia="zh-CN"/>
                <w14:textFill>
                  <w14:solidFill>
                    <w14:schemeClr w14:val="tx1"/>
                  </w14:solidFill>
                </w14:textFill>
              </w:rPr>
              <w:t>）</w:t>
            </w:r>
          </w:p>
          <w:p>
            <w:pPr>
              <w:keepNext w:val="0"/>
              <w:keepLines w:val="0"/>
              <w:widowControl/>
              <w:suppressLineNumbers w:val="0"/>
              <w:spacing w:line="360" w:lineRule="auto"/>
              <w:jc w:val="left"/>
              <w:rPr>
                <w:rFonts w:hint="eastAsia" w:cs="Times New Roman"/>
                <w:b w:val="0"/>
                <w:bCs w:val="0"/>
                <w:color w:val="000000" w:themeColor="text1"/>
                <w:kern w:val="2"/>
                <w:sz w:val="24"/>
                <w:szCs w:val="24"/>
                <w:lang w:val="en-US" w:eastAsia="zh-CN" w:bidi="ar-SA"/>
                <w14:textFill>
                  <w14:solidFill>
                    <w14:schemeClr w14:val="tx1"/>
                  </w14:solidFill>
                </w14:textFill>
              </w:rPr>
            </w:pPr>
          </w:p>
          <w:p>
            <w:pPr>
              <w:keepNext w:val="0"/>
              <w:keepLines w:val="0"/>
              <w:widowControl/>
              <w:suppressLineNumbers w:val="0"/>
              <w:spacing w:line="240" w:lineRule="auto"/>
              <w:jc w:val="center"/>
              <w:rPr>
                <w:rFonts w:hint="default"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图2-1 分洪洞出口对比图</w:t>
            </w:r>
          </w:p>
          <w:p>
            <w:pPr>
              <w:keepNext w:val="0"/>
              <w:keepLines w:val="0"/>
              <w:widowControl/>
              <w:suppressLineNumbers w:val="0"/>
              <w:spacing w:line="360" w:lineRule="auto"/>
              <w:jc w:val="left"/>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方案比选</w:t>
            </w:r>
          </w:p>
          <w:p>
            <w:pPr>
              <w:keepNext w:val="0"/>
              <w:keepLines w:val="0"/>
              <w:widowControl/>
              <w:suppressLineNumbers w:val="0"/>
              <w:spacing w:line="360" w:lineRule="auto"/>
              <w:ind w:firstLine="480" w:firstLineChars="200"/>
              <w:jc w:val="left"/>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①对周边环境的影响</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方案一施工区离集镇生活区较远，施工干扰少，施工过程需对部分区域植被造成破坏（主要为进出口部分）。第一段隧洞出口与第二段隧洞进口离高速路桥较近，施工需征得高速部门同意。</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二施工区离集镇生活区较远，施工干扰少同时施工过程需对部分区域植被造成破坏（主要为进出口部分）。第一段隧洞出口与第二段隧洞进口离高速路桥较近，施工需征得高速部门同意。且出口占用了镇区的发展用地，对镇区整体用地存在一定的影响。排洪洞出口处有厂房及住宅，需对其进行征迁或保护。</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②工程布置影响</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方案一排洪出口地质为砂质地基，出口为外海，出口需采取适当防冲加固措施。且为了从平面及竖向避开硖门隧道和南埕山隧道，线路多处设置转弯及箱涵段，对过流条件有一定影响。</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二排洪出口地质为淤泥，且洪水对出口岸边坡冲刷破坏隐患大，需对河床及边坡及出口底部采取防冲加固措施。出口段箱涵位于淤泥基础上，需增加基础措施。为了从平面及竖向避开硖门隧道和南埕山隧道，线路多处设置转弯及箱涵段，对过流条件有一定影响</w:t>
            </w:r>
          </w:p>
          <w:p>
            <w:pPr>
              <w:keepNext w:val="0"/>
              <w:keepLines w:val="0"/>
              <w:widowControl/>
              <w:suppressLineNumbers w:val="0"/>
              <w:spacing w:line="360" w:lineRule="auto"/>
              <w:ind w:firstLine="480" w:firstLineChars="200"/>
              <w:jc w:val="left"/>
              <w:rPr>
                <w:rFonts w:hint="default"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③运行及调度使用</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方案一直排外海，排洪不进入硖门溪，运行调度方便；由于硖门溪本身防洪压力也很大，该方案对提高硖门溪及庙后溪防洪排涝均有利，因为硖门畲族乡受洪水影响十分严重，该方案直排外海。</w:t>
            </w:r>
          </w:p>
          <w:p>
            <w:pPr>
              <w:keepNext w:val="0"/>
              <w:keepLines w:val="0"/>
              <w:widowControl/>
              <w:suppressLineNumbers w:val="0"/>
              <w:spacing w:line="360" w:lineRule="auto"/>
              <w:ind w:firstLine="480" w:firstLineChars="200"/>
              <w:jc w:val="left"/>
              <w:rPr>
                <w:rFonts w:hint="default"/>
                <w:color w:val="000000" w:themeColor="text1"/>
                <w:lang w:val="en-US" w:eastAsia="zh-CN"/>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方案二仍排入硖门溪下游河道，最终通过硖门水闸排入外海，运行调度更不便；由于硖门溪本身防洪压力也很大，通过分析计算该方案与直排外海方案硖门溪河道水位相差约0.14m，影响有限。</w:t>
            </w:r>
          </w:p>
          <w:p>
            <w:pPr>
              <w:keepNext w:val="0"/>
              <w:keepLines w:val="0"/>
              <w:widowControl/>
              <w:suppressLineNumbers w:val="0"/>
              <w:spacing w:line="360" w:lineRule="auto"/>
              <w:ind w:firstLine="480" w:firstLineChars="200"/>
              <w:jc w:val="left"/>
              <w:rPr>
                <w:rFonts w:hint="eastAsia"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④工程建设内容及地质条件</w:t>
            </w:r>
          </w:p>
          <w:p>
            <w:pPr>
              <w:keepNext w:val="0"/>
              <w:keepLines w:val="0"/>
              <w:widowControl/>
              <w:suppressLineNumbers w:val="0"/>
              <w:spacing w:line="360" w:lineRule="auto"/>
              <w:ind w:firstLine="480" w:firstLineChars="200"/>
              <w:jc w:val="left"/>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方案一根据布置需建设拦河坝1座，该方案线路总长为2928m，其中进水口及隧洞2480m</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其中Ⅱ类35.8%，Ⅲ类40.9%，Ⅳ～Ⅴ类13.2%)，箱涵404m，出口消能段44m，排入外海。</w:t>
            </w:r>
          </w:p>
          <w:p>
            <w:pPr>
              <w:keepNext w:val="0"/>
              <w:keepLines w:val="0"/>
              <w:widowControl/>
              <w:suppressLineNumbers w:val="0"/>
              <w:spacing w:line="360" w:lineRule="auto"/>
              <w:ind w:firstLine="480" w:firstLineChars="200"/>
              <w:jc w:val="left"/>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方案二根据布置需建设拦河坝1座，该方案线路总长为1480m，其中隧洞1030m（其中Ⅱ类8.8%，Ⅲ类13.4%，Ⅳ～Ⅴ类32.5%），箱涵445m，排入硖门溪。</w:t>
            </w:r>
          </w:p>
          <w:p>
            <w:pPr>
              <w:adjustRightInd w:val="0"/>
              <w:snapToGrid w:val="0"/>
              <w:spacing w:line="360" w:lineRule="auto"/>
              <w:ind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综上所述，从</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环境</w:t>
            </w:r>
            <w:r>
              <w:rPr>
                <w:rFonts w:hint="default" w:ascii="Times New Roman" w:hAnsi="Times New Roman" w:cs="Times New Roman"/>
                <w:bCs/>
                <w:color w:val="000000" w:themeColor="text1"/>
                <w:sz w:val="24"/>
                <w:highlight w:val="none"/>
                <w:lang w:val="en-US" w:eastAsia="zh-CN"/>
                <w14:textFill>
                  <w14:solidFill>
                    <w14:schemeClr w14:val="tx1"/>
                  </w14:solidFill>
                </w14:textFill>
              </w:rPr>
              <w:t>合理性角度分析，本项目选择方案一。</w:t>
            </w:r>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3.洞线方案选择</w:t>
            </w:r>
          </w:p>
          <w:p>
            <w:pPr>
              <w:keepNext w:val="0"/>
              <w:keepLines w:val="0"/>
              <w:widowControl/>
              <w:suppressLineNumbers w:val="0"/>
              <w:ind w:firstLine="480" w:firstLineChars="20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根据本工程确定的直排外海有压方案，拟定两个方案进行比选。</w:t>
            </w:r>
          </w:p>
          <w:p>
            <w:pPr>
              <w:keepNext w:val="0"/>
              <w:keepLines w:val="0"/>
              <w:widowControl/>
              <w:suppressLineNumbers w:val="0"/>
              <w:ind w:firstLine="480" w:firstLineChars="200"/>
              <w:jc w:val="left"/>
              <w:rPr>
                <w:rFonts w:hint="eastAsia"/>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方案A（北线方案）：</w:t>
            </w:r>
          </w:p>
          <w:p>
            <w:pPr>
              <w:keepNext w:val="0"/>
              <w:keepLines w:val="0"/>
              <w:widowControl/>
              <w:suppressLineNumbers w:val="0"/>
              <w:ind w:firstLine="480" w:firstLineChars="200"/>
              <w:jc w:val="left"/>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北线方案从进水口（河底高程约22.50m）引水；开挖隧洞穿过硖门畲族乡教堂对面山体；为避免与硖门隧道（高程约20.00m）交叉，采用压力箱涵从硖门畲族乡沈海高速桥桥墩之间（地面高程约7~12m）穿过；然后沿着东北向42°开挖隧洞穿过山体到达大厝里；为避免与南埕山隧道（进口柏洋侧高程约7.3m）交叉，采用压力箱涵从南埕山隧道进口公路下穿（高程约7.5m）穿过；然后沿着东向开挖隧洞并转角37°向着东南向穿过山体到达白沙出口，出口底高程约0.5m。线路总长约2884.32m。该方案Ⅱ类围岩 36%、Ⅲ类围岩41%、Ⅳ~Ⅴ类围岩23%；压力箱涵2段总长404.14m；建设进水口1座并设置闸门，建设出口防冲设施1处。</w:t>
            </w:r>
          </w:p>
          <w:p>
            <w:pPr>
              <w:ind w:firstLine="480" w:firstLineChars="200"/>
              <w:rPr>
                <w:rFonts w:hint="default"/>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方案B（南线方案）：</w:t>
            </w:r>
          </w:p>
          <w:p>
            <w:pPr>
              <w:numPr>
                <w:ilvl w:val="0"/>
                <w:numId w:val="0"/>
              </w:numPr>
              <w:ind w:leftChars="0" w:firstLine="480" w:firstLineChars="200"/>
              <w:rPr>
                <w:rFonts w:hint="default"/>
                <w:color w:val="000000" w:themeColor="text1"/>
                <w:highlight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3908425</wp:posOffset>
                      </wp:positionH>
                      <wp:positionV relativeFrom="paragraph">
                        <wp:posOffset>4595495</wp:posOffset>
                      </wp:positionV>
                      <wp:extent cx="542925" cy="238125"/>
                      <wp:effectExtent l="4445" t="4445" r="5080" b="5080"/>
                      <wp:wrapNone/>
                      <wp:docPr id="94" name="文本框 94"/>
                      <wp:cNvGraphicFramePr/>
                      <a:graphic xmlns:a="http://schemas.openxmlformats.org/drawingml/2006/main">
                        <a:graphicData uri="http://schemas.microsoft.com/office/word/2010/wordprocessingShape">
                          <wps:wsp>
                            <wps:cNvSpPr txBox="1"/>
                            <wps:spPr>
                              <a:xfrm>
                                <a:off x="5057140" y="3667125"/>
                                <a:ext cx="542925"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eastAsia="宋体"/>
                                      <w:b/>
                                      <w:bCs/>
                                      <w:color w:val="FF0000"/>
                                      <w:sz w:val="18"/>
                                      <w:szCs w:val="18"/>
                                      <w:lang w:val="en-US" w:eastAsia="zh-CN"/>
                                    </w:rPr>
                                  </w:pPr>
                                  <w:r>
                                    <w:rPr>
                                      <w:rFonts w:hint="eastAsia"/>
                                      <w:b/>
                                      <w:bCs/>
                                      <w:color w:val="FF0000"/>
                                      <w:sz w:val="18"/>
                                      <w:szCs w:val="18"/>
                                      <w:lang w:val="en-US" w:eastAsia="zh-CN"/>
                                    </w:rPr>
                                    <w:t>方案B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361.85pt;height:18.75pt;width:42.75pt;z-index:251687936;mso-width-relative:page;mso-height-relative:page;" fillcolor="#FFFFFF [3201]" filled="t" stroked="t" coordsize="21600,21600" o:gfxdata="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2rvtD1wAAAAsBAAAPAAAAAAAAAAEAIAAAACIAAABkcnMvZG93bnJldi54bWxQSwECFAAU&#10;AAAACACHTuJAMH+CbGQCAADEBAAADgAAAAAAAAABACAAAAAmAQAAZHJzL2Uyb0RvYy54bWxQSwUG&#10;AAAAAAYABgBZAQAA/AUAAAAA&#10;">
                      <v:fill on="t" focussize="0,0"/>
                      <v:stroke weight="0.5pt" color="#000000 [3204]" joinstyle="round"/>
                      <v:imagedata o:title=""/>
                      <o:lock v:ext="edit" aspectratio="f"/>
                      <v:textbox>
                        <w:txbxContent>
                          <w:p>
                            <w:pPr>
                              <w:spacing w:line="240" w:lineRule="auto"/>
                              <w:rPr>
                                <w:rFonts w:hint="default" w:eastAsia="宋体"/>
                                <w:b/>
                                <w:bCs/>
                                <w:color w:val="FF0000"/>
                                <w:sz w:val="18"/>
                                <w:szCs w:val="18"/>
                                <w:lang w:val="en-US" w:eastAsia="zh-CN"/>
                              </w:rPr>
                            </w:pPr>
                            <w:r>
                              <w:rPr>
                                <w:rFonts w:hint="eastAsia"/>
                                <w:b/>
                                <w:bCs/>
                                <w:color w:val="FF0000"/>
                                <w:sz w:val="18"/>
                                <w:szCs w:val="18"/>
                                <w:lang w:val="en-US" w:eastAsia="zh-CN"/>
                              </w:rPr>
                              <w:t>方案B</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4093845</wp:posOffset>
                      </wp:positionH>
                      <wp:positionV relativeFrom="paragraph">
                        <wp:posOffset>2630805</wp:posOffset>
                      </wp:positionV>
                      <wp:extent cx="217170" cy="332740"/>
                      <wp:effectExtent l="5080" t="3175" r="6350" b="6985"/>
                      <wp:wrapNone/>
                      <wp:docPr id="110" name="直接连接符 110"/>
                      <wp:cNvGraphicFramePr/>
                      <a:graphic xmlns:a="http://schemas.openxmlformats.org/drawingml/2006/main">
                        <a:graphicData uri="http://schemas.microsoft.com/office/word/2010/wordprocessingShape">
                          <wps:wsp>
                            <wps:cNvCnPr>
                              <a:stCxn id="93" idx="1"/>
                            </wps:cNvCnPr>
                            <wps:spPr>
                              <a:xfrm flipH="1">
                                <a:off x="5208905" y="1760220"/>
                                <a:ext cx="217170" cy="3327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22.35pt;margin-top:207.15pt;height:26.2pt;width:17.1pt;z-index:251688960;mso-width-relative:page;mso-height-relative:page;" filled="f" stroked="t" coordsize="21600,21600" o:gfxdata="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tvq82gAAAAsBAAAPAAAAAAAA&#10;AAEAIAAAACIAAABkcnMvZG93bnJldi54bWxQSwECFAAUAAAACACHTuJAjpxrXRACAAD3AwAADgAA&#10;AAAAAAABACAAAAApAQAAZHJzL2Uyb0RvYy54bWxQSwUGAAAAAAYABgBZAQAAqwUAAAAA&#10;">
                      <v:fill on="f" focussize="0,0"/>
                      <v:stroke weight="1pt" color="#FF0000 [3204]"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4311015</wp:posOffset>
                      </wp:positionH>
                      <wp:positionV relativeFrom="paragraph">
                        <wp:posOffset>2506980</wp:posOffset>
                      </wp:positionV>
                      <wp:extent cx="552450" cy="247650"/>
                      <wp:effectExtent l="4445" t="4445" r="14605" b="14605"/>
                      <wp:wrapNone/>
                      <wp:docPr id="93" name="文本框 93"/>
                      <wp:cNvGraphicFramePr/>
                      <a:graphic xmlns:a="http://schemas.openxmlformats.org/drawingml/2006/main">
                        <a:graphicData uri="http://schemas.microsoft.com/office/word/2010/wordprocessingShape">
                          <wps:wsp>
                            <wps:cNvSpPr txBox="1"/>
                            <wps:spPr>
                              <a:xfrm>
                                <a:off x="5409565" y="1562100"/>
                                <a:ext cx="55245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eastAsia="宋体"/>
                                      <w:b/>
                                      <w:bCs/>
                                      <w:color w:val="FF0000"/>
                                      <w:sz w:val="18"/>
                                      <w:szCs w:val="18"/>
                                      <w:lang w:val="en-US" w:eastAsia="zh-CN"/>
                                    </w:rPr>
                                  </w:pPr>
                                  <w:r>
                                    <w:rPr>
                                      <w:rFonts w:hint="eastAsia"/>
                                      <w:b/>
                                      <w:bCs/>
                                      <w:color w:val="FF0000"/>
                                      <w:sz w:val="18"/>
                                      <w:szCs w:val="18"/>
                                      <w:lang w:val="en-US" w:eastAsia="zh-CN"/>
                                    </w:rPr>
                                    <w:t>方案A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45pt;margin-top:197.4pt;height:19.5pt;width:43.5pt;z-index:251686912;mso-width-relative:page;mso-height-relative:page;" fillcolor="#FFFFFF [3201]" filled="t" stroked="t" coordsize="21600,21600" o:gfxdata="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EDbfdgAAAALAQAADwAAAAAAAAABACAAAAAiAAAAZHJzL2Rvd25yZXYueG1sUEsBAhQAFAAA&#10;AAgAh07iQOBiY/lhAgAAxAQAAA4AAAAAAAAAAQAgAAAAJwEAAGRycy9lMm9Eb2MueG1sUEsFBgAA&#10;AAAGAAYAWQEAAPoFAAAAAA==&#10;">
                      <v:fill on="t" focussize="0,0"/>
                      <v:stroke weight="0.5pt" color="#000000 [3204]" joinstyle="round"/>
                      <v:imagedata o:title=""/>
                      <o:lock v:ext="edit" aspectratio="f"/>
                      <v:textbox>
                        <w:txbxContent>
                          <w:p>
                            <w:pPr>
                              <w:spacing w:line="240" w:lineRule="auto"/>
                              <w:rPr>
                                <w:rFonts w:hint="default" w:eastAsia="宋体"/>
                                <w:b/>
                                <w:bCs/>
                                <w:color w:val="FF0000"/>
                                <w:sz w:val="18"/>
                                <w:szCs w:val="18"/>
                                <w:lang w:val="en-US" w:eastAsia="zh-CN"/>
                              </w:rPr>
                            </w:pPr>
                            <w:r>
                              <w:rPr>
                                <w:rFonts w:hint="eastAsia"/>
                                <w:b/>
                                <w:bCs/>
                                <w:color w:val="FF0000"/>
                                <w:sz w:val="18"/>
                                <w:szCs w:val="18"/>
                                <w:lang w:val="en-US" w:eastAsia="zh-CN"/>
                              </w:rPr>
                              <w:t>方案A</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3729990</wp:posOffset>
                      </wp:positionH>
                      <wp:positionV relativeFrom="paragraph">
                        <wp:posOffset>4394835</wp:posOffset>
                      </wp:positionV>
                      <wp:extent cx="178435" cy="320040"/>
                      <wp:effectExtent l="5715" t="3175" r="6350" b="19685"/>
                      <wp:wrapNone/>
                      <wp:docPr id="121" name="直接连接符 121"/>
                      <wp:cNvGraphicFramePr/>
                      <a:graphic xmlns:a="http://schemas.openxmlformats.org/drawingml/2006/main">
                        <a:graphicData uri="http://schemas.microsoft.com/office/word/2010/wordprocessingShape">
                          <wps:wsp>
                            <wps:cNvCnPr>
                              <a:stCxn id="94" idx="1"/>
                            </wps:cNvCnPr>
                            <wps:spPr>
                              <a:xfrm flipH="1" flipV="1">
                                <a:off x="4845050" y="3524250"/>
                                <a:ext cx="178435" cy="3200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93.7pt;margin-top:346.05pt;height:25.2pt;width:14.05pt;z-index:251689984;mso-width-relative:page;mso-height-relative:page;" filled="f" stroked="t" coordsize="21600,21600" o:gfxdata="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DwStoAAAALAQAADwAA&#10;AAAAAAABACAAAAAiAAAAZHJzL2Rvd25yZXYueG1sUEsBAhQAFAAAAAgAh07iQO9ZIrYUAgAAAQQA&#10;AA4AAAAAAAAAAQAgAAAAKQEAAGRycy9lMm9Eb2MueG1sUEsFBgAAAAAGAAYAWQEAAK8FAAAAAA==&#10;">
                      <v:fill on="f" focussize="0,0"/>
                      <v:stroke weight="1pt" color="#FF0000 [3204]" miterlimit="8" joinstyle="miter"/>
                      <v:imagedata o:title=""/>
                      <o:lock v:ext="edit" aspectratio="f"/>
                    </v:line>
                  </w:pict>
                </mc:Fallback>
              </mc:AlternateConten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南线方案从进水口（河底高程约22.50m）引水；开挖隧洞穿过硖门畲族乡教堂对面山体；为避免与硖门隧道（高程约20.00m）交叉，采用压力箱涵从硖门畲族乡高速桥桥墩之间（地面高程约7~12m）穿过；然后沿着东北向21°开挖隧洞穿过山体并设置平面转角65°向着东南方向到达里厝；为避免与南埕山隧道（出口硖门侧高程约6.0m）交叉，采用压力箱涵从南埕山隧道出口公路下穿（高程约6.0m）穿过；然后沿着东北向26°开挖隧洞穿过山体到达白沙出口，出口底高程约0.5m。线路总长约2544.93m。该方案需Ⅱ类围岩9%、Ⅲ类围岩45%、Ⅳ~Ⅴ类围岩46%；压力箱涵2段总长286.69m；建设进水口1座设置闸门，建设出口防冲设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w:t>
            </w:r>
          </w:p>
          <w:p>
            <w:pPr>
              <w:pStyle w:val="4"/>
              <w:spacing w:line="240" w:lineRule="auto"/>
              <w:jc w:val="center"/>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图2-2 洞线方案对比图</w:t>
            </w:r>
          </w:p>
          <w:p>
            <w:pPr>
              <w:pStyle w:val="4"/>
              <w:rPr>
                <w:rFonts w:hint="eastAsia"/>
                <w:color w:val="000000" w:themeColor="text1"/>
                <w:lang w:val="en-US" w:eastAsia="zh-CN"/>
                <w14:textFill>
                  <w14:solidFill>
                    <w14:schemeClr w14:val="tx1"/>
                  </w14:solidFill>
                </w14:textFill>
              </w:rPr>
            </w:pPr>
          </w:p>
          <w:p>
            <w:pPr>
              <w:spacing w:line="360" w:lineRule="auto"/>
              <w:jc w:val="center"/>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表2-5 隧洞线路方案比选表</w:t>
            </w:r>
          </w:p>
          <w:tbl>
            <w:tblPr>
              <w:tblStyle w:val="19"/>
              <w:tblW w:w="8612" w:type="dxa"/>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3147"/>
              <w:gridCol w:w="3051"/>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12"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方案</w:t>
                  </w:r>
                </w:p>
              </w:tc>
              <w:tc>
                <w:tcPr>
                  <w:tcW w:w="3147" w:type="dxa"/>
                  <w:tcBorders>
                    <w:top w:val="single" w:color="auto" w:sz="12"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方案A</w:t>
                  </w:r>
                </w:p>
              </w:tc>
              <w:tc>
                <w:tcPr>
                  <w:tcW w:w="3051" w:type="dxa"/>
                  <w:tcBorders>
                    <w:top w:val="single" w:color="auto" w:sz="12"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方案B</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方案简述</w:t>
                  </w:r>
                </w:p>
              </w:tc>
              <w:tc>
                <w:tcPr>
                  <w:tcW w:w="3147"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北线方案，总长2884.32m</w:t>
                  </w:r>
                </w:p>
              </w:tc>
              <w:tc>
                <w:tcPr>
                  <w:tcW w:w="3051"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南线方案，总长2544.93m</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水流情况</w:t>
                  </w:r>
                </w:p>
              </w:tc>
              <w:tc>
                <w:tcPr>
                  <w:tcW w:w="3147"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线路相对平顺，隧洞过流情况相对较好</w:t>
                  </w:r>
                </w:p>
              </w:tc>
              <w:tc>
                <w:tcPr>
                  <w:tcW w:w="3051"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线路相对曲折，隧洞过流情况相对较差</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与有关建筑物衔接情况</w:t>
                  </w:r>
                </w:p>
              </w:tc>
              <w:tc>
                <w:tcPr>
                  <w:tcW w:w="3147"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平面上避开了与硖门隧道、南埕山隧道交叉，出口避开白沙海滩核心区</w:t>
                  </w:r>
                </w:p>
              </w:tc>
              <w:tc>
                <w:tcPr>
                  <w:tcW w:w="3051"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平面上避开了与硖门隧道、南埕山隧道交叉，出口位于白沙海滩核心区</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涉及生态红线情况</w:t>
                  </w:r>
                </w:p>
              </w:tc>
              <w:tc>
                <w:tcPr>
                  <w:tcW w:w="3147"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涉及生态红线，但从地</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底</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无害化通过</w:t>
                  </w:r>
                </w:p>
              </w:tc>
              <w:tc>
                <w:tcPr>
                  <w:tcW w:w="3051"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不涉及生态红线</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其他影响</w:t>
                  </w:r>
                </w:p>
              </w:tc>
              <w:tc>
                <w:tcPr>
                  <w:tcW w:w="3147"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1#箱涵线路一致，2#箱涵长约263m，箱涵地质条件较好，不需地基处理。需要拆除房屋</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座。</w:t>
                  </w:r>
                </w:p>
              </w:tc>
              <w:tc>
                <w:tcPr>
                  <w:tcW w:w="3051"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1#箱涵线路一致，2#箱涵长约145m，2#箱涵地质条件较差，需地基处理。2#线路布置需要拆除房屋3座。</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隧洞围岩情况</w:t>
                  </w:r>
                </w:p>
              </w:tc>
              <w:tc>
                <w:tcPr>
                  <w:tcW w:w="3147"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围岩较好，Ⅱ类；Ⅲ类；Ⅳ~Ⅴ类=36%；41%；23%</w:t>
                  </w:r>
                </w:p>
              </w:tc>
              <w:tc>
                <w:tcPr>
                  <w:tcW w:w="3051" w:type="dxa"/>
                  <w:tcBorders>
                    <w:top w:val="single" w:color="auto" w:sz="6" w:space="0"/>
                    <w:left w:val="single" w:color="auto" w:sz="6" w:space="0"/>
                    <w:bottom w:val="single" w:color="auto" w:sz="6"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围岩较差，Ⅱ类；Ⅲ类；Ⅳ~Ⅴ类=9%；45%；46%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tcBorders>
                    <w:top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投资</w:t>
                  </w:r>
                </w:p>
              </w:tc>
              <w:tc>
                <w:tcPr>
                  <w:tcW w:w="3147" w:type="dxa"/>
                  <w:tcBorders>
                    <w:top w:val="single" w:color="auto" w:sz="6" w:space="0"/>
                    <w:left w:val="single" w:color="auto" w:sz="6" w:space="0"/>
                    <w:bottom w:val="single" w:color="auto" w:sz="12" w:space="0"/>
                    <w:right w:val="single" w:color="auto" w:sz="6" w:space="0"/>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可比综合投资较少，约4500万元（含征地拆迁）</w:t>
                  </w:r>
                </w:p>
              </w:tc>
              <w:tc>
                <w:tcPr>
                  <w:tcW w:w="3051" w:type="dxa"/>
                  <w:tcBorders>
                    <w:top w:val="single" w:color="auto" w:sz="6" w:space="0"/>
                    <w:left w:val="single" w:color="auto" w:sz="6" w:space="0"/>
                    <w:bottom w:val="single" w:color="auto" w:sz="12" w:space="0"/>
                    <w:right w:val="nil"/>
                  </w:tcBorders>
                  <w:vAlign w:val="center"/>
                </w:tcPr>
                <w:p>
                  <w:pPr>
                    <w:spacing w:line="240" w:lineRule="auto"/>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可比综合投资较多，约4730万元（含征地拆迁）</w:t>
                  </w:r>
                </w:p>
              </w:tc>
            </w:tr>
          </w:tbl>
          <w:p>
            <w:pPr>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通过上述比选，</w:t>
            </w:r>
            <w:r>
              <w:rPr>
                <w:rFonts w:hint="eastAsia" w:cs="Times New Roman"/>
                <w:color w:val="000000" w:themeColor="text1"/>
                <w:sz w:val="24"/>
                <w:szCs w:val="24"/>
                <w:highlight w:val="none"/>
                <w:lang w:val="en-US" w:eastAsia="zh-CN"/>
                <w14:textFill>
                  <w14:solidFill>
                    <w14:schemeClr w14:val="tx1"/>
                  </w14:solidFill>
                </w14:textFill>
              </w:rPr>
              <w:t>从经济角度分析，方案A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围岩情况更好，隧洞支护费用低；隧洞出口避开白沙海滩核心区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，无需拆迁</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；2#箱涵段地质条件较好不需地基处理；2#箱涵线路布置可比综合投资比方案B的投资少。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从环境角度分析，</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方案A虽然长度略较长，但隧洞总体线路布置更顺畅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，虽然穿越了生态红线，但是属于</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从地</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底</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无害化通过</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在2#箱涵地段施工场相对于方案B距离居民点更远，不容易对周边居民造成影响；</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因此</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选择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方案A（北线方案）。</w:t>
            </w:r>
          </w:p>
          <w:p>
            <w:pPr>
              <w:ind w:firstLine="480" w:firstLineChars="200"/>
              <w:jc w:val="both"/>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综上所述，本项目选则了直排海外的方案</w:t>
            </w:r>
            <w:r>
              <w:rPr>
                <w:rFonts w:hint="eastAsia"/>
                <w:b w:val="0"/>
                <w:bCs/>
                <w:color w:val="000000" w:themeColor="text1"/>
                <w:highlight w:val="none"/>
                <w:lang w:val="en-US" w:eastAsia="zh-CN"/>
                <w14:textFill>
                  <w14:solidFill>
                    <w14:schemeClr w14:val="tx1"/>
                  </w14:solidFill>
                </w14:textFill>
              </w:rPr>
              <w:t>A。</w:t>
            </w:r>
          </w:p>
        </w:tc>
      </w:tr>
    </w:tbl>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bidi w:val="0"/>
        <w:rPr>
          <w:color w:val="000000" w:themeColor="text1"/>
          <w14:textFill>
            <w14:solidFill>
              <w14:schemeClr w14:val="tx1"/>
            </w14:solidFill>
          </w14:textFill>
        </w:rPr>
      </w:pPr>
      <w:bookmarkStart w:id="2" w:name="_Toc2429_WPSOffice_Level1"/>
      <w:bookmarkStart w:id="3" w:name="_Toc30399"/>
      <w:r>
        <w:rPr>
          <w:color w:val="000000" w:themeColor="text1"/>
          <w14:textFill>
            <w14:solidFill>
              <w14:schemeClr w14:val="tx1"/>
            </w14:solidFill>
          </w14:textFill>
        </w:rPr>
        <w:t>三、生态环境现状、保护目标及评价标准</w:t>
      </w:r>
      <w:bookmarkEnd w:id="2"/>
      <w:bookmarkEnd w:id="3"/>
    </w:p>
    <w:tbl>
      <w:tblPr>
        <w:tblStyle w:val="18"/>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82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8" w:hRule="atLeast"/>
          <w:jc w:val="center"/>
        </w:trPr>
        <w:tc>
          <w:tcPr>
            <w:tcW w:w="904"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生态环境现状</w:t>
            </w:r>
          </w:p>
        </w:tc>
        <w:tc>
          <w:tcPr>
            <w:tcW w:w="8253" w:type="dxa"/>
            <w:vAlign w:val="center"/>
          </w:tcPr>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1.生态环境现</w:t>
            </w:r>
          </w:p>
          <w:p>
            <w:pPr>
              <w:pStyle w:val="29"/>
              <w:tabs>
                <w:tab w:val="left" w:pos="0"/>
              </w:tabs>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（1）生态系统现状</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对本次规划区范围内的现场调查，可将项目所在区内的现状生态系统划分为5种主要类型，包括农田生态系统、林地生态系统、工业生态系统以及水域生态系统。其中农田生态系统和水域生态系统是目前规划范围内最主要的生态系统类型，规划片区内各生态系统特征及质量现状如下：</w:t>
            </w:r>
          </w:p>
          <w:p>
            <w:pPr>
              <w:pStyle w:val="29"/>
              <w:numPr>
                <w:ilvl w:val="0"/>
                <w:numId w:val="0"/>
              </w:numPr>
              <w:tabs>
                <w:tab w:val="left" w:pos="0"/>
              </w:tabs>
              <w:bidi w:val="0"/>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①农田生态系统</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农田主要在项目2#箱涵</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KA1+792.67~KA2+050.81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地表分布，</w:t>
            </w:r>
            <w:r>
              <w:rPr>
                <w:rFonts w:hint="eastAsia"/>
                <w:color w:val="000000" w:themeColor="text1"/>
                <w:lang w:val="en-US" w:eastAsia="zh-CN"/>
                <w14:textFill>
                  <w14:solidFill>
                    <w14:schemeClr w14:val="tx1"/>
                  </w14:solidFill>
                </w14:textFill>
              </w:rPr>
              <w:t>无人种植，处于废弃状态。农田生态系统是人类用来生产的半自然、半人工的生态系统，与周围其他生态系统的物质和能量交流较少，是一个相对孤立的系统，主要依靠人类的能量输入来保证其物质的输出。农田生态系统因受到强烈的人类干预，造成系统内土地利用方式十分单一，只能维持较短的食物链，因此系统内部物种多样性水平很低。从现场调查情况来看，整体生态系统的质量一般。</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119630" cy="1398270"/>
                  <wp:effectExtent l="0" t="0" r="13970" b="11430"/>
                  <wp:docPr id="8" name="图片 8" descr="IMG_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463"/>
                          <pic:cNvPicPr>
                            <a:picLocks noChangeAspect="1"/>
                          </pic:cNvPicPr>
                        </pic:nvPicPr>
                        <pic:blipFill>
                          <a:blip r:embed="rId14"/>
                          <a:srcRect l="89" t="13159" r="1614" b="-691"/>
                          <a:stretch>
                            <a:fillRect/>
                          </a:stretch>
                        </pic:blipFill>
                        <pic:spPr>
                          <a:xfrm>
                            <a:off x="0" y="0"/>
                            <a:ext cx="2119630" cy="1398270"/>
                          </a:xfrm>
                          <a:prstGeom prst="rect">
                            <a:avLst/>
                          </a:prstGeom>
                        </pic:spPr>
                      </pic:pic>
                    </a:graphicData>
                  </a:graphic>
                </wp:inline>
              </w:drawing>
            </w:r>
            <w:r>
              <w:rPr>
                <w:rFonts w:hint="eastAsia"/>
                <w:color w:val="000000" w:themeColor="text1"/>
                <w:lang w:val="en-US" w:eastAsia="zh-CN"/>
                <w14:textFill>
                  <w14:solidFill>
                    <w14:schemeClr w14:val="tx1"/>
                  </w14:solidFill>
                </w14:textFill>
              </w:rPr>
              <w:drawing>
                <wp:inline distT="0" distB="0" distL="114300" distR="114300">
                  <wp:extent cx="2227580" cy="1381125"/>
                  <wp:effectExtent l="0" t="0" r="1270" b="9525"/>
                  <wp:docPr id="15" name="图片 15" descr="IMG_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453"/>
                          <pic:cNvPicPr>
                            <a:picLocks noChangeAspect="1"/>
                          </pic:cNvPicPr>
                        </pic:nvPicPr>
                        <pic:blipFill>
                          <a:blip r:embed="rId15"/>
                          <a:srcRect l="10936" t="45908" r="40549" b="14010"/>
                          <a:stretch>
                            <a:fillRect/>
                          </a:stretch>
                        </pic:blipFill>
                        <pic:spPr>
                          <a:xfrm>
                            <a:off x="0" y="0"/>
                            <a:ext cx="2227580" cy="1381125"/>
                          </a:xfrm>
                          <a:prstGeom prst="rect">
                            <a:avLst/>
                          </a:prstGeom>
                        </pic:spPr>
                      </pic:pic>
                    </a:graphicData>
                  </a:graphic>
                </wp:inline>
              </w:drawing>
            </w:r>
          </w:p>
          <w:p>
            <w:pPr>
              <w:pStyle w:val="29"/>
              <w:tabs>
                <w:tab w:val="left" w:pos="0"/>
              </w:tabs>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图3-1 2#箱涵（</w:t>
            </w:r>
            <w:r>
              <w:rPr>
                <w:rFonts w:hint="default"/>
                <w:color w:val="000000" w:themeColor="text1"/>
                <w:lang w:val="en-US" w:eastAsia="zh-CN"/>
                <w14:textFill>
                  <w14:solidFill>
                    <w14:schemeClr w14:val="tx1"/>
                  </w14:solidFill>
                </w14:textFill>
              </w:rPr>
              <w:t>KA1+792.67~KA2+050.81</w:t>
            </w:r>
            <w:r>
              <w:rPr>
                <w:rFonts w:hint="eastAsia"/>
                <w:color w:val="000000" w:themeColor="text1"/>
                <w:lang w:val="en-US" w:eastAsia="zh-CN"/>
                <w14:textFill>
                  <w14:solidFill>
                    <w14:schemeClr w14:val="tx1"/>
                  </w14:solidFill>
                </w14:textFill>
              </w:rPr>
              <w:t>）地表农田</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②林地生态系统</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林地生态系统的主要是马尾松、杉木等的纯林或混交林，由毛竹、绿竹等构成的竹林；以及由油茶构成的油茶林。这些森林生态系统在维护区域生物多样性、构建区域景观格局、水土保持、涵养水资源、土壤环境保持等方面都有着较为重要的生态功能，同时系统还为鸟类、兽类、两栖爬行类动物提供了栖息场所，是评价区内生物多样性的基础。根据现场调查，隧洞中段部分地表现状为山地，所以植被等受人类活动的影响较少；隧洞进出口处多为茶园，受人类活动影响较大。</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270125" cy="1702435"/>
                  <wp:effectExtent l="0" t="0" r="15875" b="1206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16"/>
                          <a:srcRect t="21880" b="21880"/>
                          <a:stretch>
                            <a:fillRect/>
                          </a:stretch>
                        </pic:blipFill>
                        <pic:spPr>
                          <a:xfrm>
                            <a:off x="0" y="0"/>
                            <a:ext cx="2270125" cy="1702594"/>
                          </a:xfrm>
                          <a:prstGeom prst="rect">
                            <a:avLst/>
                          </a:prstGeom>
                        </pic:spPr>
                      </pic:pic>
                    </a:graphicData>
                  </a:graphic>
                </wp:inline>
              </w:drawing>
            </w:r>
            <w:r>
              <w:rPr>
                <w:rFonts w:hint="eastAsia"/>
                <w:color w:val="000000" w:themeColor="text1"/>
                <w:lang w:val="en-US" w:eastAsia="zh-CN"/>
                <w14:textFill>
                  <w14:solidFill>
                    <w14:schemeClr w14:val="tx1"/>
                  </w14:solidFill>
                </w14:textFill>
              </w:rPr>
              <w:drawing>
                <wp:inline distT="0" distB="0" distL="114300" distR="114300">
                  <wp:extent cx="2476500" cy="1691005"/>
                  <wp:effectExtent l="0" t="0" r="0" b="444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7"/>
                          <a:srcRect l="15548" t="15793" r="-215" b="467"/>
                          <a:stretch>
                            <a:fillRect/>
                          </a:stretch>
                        </pic:blipFill>
                        <pic:spPr>
                          <a:xfrm>
                            <a:off x="0" y="0"/>
                            <a:ext cx="2476500" cy="1691005"/>
                          </a:xfrm>
                          <a:prstGeom prst="rect">
                            <a:avLst/>
                          </a:prstGeom>
                        </pic:spPr>
                      </pic:pic>
                    </a:graphicData>
                  </a:graphic>
                </wp:inline>
              </w:drawing>
            </w:r>
          </w:p>
          <w:p>
            <w:pPr>
              <w:pStyle w:val="29"/>
              <w:tabs>
                <w:tab w:val="left" w:pos="0"/>
              </w:tabs>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图3-2 1#号隧洞</w:t>
            </w:r>
            <w:r>
              <w:rPr>
                <w:rFonts w:hint="eastAsia"/>
                <w:color w:val="000000" w:themeColor="text1"/>
                <w:lang w:eastAsia="zh-CN"/>
                <w14:textFill>
                  <w14:solidFill>
                    <w14:schemeClr w14:val="tx1"/>
                  </w14:solidFill>
                </w14:textFill>
              </w:rPr>
              <w:t>（</w:t>
            </w:r>
            <w:r>
              <w:rPr>
                <w:rFonts w:hint="default"/>
                <w:color w:val="000000" w:themeColor="text1"/>
                <w:lang w:eastAsia="zh-CN"/>
                <w14:textFill>
                  <w14:solidFill>
                    <w14:schemeClr w14:val="tx1"/>
                  </w14:solidFill>
                </w14:textFill>
              </w:rPr>
              <w:t>KA0+021.85~KA0+106.22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与2#隧洞（</w:t>
            </w:r>
            <w:r>
              <w:rPr>
                <w:rFonts w:hint="default"/>
                <w:color w:val="000000" w:themeColor="text1"/>
                <w:lang w:eastAsia="zh-CN"/>
                <w14:textFill>
                  <w14:solidFill>
                    <w14:schemeClr w14:val="tx1"/>
                  </w14:solidFill>
                </w14:textFill>
              </w:rPr>
              <w:t>KA0+248.49~ KA1+822.86</w:t>
            </w:r>
            <w:r>
              <w:rPr>
                <w:rFonts w:hint="eastAsia"/>
                <w:color w:val="000000" w:themeColor="text1"/>
                <w:lang w:val="en-US" w:eastAsia="zh-CN"/>
                <w14:textFill>
                  <w14:solidFill>
                    <w14:schemeClr w14:val="tx1"/>
                  </w14:solidFill>
                </w14:textFill>
              </w:rPr>
              <w:t>）地表林地</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③野生动物生态系统</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根据现场调查和查阅相关资料，项目区域未发现珍惜野生动物和需要特殊保护的野生动物，未发现重要的野生动物或鸟类的栖息地或繁殖地等敏感生境。</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区域内现有动物主要为对人类活动敏感性相对较低的鸟类（如麻雀、家燕、白头鹎等）、兽类（主要是啮齿目和食虫目的小型兽类，如东方田鼠、屋顶鼠、黑线姬鼠、小家鼠、社鼠、臭鼩等），对人类的敏感性较低，其中鼠类还多作为人类的伴生物种而出现；夜间在评价区范围内还可见到一些翼手目的物种。</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区内长期受到人类活动的影响，光照增加，使得评价区整体环境相对干燥，适于两栖动物生存的生境面积较小，区内两栖动物的种群数量都很小，较多见的是对环境耐受能力较强的蟾蜍类，如黑眶蟾蜍、中国石龙子、兰尾石龙子等，喜欢栖息于林缘路边的主要有赤链蛇、王锦蛇、原矛头蝮、草腹链蛇等。</w:t>
            </w:r>
          </w:p>
          <w:p>
            <w:pPr>
              <w:pStyle w:val="29"/>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④水域生态系统</w:t>
            </w:r>
          </w:p>
          <w:p>
            <w:pPr>
              <w:pStyle w:val="29"/>
              <w:tabs>
                <w:tab w:val="left" w:pos="0"/>
              </w:tabs>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现场走访河段附近的渔民和村民，了解到庙后溪旱季水流量很小，基本无鱼类分布，在涝季易造成洪灾，在其下游约600m处汇入硖门溪。硖门溪生物量较为丰富，常见的鱼类以鲫鱼为主，少见的鱼类还有鲤鱼、鲢鳙鱼。水域还可见到少量棘胸蛙、黑斑蛙等蛙类以及铅色水蛇和中国水蛇等，龟鳖类乌龟等，整个评价区段无保护鱼类分布，无鱼类“三场”分布。</w:t>
            </w:r>
          </w:p>
          <w:p>
            <w:pPr>
              <w:pStyle w:val="29"/>
              <w:numPr>
                <w:ilvl w:val="0"/>
                <w:numId w:val="3"/>
              </w:numPr>
              <w:tabs>
                <w:tab w:val="left" w:pos="0"/>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植被现状调查</w:t>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拟建项目位于福鼎市低矮丘陵地区，隶属中亚热带常绿阔叶林带，闽中东戴云山—鹫峰山脉常绿槠类照叶林小区，项目拟建隧洞</w:t>
            </w:r>
            <w:r>
              <w:rPr>
                <w:rFonts w:hint="eastAsia"/>
                <w:color w:val="000000" w:themeColor="text1"/>
                <w:lang w:val="en-US" w:eastAsia="zh-CN"/>
                <w14:textFill>
                  <w14:solidFill>
                    <w14:schemeClr w14:val="tx1"/>
                  </w14:solidFill>
                </w14:textFill>
              </w:rPr>
              <w:t>入口出口处</w:t>
            </w:r>
            <w:r>
              <w:rPr>
                <w:rFonts w:hint="default"/>
                <w:color w:val="000000" w:themeColor="text1"/>
                <w:lang w:val="en-US" w:eastAsia="zh-CN"/>
                <w14:textFill>
                  <w14:solidFill>
                    <w14:schemeClr w14:val="tx1"/>
                  </w14:solidFill>
                </w14:textFill>
              </w:rPr>
              <w:t>植被经过多年人工改造，形成了福建闽东丘陵地区常见的人工次生林、灌丛与经济作物园地交错分布的覆被现状，其中次生林地的植被类型以常绿阔叶和针叶混交林为主，常见植被有毛竹、马尾松林、杉树、楝树等；灌丛主要由</w:t>
            </w:r>
            <w:r>
              <w:rPr>
                <w:rFonts w:hint="eastAsia"/>
                <w:color w:val="000000" w:themeColor="text1"/>
                <w:lang w:val="en-US" w:eastAsia="zh-CN"/>
                <w14:textFill>
                  <w14:solidFill>
                    <w14:schemeClr w14:val="tx1"/>
                  </w14:solidFill>
                </w14:textFill>
              </w:rPr>
              <w:t>鬼针草</w:t>
            </w:r>
            <w:r>
              <w:rPr>
                <w:rFonts w:hint="default"/>
                <w:color w:val="000000" w:themeColor="text1"/>
                <w:lang w:val="en-US" w:eastAsia="zh-CN"/>
                <w14:textFill>
                  <w14:solidFill>
                    <w14:schemeClr w14:val="tx1"/>
                  </w14:solidFill>
                </w14:textFill>
              </w:rPr>
              <w:t>、野葛、五节芒等常见灌草丛组成；经济作物园林以福鼎市常见的茶园和黄栀子分布最为广泛。项目所在区域总体海拔跨度不大，植被分布没有表现出明显的垂直带谱。</w:t>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3610610</wp:posOffset>
                      </wp:positionH>
                      <wp:positionV relativeFrom="paragraph">
                        <wp:posOffset>2010410</wp:posOffset>
                      </wp:positionV>
                      <wp:extent cx="914400" cy="264795"/>
                      <wp:effectExtent l="0" t="0" r="0" b="0"/>
                      <wp:wrapNone/>
                      <wp:docPr id="23" name="文本框 23"/>
                      <wp:cNvGraphicFramePr/>
                      <a:graphic xmlns:a="http://schemas.openxmlformats.org/drawingml/2006/main">
                        <a:graphicData uri="http://schemas.microsoft.com/office/word/2010/wordprocessingShape">
                          <wps:wsp>
                            <wps:cNvSpPr txBox="1"/>
                            <wps:spPr>
                              <a:xfrm>
                                <a:off x="5091430" y="5469255"/>
                                <a:ext cx="91440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毛竹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3pt;margin-top:158.3pt;height:20.85pt;width:72pt;z-index:251665408;mso-width-relative:page;mso-height-relative:page;" filled="f" stroked="f" coordsize="21600,21600" o:gfxdata="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p9TLL2wAAAAsBAAAPAAAAAAAAAAEA&#10;IAAAACIAAABkcnMvZG93bnJldi54bWxQSwECFAAUAAAACACHTuJAj1SVoUUCAABzBAAADgAAAAAA&#10;AAABACAAAAAqAQAAZHJzL2Uyb0RvYy54bWxQSwUGAAAAAAYABgBZAQAA4QUAAAAA&#10;">
                      <v:fill on="f" focussize="0,0"/>
                      <v:stroke on="f" weight="0.5pt"/>
                      <v:imagedata o:title=""/>
                      <o:lock v:ext="edit" aspectratio="f"/>
                      <v:textbox>
                        <w:txbxContent>
                          <w:p>
                            <w:pPr>
                              <w:rPr>
                                <w:rFonts w:hint="eastAsia" w:eastAsia="宋体"/>
                                <w:lang w:val="en-US" w:eastAsia="zh-CN"/>
                              </w:rPr>
                            </w:pPr>
                            <w:r>
                              <w:rPr>
                                <w:rFonts w:hint="eastAsia"/>
                                <w:lang w:val="en-US" w:eastAsia="zh-CN"/>
                              </w:rPr>
                              <w:t>毛竹</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1166495</wp:posOffset>
                      </wp:positionH>
                      <wp:positionV relativeFrom="paragraph">
                        <wp:posOffset>2004695</wp:posOffset>
                      </wp:positionV>
                      <wp:extent cx="614680" cy="289560"/>
                      <wp:effectExtent l="0" t="0" r="0" b="0"/>
                      <wp:wrapNone/>
                      <wp:docPr id="22" name="文本框 22"/>
                      <wp:cNvGraphicFramePr/>
                      <a:graphic xmlns:a="http://schemas.openxmlformats.org/drawingml/2006/main">
                        <a:graphicData uri="http://schemas.microsoft.com/office/word/2010/wordprocessingShape">
                          <wps:wsp>
                            <wps:cNvSpPr txBox="1"/>
                            <wps:spPr>
                              <a:xfrm>
                                <a:off x="2207895" y="5408930"/>
                                <a:ext cx="614680" cy="289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梧桐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57.85pt;height:22.8pt;width:48.4pt;z-index:251664384;mso-width-relative:page;mso-height-relative:page;" filled="f" stroked="f" coordsize="21600,21600" o:gfxdata="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4/ai2wAAAAsBAAAPAAAAAAAA&#10;AAEAIAAAACIAAABkcnMvZG93bnJldi54bWxQSwECFAAUAAAACACHTuJAyWOpO0gCAABzBAAADgAA&#10;AAAAAAABACAAAAAqAQAAZHJzL2Uyb0RvYy54bWxQSwUGAAAAAAYABgBZAQAA5AUAAAAA&#10;">
                      <v:fill on="f" focussize="0,0"/>
                      <v:stroke on="f" weight="0.5pt"/>
                      <v:imagedata o:title=""/>
                      <o:lock v:ext="edit" aspectratio="f"/>
                      <v:textbox>
                        <w:txbxContent>
                          <w:p>
                            <w:pPr>
                              <w:rPr>
                                <w:rFonts w:hint="eastAsia" w:eastAsia="宋体"/>
                                <w:lang w:val="en-US" w:eastAsia="zh-CN"/>
                              </w:rPr>
                            </w:pPr>
                            <w:r>
                              <w:rPr>
                                <w:rFonts w:hint="eastAsia"/>
                                <w:lang w:val="en-US" w:eastAsia="zh-CN"/>
                              </w:rPr>
                              <w:t>梧桐</w:t>
                            </w:r>
                          </w:p>
                        </w:txbxContent>
                      </v:textbox>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2310765" cy="1979930"/>
                  <wp:effectExtent l="0" t="0" r="13335" b="1270"/>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18"/>
                          <a:srcRect l="10948" t="21490" r="8969" b="27052"/>
                          <a:stretch>
                            <a:fillRect/>
                          </a:stretch>
                        </pic:blipFill>
                        <pic:spPr>
                          <a:xfrm>
                            <a:off x="0" y="0"/>
                            <a:ext cx="2310765" cy="1979930"/>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2345055" cy="1971675"/>
                  <wp:effectExtent l="0" t="0" r="17145" b="9525"/>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9"/>
                          <a:srcRect l="1503" t="19197" r="539" b="24731"/>
                          <a:stretch>
                            <a:fillRect/>
                          </a:stretch>
                        </pic:blipFill>
                        <pic:spPr>
                          <a:xfrm>
                            <a:off x="0" y="0"/>
                            <a:ext cx="2345055" cy="1971675"/>
                          </a:xfrm>
                          <a:prstGeom prst="rect">
                            <a:avLst/>
                          </a:prstGeom>
                        </pic:spPr>
                      </pic:pic>
                    </a:graphicData>
                  </a:graphic>
                </wp:inline>
              </w:drawing>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3601720</wp:posOffset>
                      </wp:positionH>
                      <wp:positionV relativeFrom="paragraph">
                        <wp:posOffset>1946275</wp:posOffset>
                      </wp:positionV>
                      <wp:extent cx="1095375" cy="352425"/>
                      <wp:effectExtent l="0" t="0" r="0" b="0"/>
                      <wp:wrapNone/>
                      <wp:docPr id="27" name="文本框 27"/>
                      <wp:cNvGraphicFramePr/>
                      <a:graphic xmlns:a="http://schemas.openxmlformats.org/drawingml/2006/main">
                        <a:graphicData uri="http://schemas.microsoft.com/office/word/2010/wordprocessingShape">
                          <wps:wsp>
                            <wps:cNvSpPr txBox="1"/>
                            <wps:spPr>
                              <a:xfrm>
                                <a:off x="4753610" y="7661910"/>
                                <a:ext cx="109537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cs="Times New Roman"/>
                                      <w:color w:val="auto"/>
                                      <w:lang w:val="en-US" w:eastAsia="zh-CN"/>
                                    </w:rPr>
                                    <w:t>野葛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6pt;margin-top:153.25pt;height:27.75pt;width:86.25pt;z-index:251667456;mso-width-relative:page;mso-height-relative:page;" filled="f" stroked="f" coordsize="21600,21600" o:gfxdata="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r5RD7cAAAACwEAAA8AAAAA&#10;AAAAAQAgAAAAIgAAAGRycy9kb3ducmV2LnhtbFBLAQIUABQAAAAIAIdO4kDYSxl2SQIAAHQEAAAO&#10;AAAAAAAAAAEAIAAAACsBAABkcnMvZTJvRG9jLnhtbFBLBQYAAAAABgAGAFkBAADmBQAAAAA=&#10;">
                      <v:fill on="f" focussize="0,0"/>
                      <v:stroke on="f" weight="0.5pt"/>
                      <v:imagedata o:title=""/>
                      <o:lock v:ext="edit" aspectratio="f"/>
                      <v:textbox>
                        <w:txbxContent>
                          <w:p>
                            <w:r>
                              <w:rPr>
                                <w:rFonts w:hint="default" w:cs="Times New Roman"/>
                                <w:color w:val="auto"/>
                                <w:lang w:val="en-US" w:eastAsia="zh-CN"/>
                              </w:rPr>
                              <w:t>野葛</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1056640</wp:posOffset>
                      </wp:positionH>
                      <wp:positionV relativeFrom="paragraph">
                        <wp:posOffset>1943100</wp:posOffset>
                      </wp:positionV>
                      <wp:extent cx="839470" cy="322580"/>
                      <wp:effectExtent l="0" t="0" r="0" b="0"/>
                      <wp:wrapNone/>
                      <wp:docPr id="25" name="文本框 25"/>
                      <wp:cNvGraphicFramePr/>
                      <a:graphic xmlns:a="http://schemas.openxmlformats.org/drawingml/2006/main">
                        <a:graphicData uri="http://schemas.microsoft.com/office/word/2010/wordprocessingShape">
                          <wps:wsp>
                            <wps:cNvSpPr txBox="1"/>
                            <wps:spPr>
                              <a:xfrm>
                                <a:off x="2476500" y="7642860"/>
                                <a:ext cx="839470" cy="322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鬼针草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2pt;margin-top:153pt;height:25.4pt;width:66.1pt;z-index:251666432;mso-width-relative:page;mso-height-relative:page;" filled="f" stroked="f" coordsize="21600,21600" o:gfxdata="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ZmGGdsAAAALAQAADwAAAAAA&#10;AAABACAAAAAiAAAAZHJzL2Rvd25yZXYueG1sUEsBAhQAFAAAAAgAh07iQGpdQ8xJAgAAcwQAAA4A&#10;AAAAAAAAAQAgAAAAKgEAAGRycy9lMm9Eb2MueG1sUEsFBgAAAAAGAAYAWQEAAOUFAAAAAA==&#10;">
                      <v:fill on="f" focussize="0,0"/>
                      <v:stroke on="f" weight="0.5pt"/>
                      <v:imagedata o:title=""/>
                      <o:lock v:ext="edit" aspectratio="f"/>
                      <v:textbox>
                        <w:txbxContent>
                          <w:p>
                            <w:pPr>
                              <w:rPr>
                                <w:rFonts w:hint="eastAsia" w:eastAsia="宋体"/>
                                <w:lang w:val="en-US" w:eastAsia="zh-CN"/>
                              </w:rPr>
                            </w:pPr>
                            <w:r>
                              <w:rPr>
                                <w:rFonts w:hint="eastAsia"/>
                                <w:lang w:val="en-US" w:eastAsia="zh-CN"/>
                              </w:rPr>
                              <w:t>鬼针草</w:t>
                            </w:r>
                          </w:p>
                        </w:txbxContent>
                      </v:textbox>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2296160" cy="1867535"/>
                  <wp:effectExtent l="0" t="0" r="8890" b="18415"/>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20"/>
                          <a:srcRect t="27822" r="17537" b="21875"/>
                          <a:stretch>
                            <a:fillRect/>
                          </a:stretch>
                        </pic:blipFill>
                        <pic:spPr>
                          <a:xfrm>
                            <a:off x="0" y="0"/>
                            <a:ext cx="2296160" cy="1867535"/>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2346960" cy="1873885"/>
                  <wp:effectExtent l="0" t="0" r="15240" b="12065"/>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21"/>
                          <a:srcRect l="5383" t="7479" b="7"/>
                          <a:stretch>
                            <a:fillRect/>
                          </a:stretch>
                        </pic:blipFill>
                        <pic:spPr>
                          <a:xfrm>
                            <a:off x="0" y="0"/>
                            <a:ext cx="2346960" cy="1873885"/>
                          </a:xfrm>
                          <a:prstGeom prst="rect">
                            <a:avLst/>
                          </a:prstGeom>
                        </pic:spPr>
                      </pic:pic>
                    </a:graphicData>
                  </a:graphic>
                </wp:inline>
              </w:drawing>
            </w:r>
          </w:p>
          <w:p>
            <w:pPr>
              <w:pStyle w:val="29"/>
              <w:numPr>
                <w:ilvl w:val="0"/>
                <w:numId w:val="0"/>
              </w:numPr>
              <w:tabs>
                <w:tab w:val="left" w:pos="0"/>
              </w:tabs>
              <w:bidi w:val="0"/>
              <w:rPr>
                <w:rFonts w:hint="default"/>
                <w:color w:val="000000" w:themeColor="text1"/>
                <w:lang w:val="en-US" w:eastAsia="zh-CN"/>
                <w14:textFill>
                  <w14:solidFill>
                    <w14:schemeClr w14:val="tx1"/>
                  </w14:solidFill>
                </w14:textFill>
              </w:rPr>
            </w:pPr>
          </w:p>
          <w:p>
            <w:pPr>
              <w:pStyle w:val="29"/>
              <w:numPr>
                <w:ilvl w:val="0"/>
                <w:numId w:val="0"/>
              </w:numPr>
              <w:tabs>
                <w:tab w:val="left" w:pos="0"/>
              </w:tabs>
              <w:bidi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3620135</wp:posOffset>
                      </wp:positionH>
                      <wp:positionV relativeFrom="paragraph">
                        <wp:posOffset>1782445</wp:posOffset>
                      </wp:positionV>
                      <wp:extent cx="681355" cy="304800"/>
                      <wp:effectExtent l="0" t="0" r="0" b="0"/>
                      <wp:wrapNone/>
                      <wp:docPr id="31" name="文本框 31"/>
                      <wp:cNvGraphicFramePr/>
                      <a:graphic xmlns:a="http://schemas.openxmlformats.org/drawingml/2006/main">
                        <a:graphicData uri="http://schemas.microsoft.com/office/word/2010/wordprocessingShape">
                          <wps:wsp>
                            <wps:cNvSpPr txBox="1"/>
                            <wps:spPr>
                              <a:xfrm>
                                <a:off x="4978400" y="1129665"/>
                                <a:ext cx="6813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cs="Times New Roman"/>
                                      <w:color w:val="auto"/>
                                      <w:lang w:val="en-US" w:eastAsia="zh-CN"/>
                                    </w:rPr>
                                    <w:t>黄栀子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05pt;margin-top:140.35pt;height:24pt;width:53.65pt;z-index:251669504;mso-width-relative:page;mso-height-relative:page;" filled="f" stroked="f" coordsize="21600,21600" o:gfxdata="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c7unzcAAAACwEAAA8AAAAAAAAA&#10;AQAgAAAAIgAAAGRycy9kb3ducmV2LnhtbFBLAQIUABQAAAAIAIdO4kC3vtN9RgIAAHMEAAAOAAAA&#10;AAAAAAEAIAAAACsBAABkcnMvZTJvRG9jLnhtbFBLBQYAAAAABgAGAFkBAADjBQAAAAA=&#10;">
                      <v:fill on="f" focussize="0,0"/>
                      <v:stroke on="f" weight="0.5pt"/>
                      <v:imagedata o:title=""/>
                      <o:lock v:ext="edit" aspectratio="f"/>
                      <v:textbox>
                        <w:txbxContent>
                          <w:p>
                            <w:r>
                              <w:rPr>
                                <w:rFonts w:hint="default" w:cs="Times New Roman"/>
                                <w:color w:val="auto"/>
                                <w:lang w:val="en-US" w:eastAsia="zh-CN"/>
                              </w:rPr>
                              <w:t>黄栀子</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1012825</wp:posOffset>
                      </wp:positionH>
                      <wp:positionV relativeFrom="paragraph">
                        <wp:posOffset>1784350</wp:posOffset>
                      </wp:positionV>
                      <wp:extent cx="1247140" cy="304800"/>
                      <wp:effectExtent l="0" t="0" r="0" b="0"/>
                      <wp:wrapNone/>
                      <wp:docPr id="29" name="文本框 29"/>
                      <wp:cNvGraphicFramePr/>
                      <a:graphic xmlns:a="http://schemas.openxmlformats.org/drawingml/2006/main">
                        <a:graphicData uri="http://schemas.microsoft.com/office/word/2010/wordprocessingShape">
                          <wps:wsp>
                            <wps:cNvSpPr txBox="1"/>
                            <wps:spPr>
                              <a:xfrm>
                                <a:off x="1999615" y="1060450"/>
                                <a:ext cx="124714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五节芒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5pt;margin-top:140.5pt;height:24pt;width:98.2pt;z-index:251668480;mso-width-relative:page;mso-height-relative:page;" filled="f" stroked="f" coordsize="21600,21600" o:gfxdata="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mrbw2gAAAAsBAAAPAAAAAAAAAAEA&#10;IAAAACIAAABkcnMvZG93bnJldi54bWxQSwECFAAUAAAACACHTuJAIUD8w0YCAAB0BAAADgAAAAAA&#10;AAABACAAAAApAQAAZHJzL2Uyb0RvYy54bWxQSwUGAAAAAAYABgBZAQAA4QUAAAAA&#10;">
                      <v:fill on="f" focussize="0,0"/>
                      <v:stroke on="f" weight="0.5pt"/>
                      <v:imagedata o:title=""/>
                      <o:lock v:ext="edit" aspectratio="f"/>
                      <v:textbox>
                        <w:txbxContent>
                          <w:p>
                            <w:pPr>
                              <w:rPr>
                                <w:rFonts w:hint="eastAsia" w:eastAsia="宋体"/>
                                <w:lang w:val="en-US" w:eastAsia="zh-CN"/>
                              </w:rPr>
                            </w:pPr>
                            <w:r>
                              <w:rPr>
                                <w:rFonts w:hint="eastAsia"/>
                                <w:lang w:val="en-US" w:eastAsia="zh-CN"/>
                              </w:rPr>
                              <w:t>五节芒</w:t>
                            </w:r>
                          </w:p>
                        </w:txbxContent>
                      </v:textbox>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2320290" cy="1740535"/>
                  <wp:effectExtent l="0" t="0" r="3810" b="12065"/>
                  <wp:docPr id="28" name="图片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
                          <pic:cNvPicPr>
                            <a:picLocks noChangeAspect="1"/>
                          </pic:cNvPicPr>
                        </pic:nvPicPr>
                        <pic:blipFill>
                          <a:blip r:embed="rId22"/>
                          <a:srcRect l="10071" t="13674" r="-401" b="35519"/>
                          <a:stretch>
                            <a:fillRect/>
                          </a:stretch>
                        </pic:blipFill>
                        <pic:spPr>
                          <a:xfrm>
                            <a:off x="0" y="0"/>
                            <a:ext cx="2320290" cy="1740535"/>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2401570" cy="1750695"/>
                  <wp:effectExtent l="0" t="0" r="17780" b="1905"/>
                  <wp:docPr id="30" name="图片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
                          <pic:cNvPicPr>
                            <a:picLocks noChangeAspect="1"/>
                          </pic:cNvPicPr>
                        </pic:nvPicPr>
                        <pic:blipFill>
                          <a:blip r:embed="rId23"/>
                          <a:srcRect t="21875" b="21875"/>
                          <a:stretch>
                            <a:fillRect/>
                          </a:stretch>
                        </pic:blipFill>
                        <pic:spPr>
                          <a:xfrm>
                            <a:off x="0" y="0"/>
                            <a:ext cx="2401570" cy="1750695"/>
                          </a:xfrm>
                          <a:prstGeom prst="rect">
                            <a:avLst/>
                          </a:prstGeom>
                        </pic:spPr>
                      </pic:pic>
                    </a:graphicData>
                  </a:graphic>
                </wp:inline>
              </w:drawing>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p>
          <w:p>
            <w:pPr>
              <w:pStyle w:val="29"/>
              <w:numPr>
                <w:ilvl w:val="0"/>
                <w:numId w:val="3"/>
              </w:numPr>
              <w:tabs>
                <w:tab w:val="left" w:pos="0"/>
              </w:tabs>
              <w:bidi w:val="0"/>
              <w:ind w:left="0" w:leftChars="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项目所在流域现状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本项目所在地的主要溪流为硖门溪，</w:t>
            </w:r>
            <w:r>
              <w:rPr>
                <w:rFonts w:hint="default"/>
                <w:color w:val="000000" w:themeColor="text1"/>
                <w:lang w:val="en-US" w:eastAsia="zh-CN"/>
                <w14:textFill>
                  <w14:solidFill>
                    <w14:schemeClr w14:val="tx1"/>
                  </w14:solidFill>
                </w14:textFill>
              </w:rPr>
              <w:t>硖门溪发源与福鼎市秦屿镇孔坪村对面山头（海拔685.7m），由北向南流经外甲坪、霞浦境的三佛塔、松柏岗、湖头、后山村、在鼎霞交界处的瑞云村的八箩八入福鼎界，于霞浦县后洋村的洋尾纳入后洋支流，而后由西北向东南经七斗湾、刘厝里、硖门、于硖门海堤排涝闸注入东海，具濒海山区性河流水文特性，流域面积56.7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，河道长度21.57km，河道比降17.35‰。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庙后溪是硖门溪下游左岸</w:t>
            </w:r>
            <w:r>
              <w:rPr>
                <w:rFonts w:hint="eastAsia"/>
                <w:color w:val="000000" w:themeColor="text1"/>
                <w:lang w:val="en-US" w:eastAsia="zh-CN"/>
                <w14:textFill>
                  <w14:solidFill>
                    <w14:schemeClr w14:val="tx1"/>
                  </w14:solidFill>
                </w14:textFill>
              </w:rPr>
              <w:t>一条</w:t>
            </w:r>
            <w:r>
              <w:rPr>
                <w:rFonts w:hint="default"/>
                <w:color w:val="000000" w:themeColor="text1"/>
                <w:lang w:val="en-US" w:eastAsia="zh-CN"/>
                <w14:textFill>
                  <w14:solidFill>
                    <w14:schemeClr w14:val="tx1"/>
                  </w14:solidFill>
                </w14:textFill>
              </w:rPr>
              <w:t>支流，发源于坑里村，自西北向东南流经李家墓、后樟、下里洋、庙后村，于硖门村处汇入硖门溪。庙后溪流域面积4.68km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，河道长度3.74km，河道比降49.91‰；庙后溪支流下里洋溪流域面积0.68km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，河道长度1.34km，河道比降56.97‰。</w:t>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根据现场走访</w:t>
            </w:r>
            <w:r>
              <w:rPr>
                <w:rFonts w:hint="eastAsia"/>
                <w:color w:val="000000" w:themeColor="text1"/>
                <w:lang w:val="en-US" w:eastAsia="zh-CN"/>
                <w14:textFill>
                  <w14:solidFill>
                    <w14:schemeClr w14:val="tx1"/>
                  </w14:solidFill>
                </w14:textFill>
              </w:rPr>
              <w:t>调查及查询相关资料</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溪流中均分布当地常见的淡水鱼种，主要为</w:t>
            </w:r>
            <w:r>
              <w:rPr>
                <w:rFonts w:hint="default"/>
                <w:color w:val="000000" w:themeColor="text1"/>
                <w:lang w:val="en-US" w:eastAsia="zh-CN"/>
                <w14:textFill>
                  <w14:solidFill>
                    <w14:schemeClr w14:val="tx1"/>
                  </w14:solidFill>
                </w14:textFill>
              </w:rPr>
              <w:t>草鱼、青鱼、鲤鱼、鲢鱼、鲫鱼、黄颡鱼、厚唇鱼、侧条厚唇鱼、南方马口鱼、福建棒花鱼、长棒花鱼、黄鳝、鲶鱼、麦穗鱼等。</w:t>
            </w:r>
          </w:p>
          <w:p>
            <w:pPr>
              <w:pStyle w:val="29"/>
              <w:numPr>
                <w:ilvl w:val="0"/>
                <w:numId w:val="0"/>
              </w:numPr>
              <w:tabs>
                <w:tab w:val="left" w:pos="0"/>
              </w:tabs>
              <w:bidi w:val="0"/>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本项目2#箱涵地表有一条沟渠，其流量很小，</w:t>
            </w:r>
            <w:r>
              <w:rPr>
                <w:rFonts w:hint="default"/>
                <w:color w:val="000000" w:themeColor="text1"/>
                <w:lang w:val="en-US" w:eastAsia="zh-CN"/>
                <w14:textFill>
                  <w14:solidFill>
                    <w14:schemeClr w14:val="tx1"/>
                  </w14:solidFill>
                </w14:textFill>
              </w:rPr>
              <w:t>根据现场走访</w:t>
            </w:r>
            <w:r>
              <w:rPr>
                <w:rFonts w:hint="eastAsia"/>
                <w:color w:val="000000" w:themeColor="text1"/>
                <w:lang w:val="en-US" w:eastAsia="zh-CN"/>
                <w14:textFill>
                  <w14:solidFill>
                    <w14:schemeClr w14:val="tx1"/>
                  </w14:solidFill>
                </w14:textFill>
              </w:rPr>
              <w:t>调查水体中生物很少。</w:t>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3385820</wp:posOffset>
                      </wp:positionH>
                      <wp:positionV relativeFrom="paragraph">
                        <wp:posOffset>1652270</wp:posOffset>
                      </wp:positionV>
                      <wp:extent cx="914400" cy="300355"/>
                      <wp:effectExtent l="0" t="0" r="0" b="0"/>
                      <wp:wrapNone/>
                      <wp:docPr id="35" name="文本框 35"/>
                      <wp:cNvGraphicFramePr/>
                      <a:graphic xmlns:a="http://schemas.openxmlformats.org/drawingml/2006/main">
                        <a:graphicData uri="http://schemas.microsoft.com/office/word/2010/wordprocessingShape">
                          <wps:wsp>
                            <wps:cNvSpPr txBox="1"/>
                            <wps:spPr>
                              <a:xfrm>
                                <a:off x="4744720" y="7952105"/>
                                <a:ext cx="914400"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庙后溪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6pt;margin-top:130.1pt;height:23.65pt;width:72pt;z-index:251671552;mso-width-relative:page;mso-height-relative:page;" filled="f" stroked="f" coordsize="21600,21600" o:gfxdata="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JpwNPbAAAACwEAAA8AAAAAAAAA&#10;AQAgAAAAIgAAAGRycy9kb3ducmV2LnhtbFBLAQIUABQAAAAIAIdO4kB+s6sVRwIAAHMEAAAOAAAA&#10;AAAAAAEAIAAAACoBAABkcnMvZTJvRG9jLnhtbFBLBQYAAAAABgAGAFkBAADjBQAAAAA=&#10;">
                      <v:fill on="f" focussize="0,0"/>
                      <v:stroke on="f" weight="0.5pt"/>
                      <v:imagedata o:title=""/>
                      <o:lock v:ext="edit" aspectratio="f"/>
                      <v:textbox>
                        <w:txbxContent>
                          <w:p>
                            <w:pPr>
                              <w:rPr>
                                <w:rFonts w:hint="eastAsia" w:eastAsia="宋体"/>
                                <w:lang w:val="en-US" w:eastAsia="zh-CN"/>
                              </w:rPr>
                            </w:pPr>
                            <w:r>
                              <w:rPr>
                                <w:rFonts w:hint="eastAsia"/>
                                <w:lang w:val="en-US" w:eastAsia="zh-CN"/>
                              </w:rPr>
                              <w:t>庙后溪</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1012825</wp:posOffset>
                      </wp:positionH>
                      <wp:positionV relativeFrom="paragraph">
                        <wp:posOffset>1635125</wp:posOffset>
                      </wp:positionV>
                      <wp:extent cx="914400" cy="273050"/>
                      <wp:effectExtent l="0" t="0" r="0" b="0"/>
                      <wp:wrapNone/>
                      <wp:docPr id="34" name="文本框 34"/>
                      <wp:cNvGraphicFramePr/>
                      <a:graphic xmlns:a="http://schemas.openxmlformats.org/drawingml/2006/main">
                        <a:graphicData uri="http://schemas.microsoft.com/office/word/2010/wordprocessingShape">
                          <wps:wsp>
                            <wps:cNvSpPr txBox="1"/>
                            <wps:spPr>
                              <a:xfrm>
                                <a:off x="2510790" y="7926070"/>
                                <a:ext cx="91440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硖门溪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5pt;margin-top:128.75pt;height:21.5pt;width:72pt;z-index:251670528;mso-width-relative:page;mso-height-relative:page;" filled="f" stroked="f" coordsize="21600,21600" o:gfxdata="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ltykbZAAAACwEAAA8AAAAAAAAAAQAg&#10;AAAAIgAAAGRycy9kb3ducmV2LnhtbFBLAQIUABQAAAAIAIdO4kCzprHvRgIAAHMEAAAOAAAAAAAA&#10;AAEAIAAAACgBAABkcnMvZTJvRG9jLnhtbFBLBQYAAAAABgAGAFkBAADgBQAAAAA=&#10;">
                      <v:fill on="f" focussize="0,0"/>
                      <v:stroke on="f" weight="0.5pt"/>
                      <v:imagedata o:title=""/>
                      <o:lock v:ext="edit" aspectratio="f"/>
                      <v:textbox>
                        <w:txbxContent>
                          <w:p>
                            <w:pPr>
                              <w:rPr>
                                <w:rFonts w:hint="eastAsia" w:eastAsia="宋体"/>
                                <w:lang w:val="en-US" w:eastAsia="zh-CN"/>
                              </w:rPr>
                            </w:pPr>
                            <w:r>
                              <w:rPr>
                                <w:rFonts w:hint="eastAsia"/>
                                <w:lang w:val="en-US" w:eastAsia="zh-CN"/>
                              </w:rPr>
                              <w:t>硖门溪</w:t>
                            </w:r>
                          </w:p>
                        </w:txbxContent>
                      </v:textbox>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2150110" cy="1581150"/>
                  <wp:effectExtent l="0" t="0" r="2540" b="0"/>
                  <wp:docPr id="33" name="图片 33" descr="165529202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55292023998"/>
                          <pic:cNvPicPr>
                            <a:picLocks noChangeAspect="1"/>
                          </pic:cNvPicPr>
                        </pic:nvPicPr>
                        <pic:blipFill>
                          <a:blip r:embed="rId24"/>
                          <a:srcRect l="19464" t="11765" r="22766" b="2825"/>
                          <a:stretch>
                            <a:fillRect/>
                          </a:stretch>
                        </pic:blipFill>
                        <pic:spPr>
                          <a:xfrm>
                            <a:off x="0" y="0"/>
                            <a:ext cx="2150110" cy="1581150"/>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2189480" cy="1573530"/>
                  <wp:effectExtent l="0" t="0" r="1270" b="7620"/>
                  <wp:docPr id="32" name="图片 3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
                          <pic:cNvPicPr>
                            <a:picLocks noChangeAspect="1"/>
                          </pic:cNvPicPr>
                        </pic:nvPicPr>
                        <pic:blipFill>
                          <a:blip r:embed="rId25"/>
                          <a:srcRect l="12314" t="13648" r="1967" b="639"/>
                          <a:stretch>
                            <a:fillRect/>
                          </a:stretch>
                        </pic:blipFill>
                        <pic:spPr>
                          <a:xfrm>
                            <a:off x="0" y="0"/>
                            <a:ext cx="2189480" cy="1573530"/>
                          </a:xfrm>
                          <a:prstGeom prst="rect">
                            <a:avLst/>
                          </a:prstGeom>
                        </pic:spPr>
                      </pic:pic>
                    </a:graphicData>
                  </a:graphic>
                </wp:inline>
              </w:drawing>
            </w:r>
          </w:p>
          <w:p>
            <w:pPr>
              <w:pStyle w:val="29"/>
              <w:numPr>
                <w:ilvl w:val="0"/>
                <w:numId w:val="0"/>
              </w:numPr>
              <w:tabs>
                <w:tab w:val="left" w:pos="0"/>
              </w:tabs>
              <w:bidi w:val="0"/>
              <w:rPr>
                <w:rFonts w:hint="default"/>
                <w:color w:val="000000" w:themeColor="text1"/>
                <w:lang w:val="en-US" w:eastAsia="zh-CN"/>
                <w14:textFill>
                  <w14:solidFill>
                    <w14:schemeClr w14:val="tx1"/>
                  </w14:solidFill>
                </w14:textFill>
              </w:rPr>
            </w:pP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3532505</wp:posOffset>
                      </wp:positionH>
                      <wp:positionV relativeFrom="paragraph">
                        <wp:posOffset>1741805</wp:posOffset>
                      </wp:positionV>
                      <wp:extent cx="914400" cy="914400"/>
                      <wp:effectExtent l="0" t="0" r="0" b="0"/>
                      <wp:wrapNone/>
                      <wp:docPr id="39" name="文本框 39"/>
                      <wp:cNvGraphicFramePr/>
                      <a:graphic xmlns:a="http://schemas.openxmlformats.org/drawingml/2006/main">
                        <a:graphicData uri="http://schemas.microsoft.com/office/word/2010/wordprocessingShape">
                          <wps:wsp>
                            <wps:cNvSpPr txBox="1"/>
                            <wps:spPr>
                              <a:xfrm>
                                <a:off x="5082540" y="272986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沟渠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15pt;margin-top:137.15pt;height:72pt;width:72pt;z-index:251673600;mso-width-relative:page;mso-height-relative:page;" filled="f" stroked="f" coordsize="21600,21600" o:gfxdata="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Kt7w3AAAAAsBAAAPAAAAAAAAAAEA&#10;IAAAACIAAABkcnMvZG93bnJldi54bWxQSwECFAAUAAAACACHTuJAHjNooEQCAABzBAAADgAAAAAA&#10;AAABACAAAAArAQAAZHJzL2Uyb0RvYy54bWxQSwUGAAAAAAYABgBZAQAA4QUAAAAA&#10;">
                      <v:fill on="f" focussize="0,0"/>
                      <v:stroke on="f" weight="0.5pt"/>
                      <v:imagedata o:title=""/>
                      <o:lock v:ext="edit" aspectratio="f"/>
                      <v:textbox>
                        <w:txbxContent>
                          <w:p>
                            <w:pPr>
                              <w:rPr>
                                <w:rFonts w:hint="eastAsia" w:eastAsia="宋体"/>
                                <w:lang w:val="en-US" w:eastAsia="zh-CN"/>
                              </w:rPr>
                            </w:pPr>
                            <w:r>
                              <w:rPr>
                                <w:rFonts w:hint="eastAsia"/>
                                <w:lang w:val="en-US" w:eastAsia="zh-CN"/>
                              </w:rPr>
                              <w:t>沟渠</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1082040</wp:posOffset>
                      </wp:positionH>
                      <wp:positionV relativeFrom="paragraph">
                        <wp:posOffset>1750695</wp:posOffset>
                      </wp:positionV>
                      <wp:extent cx="957580" cy="282575"/>
                      <wp:effectExtent l="0" t="0" r="0" b="0"/>
                      <wp:wrapNone/>
                      <wp:docPr id="38" name="文本框 38"/>
                      <wp:cNvGraphicFramePr/>
                      <a:graphic xmlns:a="http://schemas.openxmlformats.org/drawingml/2006/main">
                        <a:graphicData uri="http://schemas.microsoft.com/office/word/2010/wordprocessingShape">
                          <wps:wsp>
                            <wps:cNvSpPr txBox="1"/>
                            <wps:spPr>
                              <a:xfrm>
                                <a:off x="2510790" y="2755900"/>
                                <a:ext cx="95758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庙后溪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2pt;margin-top:137.85pt;height:22.25pt;width:75.4pt;z-index:251672576;mso-width-relative:page;mso-height-relative:page;" filled="f" stroked="f" coordsize="21600,21600" o:gfxdata="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i87UXaAAAACwEAAA8AAAAAAAAAAQAg&#10;AAAAIgAAAGRycy9kb3ducmV2LnhtbFBLAQIUABQAAAAIAIdO4kDa71MrRQIAAHMEAAAOAAAAAAAA&#10;AAEAIAAAACkBAABkcnMvZTJvRG9jLnhtbFBLBQYAAAAABgAGAFkBAADgBQAAAAA=&#10;">
                      <v:fill on="f" focussize="0,0"/>
                      <v:stroke on="f" weight="0.5pt"/>
                      <v:imagedata o:title=""/>
                      <o:lock v:ext="edit" aspectratio="f"/>
                      <v:textbox>
                        <w:txbxContent>
                          <w:p>
                            <w:pPr>
                              <w:rPr>
                                <w:rFonts w:hint="eastAsia" w:eastAsia="宋体"/>
                                <w:lang w:val="en-US" w:eastAsia="zh-CN"/>
                              </w:rPr>
                            </w:pPr>
                            <w:r>
                              <w:rPr>
                                <w:rFonts w:hint="eastAsia"/>
                                <w:lang w:val="en-US" w:eastAsia="zh-CN"/>
                              </w:rPr>
                              <w:t>庙后溪</w:t>
                            </w:r>
                          </w:p>
                        </w:txbxContent>
                      </v:textbox>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2265680" cy="1699260"/>
                  <wp:effectExtent l="0" t="0" r="1270" b="15240"/>
                  <wp:docPr id="36" name="图片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0"/>
                          <pic:cNvPicPr>
                            <a:picLocks noChangeAspect="1"/>
                          </pic:cNvPicPr>
                        </pic:nvPicPr>
                        <pic:blipFill>
                          <a:blip r:embed="rId26"/>
                          <a:srcRect l="7856" t="42660" r="7881" b="681"/>
                          <a:stretch>
                            <a:fillRect/>
                          </a:stretch>
                        </pic:blipFill>
                        <pic:spPr>
                          <a:xfrm>
                            <a:off x="0" y="0"/>
                            <a:ext cx="2265680" cy="1699260"/>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2264410" cy="1697990"/>
                  <wp:effectExtent l="0" t="0" r="2540" b="16510"/>
                  <wp:docPr id="37"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
                          <pic:cNvPicPr>
                            <a:picLocks noChangeAspect="1"/>
                          </pic:cNvPicPr>
                        </pic:nvPicPr>
                        <pic:blipFill>
                          <a:blip r:embed="rId27"/>
                          <a:srcRect l="-163" t="39557" r="163" b="4193"/>
                          <a:stretch>
                            <a:fillRect/>
                          </a:stretch>
                        </pic:blipFill>
                        <pic:spPr>
                          <a:xfrm>
                            <a:off x="0" y="0"/>
                            <a:ext cx="2264410" cy="1697990"/>
                          </a:xfrm>
                          <a:prstGeom prst="rect">
                            <a:avLst/>
                          </a:prstGeom>
                        </pic:spPr>
                      </pic:pic>
                    </a:graphicData>
                  </a:graphic>
                </wp:inline>
              </w:drawing>
            </w:r>
          </w:p>
          <w:p>
            <w:pPr>
              <w:pStyle w:val="29"/>
              <w:numPr>
                <w:ilvl w:val="0"/>
                <w:numId w:val="0"/>
              </w:numPr>
              <w:tabs>
                <w:tab w:val="left" w:pos="0"/>
              </w:tabs>
              <w:bidi w:val="0"/>
              <w:ind w:firstLine="480" w:firstLineChars="200"/>
              <w:rPr>
                <w:rFonts w:hint="default"/>
                <w:color w:val="000000" w:themeColor="text1"/>
                <w:lang w:val="en-US" w:eastAsia="zh-CN"/>
                <w14:textFill>
                  <w14:solidFill>
                    <w14:schemeClr w14:val="tx1"/>
                  </w14:solidFill>
                </w14:textFill>
              </w:rPr>
            </w:pP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2.工程地质现状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（1）地形地貌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拟建工程场地处于鹫峰山东麓，太姥山脉斜贯东部，山脉走向大体呈北北东——南南西展布，总地势由西北往东南逐渐降低，山地、丘陵间夹着一些山间盆地。测区西部多为中低山地，峰顶海拔高程600～800m以上，山坡陡峭，沟谷纵横，形成各种峡谷。测区东部地带主要为低山丘陵，海拔高度一般在200～600m之间，亦有异峰凸起者，如福鼎的太姥山海拔917.3m，山间盆地沿各水系分布，面积一般小于5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区内河流发育，河流总体从西北流向东南，河流两岸山高谷深，河谷多呈“V”</w:t>
            </w:r>
            <w:r>
              <w:rPr>
                <w:rFonts w:hint="eastAsia"/>
                <w:color w:val="000000" w:themeColor="text1"/>
                <w:lang w:val="en-US" w:eastAsia="zh-CN"/>
                <w14:textFill>
                  <w14:solidFill>
                    <w14:schemeClr w14:val="tx1"/>
                  </w14:solidFill>
                </w14:textFill>
              </w:rPr>
              <w:t>字形</w:t>
            </w:r>
            <w:r>
              <w:rPr>
                <w:rFonts w:hint="default"/>
                <w:color w:val="000000" w:themeColor="text1"/>
                <w:lang w:val="en-US" w:eastAsia="zh-CN"/>
                <w14:textFill>
                  <w14:solidFill>
                    <w14:schemeClr w14:val="tx1"/>
                  </w14:solidFill>
                </w14:textFill>
              </w:rPr>
              <w:t>，河床多见基岩裸露，两岸山顶高程多在400～600m以上，山峰呈尖顶或平顶状，山坡坡度30°～70°，白琳刘坪山基岩出露较好，山坡基本稳定。溪沟切割深，岸坡陡峻，属构造侵蚀低山中陡坡地形。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本工程位于福鼎市硖门乡，工程区原始地貌特征以剥蚀残丘丘陵地貌单元为主，后人为活动改造，现主要为山丘、平整地或村庄。</w:t>
            </w:r>
          </w:p>
          <w:p>
            <w:pPr>
              <w:pStyle w:val="4"/>
              <w:ind w:firstLine="480" w:firstLineChars="200"/>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（2）地层岩性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区域内出露的主要地层有第四系全新统、白垩系下统石帽山群、侏罗系上统小溪组、南园组以及后期侵入的岩浆岩和脉岩。本区地层岩性由老至新分述如下：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①侏罗系小溪组（J3x）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小溪组为一套湖盆相沉积酸性火山屑沉积—火山喷出岩系，多出露于石帽山群盆地的外缘。根据接触关系、岩性、岩相组合及古生物特征可划分为上下两个岩性段。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小溪组上段（J3xb）：为一套酸性火山喷出岩系，岩性主要由浅灰色流纹质晶屑凝灰熔岩、紫灰色流纹质晶屑熔结凝灰岩及流纹岩组成。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小溪组下段（J3xa）：主要由一套酸性火山碎屑岩夹火山碎屑沉积岩组成，岩性为浅灰、灰色中—薄层状凝灰质砂岩、凝灰质粉砂岩、页岩夹硅质岩及少量流纹质玻屑凝灰岩。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小溪组地层主要在测区及其西北部出露，为本工程的主要岩性。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②侏罗系南园组（J3n）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南园组为测区内分布最广的地层单位，为一套巨厚层浅灰、灰、深灰、浅灰紫色中性、中酸性—酸性火山喷发岩系。据岩性组合、地层层序、接触关系及岩浆演化特点，可分为四个岩性段，测区内出露第二段（J3nb）和第三段（J3nc）。</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南园组第二段（J3nb）：是测区分布最广的地层单元之一，岩性主要由浅灰—灰白色流纹质晶屑凝灰熔岩、流纹质熔结凝灰岩、流纹岩、火山角砾岩、集块岩等组成。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南园组第三段（J3nc）：在测区中部广泛分布，岩性主要由深灰、灰白—灰黑色英安质、流纹质晶屑凝灰熔岩、晶屑熔结凝灰岩、英安岩、安山岩组成。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南园组地层主要在测区东北及西南部出露，工程区未见出露。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③侵入岩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本区侵入岩以燕山期侵入岩为主，主要岩性有：钾长花岗岩（ξγ53c）、石英正长斑岩（ξοπ53d）、含黑云母花岗岩（含晶洞）（γ53c）及后期侵入的花岗斑岩脉、辉绿岩脉、闪长岩脉和基性岩脉等。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④第四系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海积（Q4cm）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为灰、深灰色，</w:t>
            </w:r>
            <w:r>
              <w:rPr>
                <w:rFonts w:hint="eastAsia"/>
                <w:color w:val="000000" w:themeColor="text1"/>
                <w:lang w:val="en-US" w:eastAsia="zh-CN"/>
                <w14:textFill>
                  <w14:solidFill>
                    <w14:schemeClr w14:val="tx1"/>
                  </w14:solidFill>
                </w14:textFill>
              </w:rPr>
              <w:t>黏土</w:t>
            </w:r>
            <w:r>
              <w:rPr>
                <w:rFonts w:hint="default"/>
                <w:color w:val="000000" w:themeColor="text1"/>
                <w:lang w:val="en-US" w:eastAsia="zh-CN"/>
                <w14:textFill>
                  <w14:solidFill>
                    <w14:schemeClr w14:val="tx1"/>
                  </w14:solidFill>
                </w14:textFill>
              </w:rPr>
              <w:t>、淤泥及砂。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b</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冲洪积（Q4cal+pl）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主要分布于海积层下部及沿岸两侧的一级冲洪积阶地上，其次分布于河床、河漫滩上，上部为灰色、灰黄色砂质</w:t>
            </w:r>
            <w:r>
              <w:rPr>
                <w:rFonts w:hint="eastAsia"/>
                <w:color w:val="000000" w:themeColor="text1"/>
                <w:lang w:val="en-US" w:eastAsia="zh-CN"/>
                <w14:textFill>
                  <w14:solidFill>
                    <w14:schemeClr w14:val="tx1"/>
                  </w14:solidFill>
                </w14:textFill>
              </w:rPr>
              <w:t>黏土</w:t>
            </w:r>
            <w:r>
              <w:rPr>
                <w:rFonts w:hint="default"/>
                <w:color w:val="000000" w:themeColor="text1"/>
                <w:lang w:val="en-US" w:eastAsia="zh-CN"/>
                <w14:textFill>
                  <w14:solidFill>
                    <w14:schemeClr w14:val="tx1"/>
                  </w14:solidFill>
                </w14:textFill>
              </w:rPr>
              <w:t>，下部为松散的砂卵石层。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c</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坡残积（Q4cdl+el）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分布于坡地及山包，为砂质</w:t>
            </w:r>
            <w:r>
              <w:rPr>
                <w:rFonts w:hint="eastAsia"/>
                <w:color w:val="000000" w:themeColor="text1"/>
                <w:lang w:val="en-US" w:eastAsia="zh-CN"/>
                <w14:textFill>
                  <w14:solidFill>
                    <w14:schemeClr w14:val="tx1"/>
                  </w14:solidFill>
                </w14:textFill>
              </w:rPr>
              <w:t>黏土</w:t>
            </w:r>
            <w:r>
              <w:rPr>
                <w:rFonts w:hint="default"/>
                <w:color w:val="000000" w:themeColor="text1"/>
                <w:lang w:val="en-US" w:eastAsia="zh-CN"/>
                <w14:textFill>
                  <w14:solidFill>
                    <w14:schemeClr w14:val="tx1"/>
                  </w14:solidFill>
                </w14:textFill>
              </w:rPr>
              <w:t>。</w:t>
            </w:r>
          </w:p>
          <w:p>
            <w:pPr>
              <w:pStyle w:val="29"/>
              <w:numPr>
                <w:ilvl w:val="0"/>
                <w:numId w:val="4"/>
              </w:numPr>
              <w:tabs>
                <w:tab w:val="left" w:pos="0"/>
              </w:tabs>
              <w:bidi w:val="0"/>
              <w:ind w:left="24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水文</w:t>
            </w:r>
          </w:p>
          <w:p>
            <w:pPr>
              <w:pStyle w:val="29"/>
              <w:numPr>
                <w:ilvl w:val="0"/>
                <w:numId w:val="0"/>
              </w:numPr>
              <w:tabs>
                <w:tab w:val="left" w:pos="0"/>
              </w:tabs>
              <w:bidi w:val="0"/>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硖门溪发源于福鼎市秦屿镇孔坪村对面山头（海拔685.7m），由北向南流经外甲坪、霞浦境的三佛塔、松柏岗、湖头、后山村，在鼎霞交界处的瑞云村瑞云水库入福鼎界，于霞浦县后洋村的洋尾纳入后洋支流，而后由西北向东南经七斗湾、刘厝里、硖门、于硖门海堤排涝闸注入东海，具濒海山区性河流水文特性，流域面积56.7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，河道长度21.6km。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庙后溪是硖门溪下游左岸</w:t>
            </w:r>
            <w:r>
              <w:rPr>
                <w:rFonts w:hint="eastAsia"/>
                <w:color w:val="000000" w:themeColor="text1"/>
                <w:lang w:val="en-US" w:eastAsia="zh-CN"/>
                <w14:textFill>
                  <w14:solidFill>
                    <w14:schemeClr w14:val="tx1"/>
                  </w14:solidFill>
                </w14:textFill>
              </w:rPr>
              <w:t>一条</w:t>
            </w:r>
            <w:r>
              <w:rPr>
                <w:rFonts w:hint="default"/>
                <w:color w:val="000000" w:themeColor="text1"/>
                <w:lang w:val="en-US" w:eastAsia="zh-CN"/>
                <w14:textFill>
                  <w14:solidFill>
                    <w14:schemeClr w14:val="tx1"/>
                  </w14:solidFill>
                </w14:textFill>
              </w:rPr>
              <w:t>支流，发源于坑里村，自西北向东南流经李家墓、后樟、下里洋、庙后村，于硖门村处汇入硖门溪，流域面积4.68km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，河道长度3.74km</w:t>
            </w:r>
            <w:r>
              <w:rPr>
                <w:rFonts w:hint="eastAsia"/>
                <w:color w:val="000000" w:themeColor="text1"/>
                <w:lang w:val="en-US" w:eastAsia="zh-CN"/>
                <w14:textFill>
                  <w14:solidFill>
                    <w14:schemeClr w14:val="tx1"/>
                  </w14:solidFill>
                </w14:textFill>
              </w:rPr>
              <w:t>。</w:t>
            </w:r>
          </w:p>
          <w:p>
            <w:pPr>
              <w:pStyle w:val="29"/>
              <w:numPr>
                <w:ilvl w:val="0"/>
                <w:numId w:val="0"/>
              </w:numPr>
              <w:tabs>
                <w:tab w:val="left" w:pos="0"/>
              </w:tabs>
              <w:bidi w:val="0"/>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本区地下水类型包括孔隙潜水及裂隙潜水等。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孔隙潜水主要赋存于第四系松散堆积物中，水量一般较为丰富，地下水的储存、循环条件较好，孔隙水的水位较高，一般地下水埋深1.0～5.0m，孔隙水主要接受大气降水补给，地下水补给区到排泄区距离一般不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lang w:eastAsia="zh-CN"/>
                <w14:textFill>
                  <w14:solidFill>
                    <w14:schemeClr w14:val="tx1"/>
                  </w14:solidFill>
                </w14:textFill>
              </w:rPr>
            </w:pPr>
            <w:r>
              <w:rPr>
                <w:rFonts w:hint="default"/>
                <w:color w:val="000000" w:themeColor="text1"/>
                <w:lang w:val="en-US" w:eastAsia="zh-CN"/>
                <w14:textFill>
                  <w14:solidFill>
                    <w14:schemeClr w14:val="tx1"/>
                  </w14:solidFill>
                </w14:textFill>
              </w:rPr>
              <w:t>裂隙潜水主要赋存于基岩裂隙中，地下水埋深一般可达5～15m，主要接受其上部孔隙水或高处裂隙水补给，向低处排泄。</w:t>
            </w:r>
          </w:p>
          <w:p>
            <w:pPr>
              <w:pStyle w:val="4"/>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3.环境质量现状</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3.1地表水环境现状</w:t>
            </w:r>
          </w:p>
          <w:p>
            <w:pPr>
              <w:widowControl w:val="0"/>
              <w:bidi w:val="0"/>
              <w:spacing w:line="360" w:lineRule="auto"/>
              <w:ind w:firstLine="480" w:firstLineChars="200"/>
              <w:jc w:val="both"/>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为了解区域水环境质量现状，本评价引用</w:t>
            </w:r>
            <w:r>
              <w:rPr>
                <w:rFonts w:hint="eastAsia"/>
                <w:color w:val="000000" w:themeColor="text1"/>
                <w:lang w:val="en-US" w:eastAsia="zh-CN"/>
                <w14:textFill>
                  <w14:solidFill>
                    <w14:schemeClr w14:val="tx1"/>
                  </w14:solidFill>
                </w14:textFill>
              </w:rPr>
              <w:t>福建晟立检测技术有限公司于2020年9月对硖门溪（硖门海堤水闸）监测断面的监测数据，</w:t>
            </w:r>
            <w:r>
              <w:rPr>
                <w:rFonts w:hint="default"/>
                <w:color w:val="000000" w:themeColor="text1"/>
                <w:lang w:val="en-US" w:eastAsia="zh-CN"/>
                <w14:textFill>
                  <w14:solidFill>
                    <w14:schemeClr w14:val="tx1"/>
                  </w14:solidFill>
                </w14:textFill>
              </w:rPr>
              <w:t>监测因子见表</w:t>
            </w:r>
            <w:r>
              <w:rPr>
                <w:rFonts w:hint="eastAsia"/>
                <w:color w:val="000000" w:themeColor="text1"/>
                <w:lang w:val="en-US" w:eastAsia="zh-CN"/>
                <w14:textFill>
                  <w14:solidFill>
                    <w14:schemeClr w14:val="tx1"/>
                  </w14:solidFill>
                </w14:textFill>
              </w:rPr>
              <w:t>3-1。监测点位见附图4。</w:t>
            </w:r>
          </w:p>
          <w:p>
            <w:pPr>
              <w:pStyle w:val="23"/>
              <w:numPr>
                <w:ilvl w:val="7"/>
                <w:numId w:val="0"/>
              </w:numPr>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表3-1</w:t>
            </w:r>
            <w:r>
              <w:rPr>
                <w:rFonts w:hint="default"/>
                <w:color w:val="000000" w:themeColor="text1"/>
                <w14:textFill>
                  <w14:solidFill>
                    <w14:schemeClr w14:val="tx1"/>
                  </w14:solidFill>
                </w14:textFill>
              </w:rPr>
              <w:t>地表水监测点位</w:t>
            </w:r>
          </w:p>
          <w:tbl>
            <w:tblPr>
              <w:tblStyle w:val="18"/>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1266"/>
              <w:gridCol w:w="1560"/>
              <w:gridCol w:w="222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70" w:type="dxa"/>
                  <w:tcBorders>
                    <w:top w:val="single" w:color="auto" w:sz="12" w:space="0"/>
                    <w:left w:val="nil"/>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断面</w:t>
                  </w:r>
                  <w:r>
                    <w:rPr>
                      <w:rFonts w:hint="default"/>
                      <w:color w:val="000000" w:themeColor="text1"/>
                      <w:sz w:val="21"/>
                      <w:szCs w:val="21"/>
                      <w14:textFill>
                        <w14:solidFill>
                          <w14:schemeClr w14:val="tx1"/>
                        </w14:solidFill>
                      </w14:textFill>
                    </w:rPr>
                    <w:t>名称</w:t>
                  </w:r>
                </w:p>
              </w:tc>
              <w:tc>
                <w:tcPr>
                  <w:tcW w:w="1266" w:type="dxa"/>
                  <w:tcBorders>
                    <w:top w:val="single" w:color="auto" w:sz="12" w:space="0"/>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水体名称</w:t>
                  </w:r>
                </w:p>
              </w:tc>
              <w:tc>
                <w:tcPr>
                  <w:tcW w:w="1560" w:type="dxa"/>
                  <w:tcBorders>
                    <w:top w:val="single" w:color="auto" w:sz="12" w:space="0"/>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监测</w:t>
                  </w:r>
                  <w:r>
                    <w:rPr>
                      <w:rFonts w:hint="eastAsia"/>
                      <w:color w:val="000000" w:themeColor="text1"/>
                      <w:sz w:val="21"/>
                      <w:szCs w:val="21"/>
                      <w:lang w:val="en-US" w:eastAsia="zh-CN"/>
                      <w14:textFill>
                        <w14:solidFill>
                          <w14:schemeClr w14:val="tx1"/>
                        </w14:solidFill>
                      </w14:textFill>
                    </w:rPr>
                    <w:t>断面</w:t>
                  </w:r>
                </w:p>
              </w:tc>
              <w:tc>
                <w:tcPr>
                  <w:tcW w:w="2222" w:type="dxa"/>
                  <w:tcBorders>
                    <w:top w:val="single" w:color="auto" w:sz="12" w:space="0"/>
                    <w:right w:val="nil"/>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监测因子</w:t>
                  </w:r>
                </w:p>
              </w:tc>
              <w:tc>
                <w:tcPr>
                  <w:tcW w:w="1420" w:type="dxa"/>
                  <w:tcBorders>
                    <w:top w:val="single" w:color="auto" w:sz="12" w:space="0"/>
                    <w:right w:val="nil"/>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70" w:type="dxa"/>
                  <w:tcBorders>
                    <w:left w:val="nil"/>
                    <w:bottom w:val="single" w:color="auto" w:sz="12" w:space="0"/>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W</w:t>
                  </w:r>
                  <w:r>
                    <w:rPr>
                      <w:rFonts w:hint="eastAsia"/>
                      <w:color w:val="000000" w:themeColor="text1"/>
                      <w:sz w:val="21"/>
                      <w:szCs w:val="21"/>
                      <w:lang w:val="en-US" w:eastAsia="zh-CN"/>
                      <w14:textFill>
                        <w14:solidFill>
                          <w14:schemeClr w14:val="tx1"/>
                        </w14:solidFill>
                      </w14:textFill>
                    </w:rPr>
                    <w:t>1</w:t>
                  </w:r>
                </w:p>
              </w:tc>
              <w:tc>
                <w:tcPr>
                  <w:tcW w:w="1266" w:type="dxa"/>
                  <w:tcBorders>
                    <w:bottom w:val="single" w:color="auto" w:sz="12" w:space="0"/>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硖门溪</w:t>
                  </w:r>
                </w:p>
              </w:tc>
              <w:tc>
                <w:tcPr>
                  <w:tcW w:w="1560" w:type="dxa"/>
                  <w:tcBorders>
                    <w:bottom w:val="single" w:color="auto" w:sz="12" w:space="0"/>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硖门海堤水闸</w:t>
                  </w:r>
                </w:p>
              </w:tc>
              <w:tc>
                <w:tcPr>
                  <w:tcW w:w="2222" w:type="dxa"/>
                  <w:tcBorders>
                    <w:bottom w:val="single" w:color="auto" w:sz="12" w:space="0"/>
                    <w:right w:val="nil"/>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pH</w:t>
                  </w:r>
                  <w:r>
                    <w:rPr>
                      <w:rFonts w:hint="default"/>
                      <w:color w:val="000000" w:themeColor="text1"/>
                      <w:sz w:val="21"/>
                      <w:szCs w:val="21"/>
                      <w:lang w:val="en-US" w:eastAsia="zh-CN"/>
                      <w14:textFill>
                        <w14:solidFill>
                          <w14:schemeClr w14:val="tx1"/>
                        </w14:solidFill>
                      </w14:textFill>
                    </w:rPr>
                    <w:t>、COD、</w:t>
                  </w:r>
                  <w:r>
                    <w:rPr>
                      <w:rFonts w:hint="eastAsia"/>
                      <w:color w:val="000000" w:themeColor="text1"/>
                      <w:sz w:val="21"/>
                      <w:szCs w:val="21"/>
                      <w:lang w:val="en-US" w:eastAsia="zh-CN"/>
                      <w14:textFill>
                        <w14:solidFill>
                          <w14:schemeClr w14:val="tx1"/>
                        </w14:solidFill>
                      </w14:textFill>
                    </w:rPr>
                    <w:t>溶解氧</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氨氮</w:t>
                  </w:r>
                  <w:r>
                    <w:rPr>
                      <w:rFonts w:hint="default"/>
                      <w:color w:val="000000" w:themeColor="text1"/>
                      <w:sz w:val="21"/>
                      <w:szCs w:val="21"/>
                      <w:lang w:val="en-US" w:eastAsia="zh-CN"/>
                      <w14:textFill>
                        <w14:solidFill>
                          <w14:schemeClr w14:val="tx1"/>
                        </w14:solidFill>
                      </w14:textFill>
                    </w:rPr>
                    <w:t>、总磷、</w:t>
                  </w:r>
                </w:p>
              </w:tc>
              <w:tc>
                <w:tcPr>
                  <w:tcW w:w="1420" w:type="dxa"/>
                  <w:tcBorders>
                    <w:bottom w:val="single" w:color="auto" w:sz="12" w:space="0"/>
                    <w:right w:val="nil"/>
                  </w:tcBorders>
                  <w:vAlign w:val="center"/>
                </w:tcPr>
                <w:p>
                  <w:pPr>
                    <w:keepNext w:val="0"/>
                    <w:keepLines w:val="0"/>
                    <w:pageBreakBefore w:val="0"/>
                    <w:shd w:val="clear" w:color="auto" w:fill="auto"/>
                    <w:kinsoku/>
                    <w:wordWrap/>
                    <w:overflowPunct/>
                    <w:topLinePunct w:val="0"/>
                    <w:autoSpaceDE/>
                    <w:autoSpaceDN/>
                    <w:bidi w:val="0"/>
                    <w:adjustRightInd w:val="0"/>
                    <w:snapToGrid w:val="0"/>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庙后溪下游1543m处</w:t>
                  </w:r>
                </w:p>
              </w:tc>
            </w:tr>
          </w:tbl>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水质现状监测结果及评价</w:t>
            </w:r>
          </w:p>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①评价标准</w:t>
            </w:r>
          </w:p>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项目所在区域的水域执行《地表水环境质量标准》（GB3838-2002）Ⅲ类标准。</w:t>
            </w:r>
          </w:p>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②评价方法</w:t>
            </w:r>
          </w:p>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地表水现状评价采用单项水质参数评价模式，在各项水质参数评价中，对某一水质参数的现状浓度采用多次监测的平均浓度值。单因子污染指数计算公式为：</w:t>
            </w:r>
          </w:p>
          <w:p>
            <w:pPr>
              <w:spacing w:line="360" w:lineRule="auto"/>
              <w:ind w:firstLine="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914400" cy="228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914400" cy="228600"/>
                          </a:xfrm>
                          <a:prstGeom prst="rect">
                            <a:avLst/>
                          </a:prstGeom>
                          <a:noFill/>
                          <a:ln>
                            <a:noFill/>
                          </a:ln>
                        </pic:spPr>
                      </pic:pic>
                    </a:graphicData>
                  </a:graphic>
                </wp:inline>
              </w:drawing>
            </w:r>
          </w:p>
          <w:p>
            <w:pPr>
              <w:spacing w:line="360" w:lineRule="auto"/>
              <w:ind w:firstLine="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式中：S</w:t>
            </w:r>
            <w:r>
              <w:rPr>
                <w:rFonts w:hint="default"/>
                <w:color w:val="000000" w:themeColor="text1"/>
                <w:vertAlign w:val="subscript"/>
                <w14:textFill>
                  <w14:solidFill>
                    <w14:schemeClr w14:val="tx1"/>
                  </w14:solidFill>
                </w14:textFill>
              </w:rPr>
              <w:t>ij</w:t>
            </w:r>
            <w:r>
              <w:rPr>
                <w:rFonts w:hint="default"/>
                <w:color w:val="000000" w:themeColor="text1"/>
                <w14:textFill>
                  <w14:solidFill>
                    <w14:schemeClr w14:val="tx1"/>
                  </w14:solidFill>
                </w14:textFill>
              </w:rPr>
              <w:t>——第i种污染物在第j点的标准指数；</w:t>
            </w:r>
          </w:p>
          <w:p>
            <w:pPr>
              <w:spacing w:line="360" w:lineRule="auto"/>
              <w:ind w:firstLine="720" w:firstLineChars="3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w:t>
            </w:r>
            <w:r>
              <w:rPr>
                <w:rFonts w:hint="default"/>
                <w:color w:val="000000" w:themeColor="text1"/>
                <w:vertAlign w:val="subscript"/>
                <w14:textFill>
                  <w14:solidFill>
                    <w14:schemeClr w14:val="tx1"/>
                  </w14:solidFill>
                </w14:textFill>
              </w:rPr>
              <w:t>i</w:t>
            </w:r>
            <w:r>
              <w:rPr>
                <w:rFonts w:hint="default"/>
                <w:color w:val="000000" w:themeColor="text1"/>
                <w14:textFill>
                  <w14:solidFill>
                    <w14:schemeClr w14:val="tx1"/>
                  </w14:solidFill>
                </w14:textFill>
              </w:rPr>
              <w:t>j——第i种污染物在第j点的监测平均浓度值，mg/L；</w:t>
            </w:r>
          </w:p>
          <w:p>
            <w:pPr>
              <w:spacing w:line="360" w:lineRule="auto"/>
              <w:ind w:firstLine="720" w:firstLineChars="3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w:t>
            </w:r>
            <w:r>
              <w:rPr>
                <w:rFonts w:hint="default"/>
                <w:color w:val="000000" w:themeColor="text1"/>
                <w:vertAlign w:val="subscript"/>
                <w14:textFill>
                  <w14:solidFill>
                    <w14:schemeClr w14:val="tx1"/>
                  </w14:solidFill>
                </w14:textFill>
              </w:rPr>
              <w:t>sj</w:t>
            </w:r>
            <w:r>
              <w:rPr>
                <w:rFonts w:hint="default"/>
                <w:color w:val="000000" w:themeColor="text1"/>
                <w14:textFill>
                  <w14:solidFill>
                    <w14:schemeClr w14:val="tx1"/>
                  </w14:solidFill>
                </w14:textFill>
              </w:rPr>
              <w:t>——第i种污染物的地表水水质标准值，mg/L；</w:t>
            </w:r>
          </w:p>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其中pH为：</w:t>
            </w:r>
          </w:p>
          <w:p>
            <w:pPr>
              <w:spacing w:line="360" w:lineRule="auto"/>
              <w:ind w:firstLine="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228090" cy="457200"/>
                  <wp:effectExtent l="0" t="0" r="1016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1228090" cy="457200"/>
                          </a:xfrm>
                          <a:prstGeom prst="rect">
                            <a:avLst/>
                          </a:prstGeom>
                          <a:noFill/>
                          <a:ln>
                            <a:noFill/>
                          </a:ln>
                        </pic:spPr>
                      </pic:pic>
                    </a:graphicData>
                  </a:graphic>
                </wp:inline>
              </w:drawing>
            </w:r>
            <w:r>
              <w:rPr>
                <w:rFonts w:hint="default"/>
                <w:color w:val="000000" w:themeColor="text1"/>
                <w14:textFill>
                  <w14:solidFill>
                    <w14:schemeClr w14:val="tx1"/>
                  </w14:solidFill>
                </w14:textFill>
              </w:rPr>
              <w:t>（pHj≤7.0）</w:t>
            </w:r>
          </w:p>
          <w:p>
            <w:pPr>
              <w:spacing w:line="360" w:lineRule="auto"/>
              <w:ind w:firstLine="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219200" cy="4572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1219200" cy="457200"/>
                          </a:xfrm>
                          <a:prstGeom prst="rect">
                            <a:avLst/>
                          </a:prstGeom>
                          <a:noFill/>
                          <a:ln>
                            <a:noFill/>
                          </a:ln>
                        </pic:spPr>
                      </pic:pic>
                    </a:graphicData>
                  </a:graphic>
                </wp:inline>
              </w:drawing>
            </w:r>
            <w:r>
              <w:rPr>
                <w:rFonts w:hint="default"/>
                <w:color w:val="000000" w:themeColor="text1"/>
                <w14:textFill>
                  <w14:solidFill>
                    <w14:schemeClr w14:val="tx1"/>
                  </w14:solidFill>
                </w14:textFill>
              </w:rPr>
              <w:t>（pHj＞7.0）</w:t>
            </w:r>
          </w:p>
          <w:p>
            <w:pPr>
              <w:spacing w:line="360" w:lineRule="auto"/>
              <w:ind w:firstLine="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式中：S</w:t>
            </w:r>
            <w:r>
              <w:rPr>
                <w:rFonts w:hint="default"/>
                <w:color w:val="000000" w:themeColor="text1"/>
                <w:vertAlign w:val="subscript"/>
                <w14:textFill>
                  <w14:solidFill>
                    <w14:schemeClr w14:val="tx1"/>
                  </w14:solidFill>
                </w14:textFill>
              </w:rPr>
              <w:t>pH</w:t>
            </w:r>
            <w:r>
              <w:rPr>
                <w:rFonts w:hint="eastAsia"/>
                <w:color w:val="000000" w:themeColor="text1"/>
                <w:vertAlign w:val="subscript"/>
                <w:lang w:eastAsia="zh-CN"/>
                <w14:textFill>
                  <w14:solidFill>
                    <w14:schemeClr w14:val="tx1"/>
                  </w14:solidFill>
                </w14:textFill>
              </w:rPr>
              <w:t>，</w:t>
            </w:r>
            <w:r>
              <w:rPr>
                <w:rFonts w:hint="default"/>
                <w:color w:val="000000" w:themeColor="text1"/>
                <w:vertAlign w:val="subscript"/>
                <w14:textFill>
                  <w14:solidFill>
                    <w14:schemeClr w14:val="tx1"/>
                  </w14:solidFill>
                </w14:textFill>
              </w:rPr>
              <w:t>j</w:t>
            </w:r>
            <w:r>
              <w:rPr>
                <w:rFonts w:hint="default"/>
                <w:color w:val="000000" w:themeColor="text1"/>
                <w14:textFill>
                  <w14:solidFill>
                    <w14:schemeClr w14:val="tx1"/>
                  </w14:solidFill>
                </w14:textFill>
              </w:rPr>
              <w:t>——水质参数pH在j点的标准指数；</w:t>
            </w:r>
          </w:p>
          <w:p>
            <w:pPr>
              <w:spacing w:line="360" w:lineRule="auto"/>
              <w:ind w:firstLine="720" w:firstLineChars="3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w:t>
            </w:r>
            <w:r>
              <w:rPr>
                <w:rFonts w:hint="default"/>
                <w:color w:val="000000" w:themeColor="text1"/>
                <w:vertAlign w:val="subscript"/>
                <w14:textFill>
                  <w14:solidFill>
                    <w14:schemeClr w14:val="tx1"/>
                  </w14:solidFill>
                </w14:textFill>
              </w:rPr>
              <w:t>j</w:t>
            </w:r>
            <w:r>
              <w:rPr>
                <w:rFonts w:hint="default"/>
                <w:color w:val="000000" w:themeColor="text1"/>
                <w14:textFill>
                  <w14:solidFill>
                    <w14:schemeClr w14:val="tx1"/>
                  </w14:solidFill>
                </w14:textFill>
              </w:rPr>
              <w:t>——j点的pH值；</w:t>
            </w:r>
          </w:p>
          <w:p>
            <w:pPr>
              <w:spacing w:line="360" w:lineRule="auto"/>
              <w:ind w:firstLine="720" w:firstLineChars="3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w:t>
            </w:r>
            <w:r>
              <w:rPr>
                <w:rFonts w:hint="default"/>
                <w:color w:val="000000" w:themeColor="text1"/>
                <w:vertAlign w:val="subscript"/>
                <w14:textFill>
                  <w14:solidFill>
                    <w14:schemeClr w14:val="tx1"/>
                  </w14:solidFill>
                </w14:textFill>
              </w:rPr>
              <w:t>su</w:t>
            </w:r>
            <w:r>
              <w:rPr>
                <w:rFonts w:hint="default"/>
                <w:color w:val="000000" w:themeColor="text1"/>
                <w14:textFill>
                  <w14:solidFill>
                    <w14:schemeClr w14:val="tx1"/>
                  </w14:solidFill>
                </w14:textFill>
              </w:rPr>
              <w:t>——地表水水质标准中规定的pH值上限；</w:t>
            </w:r>
          </w:p>
          <w:p>
            <w:pPr>
              <w:spacing w:line="360" w:lineRule="auto"/>
              <w:ind w:firstLine="720" w:firstLineChars="3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w:t>
            </w:r>
            <w:r>
              <w:rPr>
                <w:rFonts w:hint="default"/>
                <w:color w:val="000000" w:themeColor="text1"/>
                <w:vertAlign w:val="subscript"/>
                <w14:textFill>
                  <w14:solidFill>
                    <w14:schemeClr w14:val="tx1"/>
                  </w14:solidFill>
                </w14:textFill>
              </w:rPr>
              <w:t>sd</w:t>
            </w:r>
            <w:r>
              <w:rPr>
                <w:rFonts w:hint="default"/>
                <w:color w:val="000000" w:themeColor="text1"/>
                <w14:textFill>
                  <w14:solidFill>
                    <w14:schemeClr w14:val="tx1"/>
                  </w14:solidFill>
                </w14:textFill>
              </w:rPr>
              <w:t>——地表水水质标准中规定的pH值下限。</w:t>
            </w:r>
          </w:p>
          <w:p>
            <w:pPr>
              <w:pStyle w:val="47"/>
              <w:shd w:val="clear"/>
              <w:bidi w:val="0"/>
              <w:ind w:left="0" w:leftChars="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溶解氧的标准指数计算公式：</w:t>
            </w:r>
          </w:p>
          <w:p>
            <w:pPr>
              <w:pStyle w:val="8"/>
              <w:keepNext w:val="0"/>
              <w:keepLines w:val="0"/>
              <w:suppressLineNumbers w:val="0"/>
              <w:shd w:val="clear"/>
              <w:spacing w:before="0" w:beforeAutospacing="0" w:after="0" w:afterAutospacing="0"/>
              <w:ind w:left="0" w:leftChars="0" w:right="0" w:firstLine="0" w:firstLineChars="0"/>
              <w:jc w:val="center"/>
              <w:rPr>
                <w:rFonts w:hint="eastAsia"/>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object>
                <v:shape id="_x0000_i1025" o:spt="75" type="#_x0000_t75" style="height:35pt;width:63pt;" o:ole="t" filled="f" o:preferrelative="t" stroked="f" coordsize="21600,21600">
                  <v:path/>
                  <v:fill on="f" focussize="0,0"/>
                  <v:stroke on="f"/>
                  <v:imagedata r:id="rId32" o:title=""/>
                  <o:lock v:ext="edit" aspectratio="t"/>
                  <w10:wrap type="none"/>
                  <w10:anchorlock/>
                </v:shape>
                <o:OLEObject Type="Embed" ProgID="Equation.KSEE3" ShapeID="_x0000_i1025" DrawAspect="Content" ObjectID="_1468075725" r:id="rId31">
                  <o:LockedField>false</o:LockedField>
                </o:OLEObject>
              </w:object>
            </w: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j</w:t>
            </w: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f</w:t>
            </w:r>
          </w:p>
          <w:p>
            <w:pPr>
              <w:keepNext w:val="0"/>
              <w:keepLines w:val="0"/>
              <w:suppressLineNumbers w:val="0"/>
              <w:shd w:val="clear"/>
              <w:spacing w:before="0" w:beforeAutospacing="0" w:after="0" w:afterAutospacing="0" w:line="360" w:lineRule="auto"/>
              <w:ind w:left="0" w:leftChars="0" w:right="0" w:firstLine="0" w:firstLineChars="0"/>
              <w:jc w:val="center"/>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object>
                <v:shape id="_x0000_i1026" o:spt="75" type="#_x0000_t75" style="height:39pt;width:103.95pt;" o:ole="t" filled="f" o:preferrelative="t" stroked="f" coordsize="21600,21600">
                  <v:path/>
                  <v:fill on="f" focussize="0,0"/>
                  <v:stroke on="f"/>
                  <v:imagedata r:id="rId34" o:title=""/>
                  <o:lock v:ext="edit" aspectratio="t"/>
                  <w10:wrap type="none"/>
                  <w10:anchorlock/>
                </v:shape>
                <o:OLEObject Type="Embed" ProgID="Equation.KSEE3" ShapeID="_x0000_i1026" DrawAspect="Content" ObjectID="_1468075726" r:id="rId33">
                  <o:LockedField>false</o:LockedField>
                </o:OLEObject>
              </w:object>
            </w: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j</w:t>
            </w: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f</w:t>
            </w:r>
          </w:p>
          <w:p>
            <w:pPr>
              <w:keepNext w:val="0"/>
              <w:keepLines w:val="0"/>
              <w:suppressLineNumbers w:val="0"/>
              <w:shd w:val="clear"/>
              <w:spacing w:before="0" w:beforeAutospacing="0" w:after="0" w:afterAutospacing="0" w:line="360" w:lineRule="auto"/>
              <w:ind w:left="0" w:leftChars="0" w:right="0" w:firstLine="0" w:firstLineChars="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式中：</w:t>
            </w:r>
            <w:r>
              <w:rPr>
                <w:rFonts w:hint="eastAsia"/>
                <w:color w:val="000000" w:themeColor="text1"/>
                <w:sz w:val="24"/>
                <w:szCs w:val="24"/>
                <w:highlight w:val="none"/>
                <w:lang w:val="en-US" w:eastAsia="zh-CN"/>
                <w14:textFill>
                  <w14:solidFill>
                    <w14:schemeClr w14:val="tx1"/>
                  </w14:solidFill>
                </w14:textFill>
              </w:rPr>
              <w:t>S</w:t>
            </w:r>
            <w:r>
              <w:rPr>
                <w:rFonts w:hint="eastAsia"/>
                <w:color w:val="000000" w:themeColor="text1"/>
                <w:sz w:val="24"/>
                <w:szCs w:val="24"/>
                <w:highlight w:val="none"/>
                <w:vertAlign w:val="subscript"/>
                <w:lang w:val="en-US" w:eastAsia="zh-CN"/>
                <w14:textFill>
                  <w14:solidFill>
                    <w14:schemeClr w14:val="tx1"/>
                  </w14:solidFill>
                </w14:textFill>
              </w:rPr>
              <w:t>DO，</w:t>
            </w:r>
            <w:r>
              <w:rPr>
                <w:rFonts w:hint="default"/>
                <w:color w:val="000000" w:themeColor="text1"/>
                <w:sz w:val="24"/>
                <w:szCs w:val="24"/>
                <w:highlight w:val="none"/>
                <w:vertAlign w:val="subscript"/>
                <w14:textFill>
                  <w14:solidFill>
                    <w14:schemeClr w14:val="tx1"/>
                  </w14:solidFill>
                </w14:textFill>
              </w:rPr>
              <w:t>j</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溶解氧</w:t>
            </w:r>
            <w:r>
              <w:rPr>
                <w:rFonts w:hint="default"/>
                <w:color w:val="000000" w:themeColor="text1"/>
                <w:sz w:val="24"/>
                <w:szCs w:val="24"/>
                <w:highlight w:val="none"/>
                <w14:textFill>
                  <w14:solidFill>
                    <w14:schemeClr w14:val="tx1"/>
                  </w14:solidFill>
                </w14:textFill>
              </w:rPr>
              <w:t>的标准指数</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大于1表明该水质因子超标</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j</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溶解氧在j点的实测统计代表值，mg/L</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s</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溶解氧的水质评价标准限值，mg/L</w:t>
            </w:r>
            <w:r>
              <w:rPr>
                <w:rFonts w:hint="default"/>
                <w:color w:val="000000" w:themeColor="text1"/>
                <w:sz w:val="24"/>
                <w:szCs w:val="24"/>
                <w:highlight w:val="none"/>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DO</w:t>
            </w:r>
            <w:r>
              <w:rPr>
                <w:rFonts w:hint="eastAsia"/>
                <w:color w:val="000000" w:themeColor="text1"/>
                <w:sz w:val="24"/>
                <w:szCs w:val="24"/>
                <w:highlight w:val="none"/>
                <w:vertAlign w:val="subscript"/>
                <w:lang w:val="en-US" w:eastAsia="zh-CN"/>
                <w14:textFill>
                  <w14:solidFill>
                    <w14:schemeClr w14:val="tx1"/>
                  </w14:solidFill>
                </w14:textFill>
              </w:rPr>
              <w:t>f</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饱和溶解氧浓度，mg/L，对于河流，DO</w:t>
            </w:r>
            <w:r>
              <w:rPr>
                <w:rFonts w:hint="eastAsia"/>
                <w:color w:val="000000" w:themeColor="text1"/>
                <w:sz w:val="24"/>
                <w:szCs w:val="24"/>
                <w:highlight w:val="none"/>
                <w:vertAlign w:val="subscript"/>
                <w:lang w:val="en-US" w:eastAsia="zh-CN"/>
                <w14:textFill>
                  <w14:solidFill>
                    <w14:schemeClr w14:val="tx1"/>
                  </w14:solidFill>
                </w14:textFill>
              </w:rPr>
              <w:t>f</w:t>
            </w:r>
            <w:r>
              <w:rPr>
                <w:rFonts w:hint="eastAsia"/>
                <w:color w:val="000000" w:themeColor="text1"/>
                <w:sz w:val="24"/>
                <w:szCs w:val="24"/>
                <w:highlight w:val="none"/>
                <w:lang w:val="en-US" w:eastAsia="zh-CN"/>
                <w14:textFill>
                  <w14:solidFill>
                    <w14:schemeClr w14:val="tx1"/>
                  </w14:solidFill>
                </w14:textFill>
              </w:rPr>
              <w:t>=468/(31.6+T)，对于盐度比较高的湖泊、水库及入海河口、近岸海域，DO</w:t>
            </w:r>
            <w:r>
              <w:rPr>
                <w:rFonts w:hint="eastAsia"/>
                <w:color w:val="000000" w:themeColor="text1"/>
                <w:sz w:val="24"/>
                <w:szCs w:val="24"/>
                <w:highlight w:val="none"/>
                <w:vertAlign w:val="subscript"/>
                <w:lang w:val="en-US" w:eastAsia="zh-CN"/>
                <w14:textFill>
                  <w14:solidFill>
                    <w14:schemeClr w14:val="tx1"/>
                  </w14:solidFill>
                </w14:textFill>
              </w:rPr>
              <w:t>f</w:t>
            </w:r>
            <w:r>
              <w:rPr>
                <w:rFonts w:hint="eastAsia"/>
                <w:color w:val="000000" w:themeColor="text1"/>
                <w:sz w:val="24"/>
                <w:szCs w:val="24"/>
                <w:highlight w:val="none"/>
                <w:lang w:val="en-US" w:eastAsia="zh-CN"/>
                <w14:textFill>
                  <w14:solidFill>
                    <w14:schemeClr w14:val="tx1"/>
                  </w14:solidFill>
                </w14:textFill>
              </w:rPr>
              <w:t>=(491-2.65S)/(33.5+T)</w:t>
            </w:r>
            <w:r>
              <w:rPr>
                <w:rFonts w:hint="eastAsia"/>
                <w:color w:val="000000" w:themeColor="text1"/>
                <w:sz w:val="24"/>
                <w:szCs w:val="24"/>
                <w:highlight w:val="none"/>
                <w:lang w:eastAsia="zh-CN"/>
                <w14:textFill>
                  <w14:solidFill>
                    <w14:schemeClr w14:val="tx1"/>
                  </w14:solidFill>
                </w14:textFill>
              </w:rPr>
              <w:t>；</w:t>
            </w:r>
          </w:p>
          <w:p>
            <w:pPr>
              <w:keepNext w:val="0"/>
              <w:keepLines w:val="0"/>
              <w:suppressLineNumbers w:val="0"/>
              <w:shd w:val="clear"/>
              <w:spacing w:before="0" w:beforeAutospacing="0" w:after="0" w:afterAutospacing="0" w:line="360" w:lineRule="auto"/>
              <w:ind w:left="0" w:right="0" w:firstLine="720" w:firstLineChars="30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S</w:t>
            </w:r>
            <w:r>
              <w:rPr>
                <w:rFonts w:hint="default"/>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实用盐度符号，量纲一</w:t>
            </w:r>
            <w:r>
              <w:rPr>
                <w:rFonts w:hint="default"/>
                <w:color w:val="000000" w:themeColor="text1"/>
                <w:sz w:val="24"/>
                <w:szCs w:val="24"/>
                <w:highlight w:val="none"/>
                <w14:textFill>
                  <w14:solidFill>
                    <w14:schemeClr w14:val="tx1"/>
                  </w14:solidFill>
                </w14:textFill>
              </w:rPr>
              <w:t>；</w:t>
            </w:r>
          </w:p>
          <w:p>
            <w:pPr>
              <w:pStyle w:val="4"/>
              <w:ind w:firstLine="720" w:firstLineChars="300"/>
              <w:rPr>
                <w:rFonts w:hint="default"/>
                <w:b w:val="0"/>
                <w:bCs w:val="0"/>
                <w:color w:val="000000" w:themeColor="text1"/>
                <w:sz w:val="24"/>
                <w:szCs w:val="24"/>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T</w:t>
            </w:r>
            <w:r>
              <w:rPr>
                <w:rFonts w:hint="default"/>
                <w:b w:val="0"/>
                <w:bCs w:val="0"/>
                <w:color w:val="000000" w:themeColor="text1"/>
                <w:sz w:val="24"/>
                <w:szCs w:val="24"/>
                <w:highlight w:val="none"/>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水温，℃。</w:t>
            </w:r>
          </w:p>
          <w:p>
            <w:pPr>
              <w:spacing w:line="360" w:lineRule="auto"/>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③监测结果及评价</w:t>
            </w:r>
          </w:p>
          <w:p>
            <w:pP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地表水监测结果及水质评价结果见表</w:t>
            </w:r>
            <w:r>
              <w:rPr>
                <w:rFonts w:hint="eastAsia"/>
                <w:color w:val="000000" w:themeColor="text1"/>
                <w:lang w:val="en-US" w:eastAsia="zh-CN"/>
                <w14:textFill>
                  <w14:solidFill>
                    <w14:schemeClr w14:val="tx1"/>
                  </w14:solidFill>
                </w14:textFill>
              </w:rPr>
              <w:t>3-2。</w:t>
            </w:r>
          </w:p>
          <w:p>
            <w:pPr>
              <w:pStyle w:val="3"/>
              <w:numPr>
                <w:ilvl w:val="0"/>
                <w:numId w:val="0"/>
              </w:numPr>
              <w:spacing w:line="240" w:lineRule="auto"/>
              <w:ind w:leftChars="0"/>
              <w:jc w:val="center"/>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表3-2引用</w:t>
            </w:r>
            <w:r>
              <w:rPr>
                <w:rFonts w:hint="default" w:ascii="Times New Roman" w:hAnsi="Times New Roman" w:eastAsia="宋体" w:cs="Times New Roman"/>
                <w:b/>
                <w:bCs w:val="0"/>
                <w:color w:val="000000" w:themeColor="text1"/>
                <w:sz w:val="24"/>
                <w:szCs w:val="24"/>
                <w14:textFill>
                  <w14:solidFill>
                    <w14:schemeClr w14:val="tx1"/>
                  </w14:solidFill>
                </w14:textFill>
              </w:rPr>
              <w:t>地表水水质现状监测结果一览表</w:t>
            </w:r>
          </w:p>
          <w:tbl>
            <w:tblPr>
              <w:tblStyle w:val="19"/>
              <w:tblW w:w="7878" w:type="dxa"/>
              <w:tblInd w:w="5"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9"/>
              <w:gridCol w:w="2891"/>
              <w:gridCol w:w="2538"/>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2449" w:type="dxa"/>
                  <w:tcBorders>
                    <w:top w:val="single" w:color="000000" w:sz="12" w:space="0"/>
                    <w:bottom w:val="single" w:color="000000" w:sz="6" w:space="0"/>
                    <w:right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w:t>
                  </w:r>
                </w:p>
              </w:tc>
              <w:tc>
                <w:tcPr>
                  <w:tcW w:w="2891" w:type="dxa"/>
                  <w:tcBorders>
                    <w:top w:val="single" w:color="000000" w:sz="12"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检测结果</w:t>
                  </w:r>
                </w:p>
              </w:tc>
              <w:tc>
                <w:tcPr>
                  <w:tcW w:w="2538" w:type="dxa"/>
                  <w:tcBorders>
                    <w:top w:val="single" w:color="000000" w:sz="12"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标准指数</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263" w:hRule="atLeast"/>
              </w:trPr>
              <w:tc>
                <w:tcPr>
                  <w:tcW w:w="2449" w:type="dxa"/>
                  <w:tcBorders>
                    <w:top w:val="single" w:color="000000" w:sz="6" w:space="0"/>
                    <w:bottom w:val="single" w:color="000000" w:sz="6" w:space="0"/>
                    <w:right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pH</w:t>
                  </w:r>
                </w:p>
              </w:tc>
              <w:tc>
                <w:tcPr>
                  <w:tcW w:w="2891"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7.80</w:t>
                  </w:r>
                </w:p>
              </w:tc>
              <w:tc>
                <w:tcPr>
                  <w:tcW w:w="2538"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449" w:type="dxa"/>
                  <w:tcBorders>
                    <w:top w:val="single" w:color="000000" w:sz="6" w:space="0"/>
                    <w:bottom w:val="single" w:color="000000" w:sz="6" w:space="0"/>
                    <w:right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COD（mg/L）</w:t>
                  </w:r>
                </w:p>
              </w:tc>
              <w:tc>
                <w:tcPr>
                  <w:tcW w:w="2891"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2538"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449" w:type="dxa"/>
                  <w:tcBorders>
                    <w:top w:val="single" w:color="000000" w:sz="6" w:space="0"/>
                    <w:bottom w:val="single" w:color="000000" w:sz="6" w:space="0"/>
                    <w:right w:val="single" w:color="000000" w:sz="6" w:space="0"/>
                  </w:tcBorders>
                  <w:vAlign w:val="center"/>
                </w:tcPr>
                <w:p>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溶解氧（mg/L）</w:t>
                  </w:r>
                </w:p>
              </w:tc>
              <w:tc>
                <w:tcPr>
                  <w:tcW w:w="2891"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w:t>
                  </w:r>
                </w:p>
              </w:tc>
              <w:tc>
                <w:tcPr>
                  <w:tcW w:w="2538"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449" w:type="dxa"/>
                  <w:tcBorders>
                    <w:top w:val="single" w:color="000000" w:sz="6" w:space="0"/>
                    <w:bottom w:val="single" w:color="000000" w:sz="6" w:space="0"/>
                    <w:right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氨氮（mg/L）</w:t>
                  </w:r>
                </w:p>
              </w:tc>
              <w:tc>
                <w:tcPr>
                  <w:tcW w:w="2891"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0.826</w:t>
                  </w:r>
                </w:p>
              </w:tc>
              <w:tc>
                <w:tcPr>
                  <w:tcW w:w="2538" w:type="dxa"/>
                  <w:tcBorders>
                    <w:top w:val="single" w:color="000000" w:sz="6" w:space="0"/>
                    <w:left w:val="single" w:color="000000" w:sz="6" w:space="0"/>
                    <w:bottom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0.826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2449" w:type="dxa"/>
                  <w:tcBorders>
                    <w:top w:val="single" w:color="000000" w:sz="6" w:space="0"/>
                    <w:bottom w:val="single" w:color="000000" w:sz="12" w:space="0"/>
                    <w:right w:val="single" w:color="000000" w:sz="6"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总磷（mg/L）</w:t>
                  </w:r>
                </w:p>
              </w:tc>
              <w:tc>
                <w:tcPr>
                  <w:tcW w:w="2891" w:type="dxa"/>
                  <w:tcBorders>
                    <w:top w:val="single" w:color="000000" w:sz="6" w:space="0"/>
                    <w:left w:val="single" w:color="000000" w:sz="6" w:space="0"/>
                    <w:bottom w:val="single" w:color="000000" w:sz="12"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w:t>
                  </w:r>
                </w:p>
              </w:tc>
              <w:tc>
                <w:tcPr>
                  <w:tcW w:w="2538" w:type="dxa"/>
                  <w:tcBorders>
                    <w:top w:val="single" w:color="000000" w:sz="6" w:space="0"/>
                    <w:left w:val="single" w:color="000000" w:sz="6" w:space="0"/>
                    <w:bottom w:val="single" w:color="000000" w:sz="12" w:space="0"/>
                  </w:tcBorders>
                  <w:vAlign w:val="center"/>
                </w:tcPr>
                <w:p>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0.75</w:t>
                  </w:r>
                </w:p>
              </w:tc>
            </w:tr>
          </w:tbl>
          <w:p>
            <w:pPr>
              <w:pStyle w:val="4"/>
              <w:ind w:firstLine="480" w:firstLineChars="200"/>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根据监测结果显示，硖门溪pH、COD、溶解氧、氨氮、总磷均满足《地表水环境质量标准》（GB3838-2002）表1中</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Ⅲ</w:t>
            </w:r>
            <w:r>
              <w:rPr>
                <w:rFonts w:hint="eastAsia"/>
                <w:b w:val="0"/>
                <w:bCs w:val="0"/>
                <w:color w:val="000000" w:themeColor="text1"/>
                <w:sz w:val="24"/>
                <w:szCs w:val="24"/>
                <w:lang w:val="en-US" w:eastAsia="zh-CN"/>
                <w14:textFill>
                  <w14:solidFill>
                    <w14:schemeClr w14:val="tx1"/>
                  </w14:solidFill>
                </w14:textFill>
              </w:rPr>
              <w:t>类水质标准。</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3.2大气环境现状</w:t>
            </w:r>
          </w:p>
          <w:p>
            <w:pPr>
              <w:widowControl w:val="0"/>
              <w:bidi w:val="0"/>
              <w:spacing w:line="360" w:lineRule="auto"/>
              <w:ind w:firstLine="480" w:firstLineChars="200"/>
              <w:jc w:val="both"/>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本项目位于福鼎市，根据宁德市环境监测中心站公布的《宁德市环境质量概要（202</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年）》，202</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年福鼎市的基本污染物的年均浓度详见表</w:t>
            </w:r>
            <w:r>
              <w:rPr>
                <w:rFonts w:hint="eastAsia"/>
                <w:color w:val="000000" w:themeColor="text1"/>
                <w:lang w:val="en-US" w:eastAsia="zh-CN"/>
                <w14:textFill>
                  <w14:solidFill>
                    <w14:schemeClr w14:val="tx1"/>
                  </w14:solidFill>
                </w14:textFill>
              </w:rPr>
              <w:t>3-3</w:t>
            </w:r>
            <w:r>
              <w:rPr>
                <w:rFonts w:hint="default"/>
                <w:color w:val="000000" w:themeColor="text1"/>
                <w:lang w:val="en-US" w:eastAsia="zh-CN"/>
                <w14:textFill>
                  <w14:solidFill>
                    <w14:schemeClr w14:val="tx1"/>
                  </w14:solidFill>
                </w14:textFill>
              </w:rPr>
              <w:t>。</w:t>
            </w:r>
          </w:p>
          <w:p>
            <w:pPr>
              <w:bidi w:val="0"/>
              <w:spacing w:line="360" w:lineRule="auto"/>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表3-3</w:t>
            </w:r>
            <w:r>
              <w:rPr>
                <w:rFonts w:hint="default"/>
                <w:b/>
                <w:bCs/>
                <w:color w:val="000000" w:themeColor="text1"/>
                <w:lang w:val="en-US" w:eastAsia="zh-CN"/>
                <w14:textFill>
                  <w14:solidFill>
                    <w14:schemeClr w14:val="tx1"/>
                  </w14:solidFill>
                </w14:textFill>
              </w:rPr>
              <w:t>福鼎市区域空气质量现状评价表</w:t>
            </w:r>
          </w:p>
          <w:tbl>
            <w:tblPr>
              <w:tblStyle w:val="18"/>
              <w:tblW w:w="8034" w:type="dxa"/>
              <w:jc w:val="center"/>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Layout w:type="autofit"/>
              <w:tblCellMar>
                <w:top w:w="0" w:type="dxa"/>
                <w:left w:w="0" w:type="dxa"/>
                <w:bottom w:w="0" w:type="dxa"/>
                <w:right w:w="0" w:type="dxa"/>
              </w:tblCellMar>
            </w:tblPr>
            <w:tblGrid>
              <w:gridCol w:w="637"/>
              <w:gridCol w:w="2645"/>
              <w:gridCol w:w="1406"/>
              <w:gridCol w:w="1296"/>
              <w:gridCol w:w="1241"/>
              <w:gridCol w:w="809"/>
            </w:tblGrid>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污染物</w:t>
                  </w:r>
                </w:p>
              </w:tc>
              <w:tc>
                <w:tcPr>
                  <w:tcW w:w="2645"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年评价指标</w:t>
                  </w:r>
                </w:p>
              </w:tc>
              <w:tc>
                <w:tcPr>
                  <w:tcW w:w="1406"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现状浓度</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μg/m</w:t>
                  </w:r>
                  <w:r>
                    <w:rPr>
                      <w:rFonts w:hint="default"/>
                      <w:color w:val="000000" w:themeColor="text1"/>
                      <w:sz w:val="21"/>
                      <w:szCs w:val="21"/>
                      <w:vertAlign w:val="superscript"/>
                      <w:lang w:val="en-US" w:eastAsia="zh-CN"/>
                      <w14:textFill>
                        <w14:solidFill>
                          <w14:schemeClr w14:val="tx1"/>
                        </w14:solidFill>
                      </w14:textFill>
                    </w:rPr>
                    <w:t>3</w:t>
                  </w:r>
                  <w:r>
                    <w:rPr>
                      <w:rFonts w:hint="default"/>
                      <w:color w:val="000000" w:themeColor="text1"/>
                      <w:sz w:val="21"/>
                      <w:szCs w:val="21"/>
                      <w:lang w:val="en-US" w:eastAsia="zh-CN"/>
                      <w14:textFill>
                        <w14:solidFill>
                          <w14:schemeClr w14:val="tx1"/>
                        </w14:solidFill>
                      </w14:textFill>
                    </w:rPr>
                    <w:t>)</w:t>
                  </w:r>
                </w:p>
              </w:tc>
              <w:tc>
                <w:tcPr>
                  <w:tcW w:w="1296"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标准值</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μg/m</w:t>
                  </w:r>
                  <w:r>
                    <w:rPr>
                      <w:rFonts w:hint="default"/>
                      <w:color w:val="000000" w:themeColor="text1"/>
                      <w:sz w:val="21"/>
                      <w:szCs w:val="21"/>
                      <w:vertAlign w:val="superscript"/>
                      <w:lang w:val="en-US" w:eastAsia="zh-CN"/>
                      <w14:textFill>
                        <w14:solidFill>
                          <w14:schemeClr w14:val="tx1"/>
                        </w14:solidFill>
                      </w14:textFill>
                    </w:rPr>
                    <w:t>3</w:t>
                  </w:r>
                  <w:r>
                    <w:rPr>
                      <w:rFonts w:hint="default"/>
                      <w:color w:val="000000" w:themeColor="text1"/>
                      <w:sz w:val="21"/>
                      <w:szCs w:val="21"/>
                      <w:lang w:val="en-US" w:eastAsia="zh-CN"/>
                      <w14:textFill>
                        <w14:solidFill>
                          <w14:schemeClr w14:val="tx1"/>
                        </w14:solidFill>
                      </w14:textFill>
                    </w:rPr>
                    <w:t>)</w:t>
                  </w:r>
                </w:p>
              </w:tc>
              <w:tc>
                <w:tcPr>
                  <w:tcW w:w="1241"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占标率（%）</w:t>
                  </w:r>
                </w:p>
              </w:tc>
              <w:tc>
                <w:tcPr>
                  <w:tcW w:w="80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情况</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SO</w:t>
                  </w:r>
                  <w:r>
                    <w:rPr>
                      <w:rFonts w:hint="default"/>
                      <w:color w:val="000000" w:themeColor="text1"/>
                      <w:sz w:val="21"/>
                      <w:szCs w:val="21"/>
                      <w:vertAlign w:val="subscript"/>
                      <w:lang w:val="en-US" w:eastAsia="zh-CN"/>
                      <w14:textFill>
                        <w14:solidFill>
                          <w14:schemeClr w14:val="tx1"/>
                        </w14:solidFill>
                      </w14:textFill>
                    </w:rPr>
                    <w:t>2</w:t>
                  </w:r>
                </w:p>
              </w:tc>
              <w:tc>
                <w:tcPr>
                  <w:tcW w:w="26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年均质量浓度</w:t>
                  </w:r>
                </w:p>
              </w:tc>
              <w:tc>
                <w:tcPr>
                  <w:tcW w:w="14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29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60</w:t>
                  </w:r>
                </w:p>
              </w:tc>
              <w:tc>
                <w:tcPr>
                  <w:tcW w:w="12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11.7</w:t>
                  </w:r>
                </w:p>
              </w:tc>
              <w:tc>
                <w:tcPr>
                  <w:tcW w:w="80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NO</w:t>
                  </w:r>
                  <w:r>
                    <w:rPr>
                      <w:rFonts w:hint="default"/>
                      <w:color w:val="000000" w:themeColor="text1"/>
                      <w:sz w:val="21"/>
                      <w:szCs w:val="21"/>
                      <w:vertAlign w:val="subscript"/>
                      <w:lang w:val="en-US" w:eastAsia="zh-CN"/>
                      <w14:textFill>
                        <w14:solidFill>
                          <w14:schemeClr w14:val="tx1"/>
                        </w14:solidFill>
                      </w14:textFill>
                    </w:rPr>
                    <w:t>2</w:t>
                  </w:r>
                </w:p>
              </w:tc>
              <w:tc>
                <w:tcPr>
                  <w:tcW w:w="26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年均质量浓度</w:t>
                  </w:r>
                </w:p>
              </w:tc>
              <w:tc>
                <w:tcPr>
                  <w:tcW w:w="14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29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40</w:t>
                  </w:r>
                </w:p>
              </w:tc>
              <w:tc>
                <w:tcPr>
                  <w:tcW w:w="12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80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PM</w:t>
                  </w:r>
                  <w:r>
                    <w:rPr>
                      <w:rFonts w:hint="default"/>
                      <w:color w:val="000000" w:themeColor="text1"/>
                      <w:sz w:val="21"/>
                      <w:szCs w:val="21"/>
                      <w:vertAlign w:val="subscript"/>
                      <w:lang w:val="en-US" w:eastAsia="zh-CN"/>
                      <w14:textFill>
                        <w14:solidFill>
                          <w14:schemeClr w14:val="tx1"/>
                        </w14:solidFill>
                      </w14:textFill>
                    </w:rPr>
                    <w:t>10</w:t>
                  </w:r>
                </w:p>
              </w:tc>
              <w:tc>
                <w:tcPr>
                  <w:tcW w:w="26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年均质量浓度</w:t>
                  </w:r>
                </w:p>
              </w:tc>
              <w:tc>
                <w:tcPr>
                  <w:tcW w:w="14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31</w:t>
                  </w:r>
                </w:p>
              </w:tc>
              <w:tc>
                <w:tcPr>
                  <w:tcW w:w="129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70</w:t>
                  </w:r>
                </w:p>
              </w:tc>
              <w:tc>
                <w:tcPr>
                  <w:tcW w:w="12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44.3</w:t>
                  </w:r>
                </w:p>
              </w:tc>
              <w:tc>
                <w:tcPr>
                  <w:tcW w:w="80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PM</w:t>
                  </w:r>
                  <w:r>
                    <w:rPr>
                      <w:rFonts w:hint="default"/>
                      <w:color w:val="000000" w:themeColor="text1"/>
                      <w:sz w:val="21"/>
                      <w:szCs w:val="21"/>
                      <w:vertAlign w:val="subscript"/>
                      <w:lang w:val="en-US" w:eastAsia="zh-CN"/>
                      <w14:textFill>
                        <w14:solidFill>
                          <w14:schemeClr w14:val="tx1"/>
                        </w14:solidFill>
                      </w14:textFill>
                    </w:rPr>
                    <w:t>2.5</w:t>
                  </w:r>
                </w:p>
              </w:tc>
              <w:tc>
                <w:tcPr>
                  <w:tcW w:w="26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年均质量浓度</w:t>
                  </w:r>
                </w:p>
              </w:tc>
              <w:tc>
                <w:tcPr>
                  <w:tcW w:w="14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3</w:t>
                  </w:r>
                </w:p>
              </w:tc>
              <w:tc>
                <w:tcPr>
                  <w:tcW w:w="129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35</w:t>
                  </w:r>
                </w:p>
              </w:tc>
              <w:tc>
                <w:tcPr>
                  <w:tcW w:w="12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7.1</w:t>
                  </w:r>
                </w:p>
              </w:tc>
              <w:tc>
                <w:tcPr>
                  <w:tcW w:w="80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top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CO</w:t>
                  </w:r>
                </w:p>
              </w:tc>
              <w:tc>
                <w:tcPr>
                  <w:tcW w:w="2645"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日均质量浓度</w:t>
                  </w:r>
                </w:p>
              </w:tc>
              <w:tc>
                <w:tcPr>
                  <w:tcW w:w="1406"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1.4mg/m</w:t>
                  </w:r>
                  <w:r>
                    <w:rPr>
                      <w:rFonts w:hint="default"/>
                      <w:color w:val="000000" w:themeColor="text1"/>
                      <w:sz w:val="21"/>
                      <w:szCs w:val="21"/>
                      <w:vertAlign w:val="superscript"/>
                      <w:lang w:val="en-US" w:eastAsia="zh-CN"/>
                      <w14:textFill>
                        <w14:solidFill>
                          <w14:schemeClr w14:val="tx1"/>
                        </w14:solidFill>
                      </w14:textFill>
                    </w:rPr>
                    <w:t>3</w:t>
                  </w:r>
                </w:p>
              </w:tc>
              <w:tc>
                <w:tcPr>
                  <w:tcW w:w="1296"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4mg/m</w:t>
                  </w:r>
                  <w:r>
                    <w:rPr>
                      <w:rFonts w:hint="default"/>
                      <w:color w:val="000000" w:themeColor="text1"/>
                      <w:sz w:val="21"/>
                      <w:szCs w:val="21"/>
                      <w:vertAlign w:val="superscript"/>
                      <w:lang w:val="en-US" w:eastAsia="zh-CN"/>
                      <w14:textFill>
                        <w14:solidFill>
                          <w14:schemeClr w14:val="tx1"/>
                        </w14:solidFill>
                      </w14:textFill>
                    </w:rPr>
                    <w:t>3</w:t>
                  </w:r>
                </w:p>
              </w:tc>
              <w:tc>
                <w:tcPr>
                  <w:tcW w:w="1241"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35</w:t>
                  </w:r>
                </w:p>
              </w:tc>
              <w:tc>
                <w:tcPr>
                  <w:tcW w:w="809" w:type="dxa"/>
                  <w:tcBorders>
                    <w:top w:val="single" w:color="000000" w:sz="4" w:space="0"/>
                    <w:left w:val="single" w:color="000000"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18" w:space="0"/>
                  <w:insideV w:val="single" w:color="000000" w:sz="18" w:space="0"/>
                </w:tblBorders>
                <w:tblCellMar>
                  <w:top w:w="0" w:type="dxa"/>
                  <w:left w:w="0" w:type="dxa"/>
                  <w:bottom w:w="0" w:type="dxa"/>
                  <w:right w:w="0" w:type="dxa"/>
                </w:tblCellMar>
              </w:tblPrEx>
              <w:trPr>
                <w:trHeight w:val="340" w:hRule="atLeast"/>
                <w:jc w:val="center"/>
              </w:trPr>
              <w:tc>
                <w:tcPr>
                  <w:tcW w:w="637" w:type="dxa"/>
                  <w:tcBorders>
                    <w:top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O</w:t>
                  </w:r>
                  <w:r>
                    <w:rPr>
                      <w:rFonts w:hint="default"/>
                      <w:color w:val="000000" w:themeColor="text1"/>
                      <w:sz w:val="21"/>
                      <w:szCs w:val="21"/>
                      <w:vertAlign w:val="subscript"/>
                      <w:lang w:val="en-US" w:eastAsia="zh-CN"/>
                      <w14:textFill>
                        <w14:solidFill>
                          <w14:schemeClr w14:val="tx1"/>
                        </w14:solidFill>
                      </w14:textFill>
                    </w:rPr>
                    <w:t>3</w:t>
                  </w:r>
                </w:p>
              </w:tc>
              <w:tc>
                <w:tcPr>
                  <w:tcW w:w="264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日最大8小时平均质量浓度</w:t>
                  </w:r>
                </w:p>
              </w:tc>
              <w:tc>
                <w:tcPr>
                  <w:tcW w:w="14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93</w:t>
                  </w:r>
                </w:p>
              </w:tc>
              <w:tc>
                <w:tcPr>
                  <w:tcW w:w="129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160</w:t>
                  </w:r>
                </w:p>
              </w:tc>
              <w:tc>
                <w:tcPr>
                  <w:tcW w:w="124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58.1</w:t>
                  </w:r>
                </w:p>
              </w:tc>
              <w:tc>
                <w:tcPr>
                  <w:tcW w:w="809" w:type="dxa"/>
                  <w:tcBorders>
                    <w:top w:val="single" w:color="auto" w:sz="4" w:space="0"/>
                    <w:lef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达标</w:t>
                  </w:r>
                </w:p>
              </w:tc>
            </w:tr>
          </w:tbl>
          <w:p>
            <w:pPr>
              <w:bidi w:val="0"/>
              <w:ind w:firstLine="480" w:firstLineChars="20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由上表福鼎市区域空气质量现状评价表的达标评价可知，SO</w:t>
            </w:r>
            <w:r>
              <w:rPr>
                <w:rFonts w:hint="default"/>
                <w:color w:val="000000" w:themeColor="text1"/>
                <w:vertAlign w:val="sub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、NO</w:t>
            </w:r>
            <w:r>
              <w:rPr>
                <w:rFonts w:hint="default"/>
                <w:color w:val="000000" w:themeColor="text1"/>
                <w:vertAlign w:val="sub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、PM</w:t>
            </w:r>
            <w:r>
              <w:rPr>
                <w:rFonts w:hint="default"/>
                <w:color w:val="000000" w:themeColor="text1"/>
                <w:vertAlign w:val="subscript"/>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、PM</w:t>
            </w:r>
            <w:r>
              <w:rPr>
                <w:rFonts w:hint="default"/>
                <w:color w:val="000000" w:themeColor="text1"/>
                <w:vertAlign w:val="subscript"/>
                <w:lang w:val="en-US" w:eastAsia="zh-CN"/>
                <w14:textFill>
                  <w14:solidFill>
                    <w14:schemeClr w14:val="tx1"/>
                  </w14:solidFill>
                </w14:textFill>
              </w:rPr>
              <w:t>2.5</w:t>
            </w:r>
            <w:r>
              <w:rPr>
                <w:rFonts w:hint="default"/>
                <w:color w:val="000000" w:themeColor="text1"/>
                <w:lang w:val="en-US" w:eastAsia="zh-CN"/>
                <w14:textFill>
                  <w14:solidFill>
                    <w14:schemeClr w14:val="tx1"/>
                  </w14:solidFill>
                </w14:textFill>
              </w:rPr>
              <w:t>、CO、O</w:t>
            </w:r>
            <w:r>
              <w:rPr>
                <w:rFonts w:hint="default"/>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六项污染物全部符合《环境空气质量标准》（GB3095-2012）及修改单中的二级标准要求，项目所在区域福鼎市</w:t>
            </w:r>
            <w:r>
              <w:rPr>
                <w:rFonts w:hint="eastAsia"/>
                <w:color w:val="000000" w:themeColor="text1"/>
                <w:lang w:val="en-US" w:eastAsia="zh-CN"/>
                <w14:textFill>
                  <w14:solidFill>
                    <w14:schemeClr w14:val="tx1"/>
                  </w14:solidFill>
                </w14:textFill>
              </w:rPr>
              <w:t>属于</w:t>
            </w:r>
            <w:r>
              <w:rPr>
                <w:rFonts w:hint="default"/>
                <w:color w:val="000000" w:themeColor="text1"/>
                <w:lang w:val="en-US" w:eastAsia="zh-CN"/>
                <w14:textFill>
                  <w14:solidFill>
                    <w14:schemeClr w14:val="tx1"/>
                  </w14:solidFill>
                </w14:textFill>
              </w:rPr>
              <w:t>环境空气质量达标</w:t>
            </w:r>
            <w:r>
              <w:rPr>
                <w:rFonts w:hint="eastAsia"/>
                <w:color w:val="000000" w:themeColor="text1"/>
                <w:lang w:val="en-US" w:eastAsia="zh-CN"/>
                <w14:textFill>
                  <w14:solidFill>
                    <w14:schemeClr w14:val="tx1"/>
                  </w14:solidFill>
                </w14:textFill>
              </w:rPr>
              <w:t>区。</w:t>
            </w:r>
          </w:p>
          <w:p>
            <w:pPr>
              <w:pStyle w:val="4"/>
              <w:numPr>
                <w:ilvl w:val="0"/>
                <w:numId w:val="0"/>
              </w:numPr>
              <w:ind w:leftChars="0"/>
              <w:rPr>
                <w:rFonts w:hint="eastAsia"/>
                <w:color w:val="000000" w:themeColor="text1"/>
                <w:lang w:val="en-US" w:eastAsia="zh-CN"/>
                <w14:textFill>
                  <w14:solidFill>
                    <w14:schemeClr w14:val="tx1"/>
                  </w14:solidFill>
                </w14:textFill>
              </w:rPr>
            </w:pPr>
            <w:r>
              <w:rPr>
                <w:rStyle w:val="45"/>
                <w:rFonts w:hint="eastAsia"/>
                <w:b/>
                <w:bCs/>
                <w:color w:val="000000" w:themeColor="text1"/>
                <w:lang w:val="en-US" w:eastAsia="zh-CN"/>
                <w14:textFill>
                  <w14:solidFill>
                    <w14:schemeClr w14:val="tx1"/>
                  </w14:solidFill>
                </w14:textFill>
              </w:rPr>
              <w:t>3.3声环境现状</w:t>
            </w:r>
          </w:p>
          <w:p>
            <w:pPr>
              <w:pStyle w:val="4"/>
              <w:numPr>
                <w:ilvl w:val="0"/>
                <w:numId w:val="0"/>
              </w:numPr>
              <w:ind w:leftChars="0" w:firstLine="480" w:firstLineChars="200"/>
              <w:rPr>
                <w:rFonts w:hint="default"/>
                <w:b w:val="0"/>
                <w:bCs w:val="0"/>
                <w:color w:val="000000" w:themeColor="text1"/>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根据</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建设项目环境影响报告表编制技术指南（生态影响类）</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试行</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，参照</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建设项目环境影响报告表编制技术指南（污染影响类）</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(试行)：厂界外周边50米范围内存在声环境保护目标的建设项目，应监测保护目标声环境质量现状并评价达标情况。本项目50米范围内不存在声环境保护目标，故不进行声环境现状调查。</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3.4土壤环境现状</w:t>
            </w:r>
          </w:p>
          <w:p>
            <w:pPr>
              <w:pStyle w:val="4"/>
              <w:numPr>
                <w:ilvl w:val="0"/>
                <w:numId w:val="0"/>
              </w:numPr>
              <w:ind w:leftChars="0" w:firstLine="480" w:firstLineChars="200"/>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根据</w:t>
            </w:r>
            <w:r>
              <w:rPr>
                <w:rFonts w:hint="default"/>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建设项目环境影响报告表编制技术指南（生态影响类）</w:t>
            </w:r>
            <w:r>
              <w:rPr>
                <w:rFonts w:hint="default"/>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试行</w:t>
            </w:r>
            <w:r>
              <w:rPr>
                <w:rFonts w:hint="default"/>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，参照《环境影响评价导则 土壤环境》（试行）（HJ964-2018），本项目类别为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Ⅲ类</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，根据本项目的生态影响型敏感程度（表3-4）以及项目类别确定评价工作等级。</w:t>
            </w:r>
          </w:p>
          <w:p>
            <w:pP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p>
            <w:pPr>
              <w:pStyle w:val="2"/>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p>
            <w:pPr>
              <w:pStyle w:val="2"/>
              <w:ind w:left="0" w:leftChars="0" w:firstLine="0" w:firstLineChars="0"/>
              <w:rPr>
                <w:rFonts w:hint="default"/>
                <w:lang w:val="en-US" w:eastAsia="zh-CN"/>
              </w:rPr>
            </w:pPr>
          </w:p>
          <w:p>
            <w:pPr>
              <w:rPr>
                <w:rFonts w:hint="default"/>
                <w:lang w:val="en-US" w:eastAsia="zh-CN"/>
              </w:rPr>
            </w:pPr>
          </w:p>
          <w:p>
            <w:pPr>
              <w:spacing w:line="360" w:lineRule="auto"/>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表3-4生态影响型敏感程度分级表</w:t>
            </w:r>
          </w:p>
          <w:tbl>
            <w:tblPr>
              <w:tblStyle w:val="19"/>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4095"/>
              <w:gridCol w:w="1440"/>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tcBorders>
                    <w:top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敏感程度</w:t>
                  </w:r>
                </w:p>
              </w:tc>
              <w:tc>
                <w:tcPr>
                  <w:tcW w:w="6974" w:type="dxa"/>
                  <w:gridSpan w:val="3"/>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Borders>
                    <w:top w:val="single" w:color="auto" w:sz="8" w:space="0"/>
                    <w:left w:val="single" w:color="auto" w:sz="4"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p>
              </w:tc>
              <w:tc>
                <w:tcPr>
                  <w:tcW w:w="4095"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盐化</w:t>
                  </w:r>
                </w:p>
              </w:tc>
              <w:tc>
                <w:tcPr>
                  <w:tcW w:w="1440"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酸化</w:t>
                  </w:r>
                </w:p>
              </w:tc>
              <w:tc>
                <w:tcPr>
                  <w:tcW w:w="1439"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Borders>
                    <w:top w:val="single" w:color="auto" w:sz="8" w:space="0"/>
                    <w:left w:val="single" w:color="auto" w:sz="4"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敏感</w:t>
                  </w:r>
                </w:p>
              </w:tc>
              <w:tc>
                <w:tcPr>
                  <w:tcW w:w="4095"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left"/>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建设项目所在地干燥度a＞2.5且常年地下水位平均埋深＜1.5m的地势平坦区域；或土壤含盐量＞4g/kg的区域</w:t>
                  </w:r>
                </w:p>
              </w:tc>
              <w:tc>
                <w:tcPr>
                  <w:tcW w:w="1440"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pH≤4.5</w:t>
                  </w:r>
                </w:p>
              </w:tc>
              <w:tc>
                <w:tcPr>
                  <w:tcW w:w="1439"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Borders>
                    <w:top w:val="single" w:color="auto" w:sz="8" w:space="0"/>
                    <w:left w:val="single" w:color="auto" w:sz="4"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较敏感</w:t>
                  </w:r>
                </w:p>
              </w:tc>
              <w:tc>
                <w:tcPr>
                  <w:tcW w:w="4095"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left"/>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建设项目所在地干燥度＞2.5且常年地下水位平均埋深≥1.5m的，或1.8＜干燥度≤2.5且常年地下水位平均埋深＜1.8m的地势平坦区域；建设项目所在地干燥度＞2.5且常年地下水位平均埋深≥1.5m的平原区；或2</w:t>
                  </w:r>
                  <w:r>
                    <w:rPr>
                      <w:rFonts w:hint="default"/>
                      <w:b w:val="0"/>
                      <w:bCs w:val="0"/>
                      <w:color w:val="000000" w:themeColor="text1"/>
                      <w:sz w:val="21"/>
                      <w:szCs w:val="21"/>
                      <w:highlight w:val="none"/>
                      <w:lang w:val="en-US" w:eastAsia="zh-CN"/>
                      <w14:textFill>
                        <w14:solidFill>
                          <w14:schemeClr w14:val="tx1"/>
                        </w14:solidFill>
                      </w14:textFill>
                    </w:rPr>
                    <w:t>g/kg</w:t>
                  </w:r>
                  <w:r>
                    <w:rPr>
                      <w:rFonts w:hint="eastAsia"/>
                      <w:b w:val="0"/>
                      <w:bCs w:val="0"/>
                      <w:color w:val="000000" w:themeColor="text1"/>
                      <w:sz w:val="21"/>
                      <w:szCs w:val="21"/>
                      <w:highlight w:val="none"/>
                      <w:lang w:val="en-US" w:eastAsia="zh-CN"/>
                      <w14:textFill>
                        <w14:solidFill>
                          <w14:schemeClr w14:val="tx1"/>
                        </w14:solidFill>
                      </w14:textFill>
                    </w:rPr>
                    <w:t>＜土壤含盐量≤4</w:t>
                  </w:r>
                  <w:r>
                    <w:rPr>
                      <w:rFonts w:hint="default"/>
                      <w:b w:val="0"/>
                      <w:bCs w:val="0"/>
                      <w:color w:val="000000" w:themeColor="text1"/>
                      <w:sz w:val="21"/>
                      <w:szCs w:val="21"/>
                      <w:highlight w:val="none"/>
                      <w:lang w:val="en-US" w:eastAsia="zh-CN"/>
                      <w14:textFill>
                        <w14:solidFill>
                          <w14:schemeClr w14:val="tx1"/>
                        </w14:solidFill>
                      </w14:textFill>
                    </w:rPr>
                    <w:t>g/kg</w:t>
                  </w:r>
                  <w:r>
                    <w:rPr>
                      <w:rFonts w:hint="eastAsia"/>
                      <w:b w:val="0"/>
                      <w:bCs w:val="0"/>
                      <w:color w:val="000000" w:themeColor="text1"/>
                      <w:sz w:val="21"/>
                      <w:szCs w:val="21"/>
                      <w:highlight w:val="none"/>
                      <w:lang w:val="en-US" w:eastAsia="zh-CN"/>
                      <w14:textFill>
                        <w14:solidFill>
                          <w14:schemeClr w14:val="tx1"/>
                        </w14:solidFill>
                      </w14:textFill>
                    </w:rPr>
                    <w:t>的区域</w:t>
                  </w:r>
                </w:p>
              </w:tc>
              <w:tc>
                <w:tcPr>
                  <w:tcW w:w="1440"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4.5＜pH≤5.5</w:t>
                  </w:r>
                </w:p>
              </w:tc>
              <w:tc>
                <w:tcPr>
                  <w:tcW w:w="1439"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8.5≤pH＜9.0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Borders>
                    <w:top w:val="single" w:color="auto" w:sz="8" w:space="0"/>
                    <w:left w:val="single" w:color="auto" w:sz="4"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default"/>
                      <w:b w:val="0"/>
                      <w:bCs w:val="0"/>
                      <w:color w:val="000000" w:themeColor="text1"/>
                      <w:sz w:val="21"/>
                      <w:szCs w:val="21"/>
                      <w:highlight w:val="none"/>
                      <w:lang w:val="en-US" w:eastAsia="zh-CN"/>
                      <w14:textFill>
                        <w14:solidFill>
                          <w14:schemeClr w14:val="tx1"/>
                        </w14:solidFill>
                      </w14:textFill>
                    </w:rPr>
                    <w:t>不敏感</w:t>
                  </w:r>
                </w:p>
              </w:tc>
              <w:tc>
                <w:tcPr>
                  <w:tcW w:w="4095" w:type="dxa"/>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其他</w:t>
                  </w:r>
                </w:p>
              </w:tc>
              <w:tc>
                <w:tcPr>
                  <w:tcW w:w="2879" w:type="dxa"/>
                  <w:gridSpan w:val="2"/>
                  <w:tcBorders>
                    <w:top w:val="single" w:color="auto" w:sz="8" w:space="0"/>
                    <w:left w:val="single" w:color="auto" w:sz="8"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5.5＜pH＜8.5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7" w:type="dxa"/>
                  <w:gridSpan w:val="4"/>
                  <w:tcBorders>
                    <w:top w:val="single" w:color="auto" w:sz="8" w:space="0"/>
                    <w:left w:val="single" w:color="auto" w:sz="4" w:space="0"/>
                    <w:bottom w:val="single" w:color="auto" w:sz="8" w:space="0"/>
                    <w:right w:val="single" w:color="auto" w:sz="8" w:space="0"/>
                  </w:tcBorders>
                  <w:vAlign w:val="center"/>
                </w:tcPr>
                <w:p>
                  <w:pPr>
                    <w:pStyle w:val="4"/>
                    <w:numPr>
                      <w:ilvl w:val="0"/>
                      <w:numId w:val="0"/>
                    </w:num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a是指采用E601观测的多年平均水面蒸发量与降水量的比值，即蒸降比值。</w:t>
                  </w:r>
                </w:p>
              </w:tc>
            </w:tr>
          </w:tbl>
          <w:p>
            <w:pPr>
              <w:pStyle w:val="4"/>
              <w:numPr>
                <w:ilvl w:val="0"/>
                <w:numId w:val="0"/>
              </w:numPr>
              <w:jc w:val="center"/>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表3-5生态影响型评价工作等级划分表</w:t>
            </w:r>
          </w:p>
          <w:tbl>
            <w:tblPr>
              <w:tblStyle w:val="19"/>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1858"/>
              <w:gridCol w:w="1785"/>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4" w:hRule="atLeast"/>
              </w:trPr>
              <w:tc>
                <w:tcPr>
                  <w:tcW w:w="2668" w:type="dxa"/>
                  <w:tcBorders>
                    <w:top w:val="single" w:color="auto" w:sz="8" w:space="0"/>
                    <w:bottom w:val="single" w:color="auto" w:sz="8" w:space="0"/>
                    <w:right w:val="single" w:color="auto" w:sz="8" w:space="0"/>
                  </w:tcBorders>
                  <mc:AlternateContent>
                    <mc:Choice Requires="wpsCustomData">
                      <wpsCustomData:diagonals>
                        <wpsCustomData:diagonal from="5000" to="30000">
                          <wpsCustomData:border w:val="single" w:color="auto" w:sz="8" w:space="0"/>
                        </wpsCustomData:diagonal>
                        <wpsCustomData:diagonal from="15000" to="30000">
                          <wpsCustomData:border w:val="single" w:color="auto" w:sz="8" w:space="0"/>
                        </wpsCustomData:diagonal>
                      </wpsCustomData:diagonals>
                    </mc:Choice>
                  </mc:AlternateContent>
                </w:tcPr>
                <w:p>
                  <w:pPr>
                    <w:spacing w:line="480" w:lineRule="auto"/>
                    <w:rPr>
                      <w:rFonts w:hint="eastAsia"/>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-54610</wp:posOffset>
                            </wp:positionH>
                            <wp:positionV relativeFrom="paragraph">
                              <wp:posOffset>40005</wp:posOffset>
                            </wp:positionV>
                            <wp:extent cx="1228090" cy="323850"/>
                            <wp:effectExtent l="0" t="0" r="0" b="0"/>
                            <wp:wrapNone/>
                            <wp:docPr id="92" name="文本框 92"/>
                            <wp:cNvGraphicFramePr/>
                            <a:graphic xmlns:a="http://schemas.openxmlformats.org/drawingml/2006/main">
                              <a:graphicData uri="http://schemas.microsoft.com/office/word/2010/wordprocessingShape">
                                <wps:wsp>
                                  <wps:cNvSpPr txBox="1"/>
                                  <wps:spPr>
                                    <a:xfrm>
                                      <a:off x="1535430" y="2307590"/>
                                      <a:ext cx="122809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val="en-US" w:eastAsia="zh-CN"/>
                                          </w:rPr>
                                        </w:pPr>
                                        <w:r>
                                          <w:rPr>
                                            <w:rFonts w:hint="eastAsia"/>
                                            <w:sz w:val="21"/>
                                            <w:szCs w:val="21"/>
                                            <w:lang w:val="en-US" w:eastAsia="zh-CN"/>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3.15pt;height:25.5pt;width:96.7pt;z-index:251685888;mso-width-relative:page;mso-height-relative:page;" filled="f" stroked="f" coordsize="21600,21600" o:gfxdata="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BMObrYAAAABwEAAA8AAAAAAAAAAQAg&#10;AAAAIgAAAGRycy9kb3ducmV2LnhtbFBLAQIUABQAAAAIAIdO4kA3wJxARwIAAHQEAAAOAAAAAAAA&#10;AAEAIAAAACcBAABkcnMvZTJvRG9jLnhtbFBLBQYAAAAABgAGAFkBAADgBQAAAAA=&#10;">
                            <v:fill on="f" focussize="0,0"/>
                            <v:stroke on="f" weight="0.5pt"/>
                            <v:imagedata o:title=""/>
                            <o:lock v:ext="edit" aspectratio="f"/>
                            <v:textbox>
                              <w:txbxContent>
                                <w:p>
                                  <w:pPr>
                                    <w:rPr>
                                      <w:rFonts w:hint="eastAsia" w:eastAsia="宋体"/>
                                      <w:sz w:val="21"/>
                                      <w:szCs w:val="21"/>
                                      <w:lang w:val="en-US" w:eastAsia="zh-CN"/>
                                    </w:rPr>
                                  </w:pPr>
                                  <w:r>
                                    <w:rPr>
                                      <w:rFonts w:hint="eastAsia"/>
                                      <w:sz w:val="21"/>
                                      <w:szCs w:val="21"/>
                                      <w:lang w:val="en-US" w:eastAsia="zh-CN"/>
                                    </w:rPr>
                                    <w:t>敏感程度</w:t>
                                  </w:r>
                                </w:p>
                              </w:txbxContent>
                            </v:textbox>
                          </v:shape>
                        </w:pict>
                      </mc:Fallback>
                    </mc:AlternateContent>
                  </w:r>
                  <w:r>
                    <w:rPr>
                      <w:rFonts w:hint="eastAsia"/>
                      <w:color w:val="000000" w:themeColor="text1"/>
                      <w:highlight w:val="none"/>
                      <w:lang w:val="en-US" w:eastAsia="zh-CN"/>
                      <w14:textFill>
                        <w14:solidFill>
                          <w14:schemeClr w14:val="tx1"/>
                        </w14:solidFill>
                      </w14:textFill>
                    </w:rPr>
                    <w:t xml:space="preserve">  </w:t>
                  </w:r>
                </w:p>
                <w:p>
                  <w:pPr>
                    <w:pStyle w:val="4"/>
                    <w:rPr>
                      <w:rFonts w:hint="eastAsia"/>
                      <w:color w:val="000000" w:themeColor="text1"/>
                      <w:highlight w:val="none"/>
                      <w:lang w:val="en-US" w:eastAsia="zh-CN"/>
                      <w14:textFill>
                        <w14:solidFill>
                          <w14:schemeClr w14:val="tx1"/>
                        </w14:solidFill>
                      </w14:textFill>
                    </w:rPr>
                  </w:pPr>
                </w:p>
                <w:p>
                  <w:pPr>
                    <w:spacing w:line="480" w:lineRule="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项目类别</w:t>
                  </w:r>
                </w:p>
                <w:p>
                  <w:pPr>
                    <w:pStyle w:val="4"/>
                    <w:spacing w:line="480" w:lineRule="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评价工作等级</w:t>
                  </w:r>
                </w:p>
                <w:p>
                  <w:pPr>
                    <w:snapToGrid w:val="0"/>
                    <w:spacing w:line="480" w:lineRule="auto"/>
                    <mc:AlternateContent>
                      <mc:Choice Requires="wpsCustomData">
                        <wpsCustomData:diagonalParaType/>
                      </mc:Choice>
                    </mc:AlternateConten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敏感程度</w:t>
                  </w:r>
                </w:p>
                <w:p>
                  <w:pPr>
                    <w:pStyle w:val="4"/>
                    <mc:AlternateContent>
                      <mc:Choice Requires="wpsCustomData">
                        <wpsCustomData:diagonalParaType/>
                      </mc:Choice>
                    </mc:AlternateContent>
                    <w:rPr>
                      <w:rFonts w:hint="default"/>
                      <w:color w:val="000000" w:themeColor="text1"/>
                      <w:highlight w:val="none"/>
                      <w:lang w:val="en-US" w:eastAsia="zh-CN"/>
                      <w14:textFill>
                        <w14:solidFill>
                          <w14:schemeClr w14:val="tx1"/>
                        </w14:solidFill>
                      </w14:textFill>
                    </w:rPr>
                  </w:pPr>
                  <w:r>
                    <w:rPr>
                      <w:sz w:val="28"/>
                    </w:rPr>
                    <mc:AlternateContent>
                      <mc:Choice Requires="wps">
                        <w:drawing>
                          <wp:anchor distT="0" distB="0" distL="114300" distR="114300" simplePos="0" relativeHeight="251691008" behindDoc="0" locked="0" layoutInCell="1" allowOverlap="1">
                            <wp:simplePos x="0" y="0"/>
                            <wp:positionH relativeFrom="column">
                              <wp:posOffset>234950</wp:posOffset>
                            </wp:positionH>
                            <wp:positionV relativeFrom="paragraph">
                              <wp:posOffset>201295</wp:posOffset>
                            </wp:positionV>
                            <wp:extent cx="1000125" cy="247650"/>
                            <wp:effectExtent l="0" t="0" r="0" b="0"/>
                            <wp:wrapNone/>
                            <wp:docPr id="177" name="文本框 177"/>
                            <wp:cNvGraphicFramePr/>
                            <a:graphic xmlns:a="http://schemas.openxmlformats.org/drawingml/2006/main">
                              <a:graphicData uri="http://schemas.microsoft.com/office/word/2010/wordprocessingShape">
                                <wps:wsp>
                                  <wps:cNvSpPr txBox="1"/>
                                  <wps:spPr>
                                    <a:xfrm>
                                      <a:off x="1888490" y="4695190"/>
                                      <a:ext cx="100012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b w:val="0"/>
                                            <w:bCs w:val="0"/>
                                            <w:color w:val="000000" w:themeColor="text1"/>
                                            <w:sz w:val="21"/>
                                            <w:szCs w:val="21"/>
                                            <w:highlight w:val="none"/>
                                            <w:lang w:val="en-US" w:eastAsia="zh-CN"/>
                                            <w14:textFill>
                                              <w14:solidFill>
                                                <w14:schemeClr w14:val="tx1"/>
                                              </w14:solidFill>
                                            </w14:textFill>
                                          </w:rPr>
                                          <w:t>评价工作等级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5.85pt;height:19.5pt;width:78.75pt;z-index:251691008;mso-width-relative:page;mso-height-relative:page;" filled="f" stroked="f" coordsize="21600,21600" o:gfxdata="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Kiy+m2gAAAAgBAAAPAAAAAAAAAAEA&#10;IAAAACIAAABkcnMvZG93bnJldi54bWxQSwECFAAUAAAACACHTuJA/D7CakYCAAB2BAAADgAAAAAA&#10;AAABACAAAAApAQAAZHJzL2Uyb0RvYy54bWxQSwUGAAAAAAYABgBZAQAA4QUAAAAA&#10;">
                            <v:fill on="f" focussize="0,0"/>
                            <v:stroke on="f" weight="0.5pt"/>
                            <v:imagedata o:title=""/>
                            <o:lock v:ext="edit" aspectratio="f"/>
                            <v:textbox>
                              <w:txbxContent>
                                <w:p>
                                  <w:pPr>
                                    <w:rPr>
                                      <w:sz w:val="21"/>
                                      <w:szCs w:val="21"/>
                                    </w:rPr>
                                  </w:pPr>
                                  <w:r>
                                    <w:rPr>
                                      <w:rFonts w:hint="eastAsia"/>
                                      <w:b w:val="0"/>
                                      <w:bCs w:val="0"/>
                                      <w:color w:val="000000" w:themeColor="text1"/>
                                      <w:sz w:val="21"/>
                                      <w:szCs w:val="21"/>
                                      <w:highlight w:val="none"/>
                                      <w:lang w:val="en-US" w:eastAsia="zh-CN"/>
                                      <w14:textFill>
                                        <w14:solidFill>
                                          <w14:schemeClr w14:val="tx1"/>
                                        </w14:solidFill>
                                      </w14:textFill>
                                    </w:rPr>
                                    <w:t>评价工作等级</w:t>
                                  </w:r>
                                </w:p>
                              </w:txbxContent>
                            </v:textbox>
                          </v:shape>
                        </w:pict>
                      </mc:Fallback>
                    </mc:AlternateContent>
                  </w:r>
                </w:p>
                <w:p>
                  <w:pPr>
                    <w:spacing w:line="480" w:lineRule="auto"/>
                    <w:rPr>
                      <w:rFonts w:hint="default"/>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项目类别</w:t>
                  </w:r>
                </w:p>
              </w:tc>
              <w:tc>
                <w:tcPr>
                  <w:tcW w:w="1858"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Ⅰ</w:t>
                  </w:r>
                  <w:r>
                    <w:rPr>
                      <w:rFonts w:hint="eastAsia"/>
                      <w:color w:val="000000" w:themeColor="text1"/>
                      <w:sz w:val="21"/>
                      <w:szCs w:val="21"/>
                      <w:highlight w:val="none"/>
                      <w:vertAlign w:val="baseline"/>
                      <w:lang w:val="en-US" w:eastAsia="zh-CN"/>
                      <w14:textFill>
                        <w14:solidFill>
                          <w14:schemeClr w14:val="tx1"/>
                        </w14:solidFill>
                      </w14:textFill>
                    </w:rPr>
                    <w:t>类</w:t>
                  </w:r>
                </w:p>
              </w:tc>
              <w:tc>
                <w:tcPr>
                  <w:tcW w:w="1785"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Ⅱ</w:t>
                  </w:r>
                  <w:r>
                    <w:rPr>
                      <w:rFonts w:hint="eastAsia"/>
                      <w:color w:val="000000" w:themeColor="text1"/>
                      <w:sz w:val="21"/>
                      <w:szCs w:val="21"/>
                      <w:highlight w:val="none"/>
                      <w:vertAlign w:val="baseline"/>
                      <w:lang w:val="en-US" w:eastAsia="zh-CN"/>
                      <w14:textFill>
                        <w14:solidFill>
                          <w14:schemeClr w14:val="tx1"/>
                        </w14:solidFill>
                      </w14:textFill>
                    </w:rPr>
                    <w:t>类</w:t>
                  </w:r>
                </w:p>
              </w:tc>
              <w:tc>
                <w:tcPr>
                  <w:tcW w:w="1726"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 w:val="21"/>
                      <w:szCs w:val="21"/>
                      <w:highlight w:val="none"/>
                      <w:vertAlign w:val="baseline"/>
                      <w:lang w:val="en-US" w:eastAsia="zh-CN"/>
                      <w14:textFill>
                        <w14:solidFill>
                          <w14:schemeClr w14:val="tx1"/>
                        </w14:solidFill>
                      </w14:textFill>
                    </w:rPr>
                    <w:t>Ⅲ</w:t>
                  </w:r>
                  <w:r>
                    <w:rPr>
                      <w:rFonts w:hint="eastAsia"/>
                      <w:color w:val="000000" w:themeColor="text1"/>
                      <w:sz w:val="21"/>
                      <w:szCs w:val="21"/>
                      <w:highlight w:val="none"/>
                      <w:vertAlign w:val="baseline"/>
                      <w:lang w:val="en-US" w:eastAsia="zh-CN"/>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668" w:type="dxa"/>
                  <w:tcBorders>
                    <w:top w:val="single" w:color="auto" w:sz="8" w:space="0"/>
                    <w:left w:val="single" w:color="auto" w:sz="4"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敏感</w:t>
                  </w:r>
                </w:p>
              </w:tc>
              <w:tc>
                <w:tcPr>
                  <w:tcW w:w="1858"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一级</w:t>
                  </w:r>
                </w:p>
              </w:tc>
              <w:tc>
                <w:tcPr>
                  <w:tcW w:w="1785"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二级</w:t>
                  </w:r>
                </w:p>
              </w:tc>
              <w:tc>
                <w:tcPr>
                  <w:tcW w:w="1726"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668" w:type="dxa"/>
                  <w:tcBorders>
                    <w:top w:val="single" w:color="auto" w:sz="8" w:space="0"/>
                    <w:left w:val="single" w:color="auto" w:sz="4"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较敏感</w:t>
                  </w:r>
                </w:p>
              </w:tc>
              <w:tc>
                <w:tcPr>
                  <w:tcW w:w="1858"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二级</w:t>
                  </w:r>
                </w:p>
              </w:tc>
              <w:tc>
                <w:tcPr>
                  <w:tcW w:w="1785"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二级</w:t>
                  </w:r>
                </w:p>
              </w:tc>
              <w:tc>
                <w:tcPr>
                  <w:tcW w:w="1726"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668" w:type="dxa"/>
                  <w:tcBorders>
                    <w:top w:val="single" w:color="auto" w:sz="8" w:space="0"/>
                    <w:left w:val="single" w:color="auto" w:sz="4"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不敏感</w:t>
                  </w:r>
                </w:p>
              </w:tc>
              <w:tc>
                <w:tcPr>
                  <w:tcW w:w="1858"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二级</w:t>
                  </w:r>
                </w:p>
              </w:tc>
              <w:tc>
                <w:tcPr>
                  <w:tcW w:w="1785"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三级</w:t>
                  </w:r>
                </w:p>
              </w:tc>
              <w:tc>
                <w:tcPr>
                  <w:tcW w:w="1726" w:type="dxa"/>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037" w:type="dxa"/>
                  <w:gridSpan w:val="4"/>
                  <w:tcBorders>
                    <w:top w:val="single" w:color="auto" w:sz="8" w:space="0"/>
                    <w:left w:val="single" w:color="auto" w:sz="4" w:space="0"/>
                    <w:bottom w:val="single" w:color="auto" w:sz="8" w:space="0"/>
                    <w:right w:val="single" w:color="auto" w:sz="8" w:space="0"/>
                  </w:tcBorders>
                  <w:vAlign w:val="center"/>
                </w:tcPr>
                <w:p>
                  <w:pPr>
                    <w:spacing w:line="240" w:lineRule="auto"/>
                    <w:jc w:val="both"/>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注：“--”表示可不开展土壤环境影响评价工作。</w:t>
                  </w:r>
                </w:p>
              </w:tc>
            </w:tr>
          </w:tbl>
          <w:p>
            <w:pPr>
              <w:bidi w:val="0"/>
              <w:ind w:left="0" w:leftChars="0" w:firstLine="480" w:firstLineChars="200"/>
              <w:rPr>
                <w:rFonts w:hint="default"/>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所以</w:t>
            </w:r>
            <w:r>
              <w:rPr>
                <w:rFonts w:hint="eastAsia"/>
                <w:b w:val="0"/>
                <w:bCs w:val="0"/>
                <w:color w:val="000000" w:themeColor="text1"/>
                <w:sz w:val="24"/>
                <w:szCs w:val="24"/>
                <w:lang w:val="en-US" w:eastAsia="zh-CN"/>
                <w14:textFill>
                  <w14:solidFill>
                    <w14:schemeClr w14:val="tx1"/>
                  </w14:solidFill>
                </w14:textFill>
              </w:rPr>
              <w:t>本次不开展土壤环境影响评价工作，不进行土壤环境现状调查。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3" w:hRule="atLeast"/>
          <w:jc w:val="center"/>
        </w:trPr>
        <w:tc>
          <w:tcPr>
            <w:tcW w:w="904" w:type="dxa"/>
            <w:vAlign w:val="center"/>
          </w:tcPr>
          <w:p>
            <w:pPr>
              <w:adjustRightInd w:val="0"/>
              <w:snapToGrid w:val="0"/>
              <w:jc w:val="center"/>
              <w:rPr>
                <w:color w:val="000000" w:themeColor="text1"/>
                <w:kern w:val="0"/>
                <w:szCs w:val="21"/>
                <w14:textFill>
                  <w14:solidFill>
                    <w14:schemeClr w14:val="tx1"/>
                  </w14:solidFill>
                </w14:textFill>
              </w:rPr>
            </w:pPr>
            <w:r>
              <w:rPr>
                <w:bCs/>
                <w:color w:val="000000" w:themeColor="text1"/>
                <w:sz w:val="24"/>
                <w:szCs w:val="24"/>
                <w14:textFill>
                  <w14:solidFill>
                    <w14:schemeClr w14:val="tx1"/>
                  </w14:solidFill>
                </w14:textFill>
              </w:rPr>
              <w:t>与项目有关的原有环境污染和生态破坏问题</w:t>
            </w:r>
          </w:p>
        </w:tc>
        <w:tc>
          <w:tcPr>
            <w:tcW w:w="8253" w:type="dxa"/>
            <w:vAlign w:val="center"/>
          </w:tcPr>
          <w:p>
            <w:pPr>
              <w:pStyle w:val="29"/>
              <w:numPr>
                <w:ilvl w:val="0"/>
                <w:numId w:val="0"/>
              </w:numPr>
              <w:tabs>
                <w:tab w:val="left" w:pos="0"/>
              </w:tabs>
              <w:bidi w:val="0"/>
              <w:spacing w:line="360" w:lineRule="auto"/>
              <w:rPr>
                <w:rFonts w:hint="default" w:cs="Times New Roman"/>
                <w:color w:val="000000" w:themeColor="text1"/>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本项目为新建项目，不涉及原有环境污染和生态破坏问题</w:t>
            </w:r>
            <w:r>
              <w:rPr>
                <w:color w:val="000000" w:themeColor="text1"/>
                <w:ker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41" w:hRule="atLeast"/>
          <w:jc w:val="center"/>
        </w:trPr>
        <w:tc>
          <w:tcPr>
            <w:tcW w:w="904" w:type="dxa"/>
            <w:vAlign w:val="center"/>
          </w:tcPr>
          <w:p>
            <w:pPr>
              <w:adjustRightInd w:val="0"/>
              <w:snapToGrid w:val="0"/>
              <w:jc w:val="center"/>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生态环境保护目标</w:t>
            </w:r>
          </w:p>
        </w:tc>
        <w:tc>
          <w:tcPr>
            <w:tcW w:w="8253" w:type="dxa"/>
            <w:vAlign w:val="center"/>
          </w:tcPr>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1.评价范围</w:t>
            </w:r>
          </w:p>
          <w:p>
            <w:pPr>
              <w:widowControl/>
              <w:spacing w:line="360" w:lineRule="auto"/>
              <w:ind w:firstLine="496" w:firstLineChars="200"/>
              <w:rPr>
                <w:rFonts w:hint="default" w:ascii="Times New Roman" w:hAnsi="Times New Roman" w:cs="Times New Roman"/>
                <w:color w:val="000000" w:themeColor="text1"/>
                <w:spacing w:val="4"/>
                <w:kern w:val="0"/>
                <w:sz w:val="24"/>
                <w:lang w:val="en-US" w:eastAsia="zh-CN"/>
                <w14:textFill>
                  <w14:solidFill>
                    <w14:schemeClr w14:val="tx1"/>
                  </w14:solidFill>
                </w14:textFill>
              </w:rPr>
            </w:pPr>
            <w:r>
              <w:rPr>
                <w:rFonts w:hint="default" w:ascii="Times New Roman" w:hAnsi="Times New Roman" w:cs="Times New Roman"/>
                <w:color w:val="000000" w:themeColor="text1"/>
                <w:spacing w:val="4"/>
                <w:kern w:val="0"/>
                <w:sz w:val="24"/>
                <w:lang w:val="en-US" w:eastAsia="zh-CN"/>
                <w14:textFill>
                  <w14:solidFill>
                    <w14:schemeClr w14:val="tx1"/>
                  </w14:solidFill>
                </w14:textFill>
              </w:rPr>
              <w:t>工程生态环境直接影响范围主要集中在项目区，考虑工程分布和运行特点，以及对区域生态环境景观的影响状况，确定项目生态评价范围为：</w:t>
            </w:r>
            <w:r>
              <w:rPr>
                <w:rFonts w:hint="eastAsia" w:ascii="Times New Roman" w:hAnsi="Times New Roman" w:cs="Times New Roman"/>
                <w:color w:val="000000" w:themeColor="text1"/>
                <w:spacing w:val="4"/>
                <w:kern w:val="0"/>
                <w:sz w:val="24"/>
                <w:lang w:val="en-US" w:eastAsia="zh-CN"/>
                <w14:textFill>
                  <w14:solidFill>
                    <w14:schemeClr w14:val="tx1"/>
                  </w14:solidFill>
                </w14:textFill>
              </w:rPr>
              <w:t>项目沿线两侧2</w:t>
            </w:r>
            <w:r>
              <w:rPr>
                <w:rFonts w:hint="default" w:ascii="Times New Roman" w:hAnsi="Times New Roman" w:cs="Times New Roman"/>
                <w:color w:val="000000" w:themeColor="text1"/>
                <w:spacing w:val="4"/>
                <w:kern w:val="0"/>
                <w:sz w:val="24"/>
                <w:lang w:val="en-US" w:eastAsia="zh-CN"/>
                <w14:textFill>
                  <w14:solidFill>
                    <w14:schemeClr w14:val="tx1"/>
                  </w14:solidFill>
                </w14:textFill>
              </w:rPr>
              <w:t>00m的范围</w:t>
            </w:r>
            <w:r>
              <w:rPr>
                <w:rFonts w:hint="eastAsia" w:ascii="Times New Roman" w:hAnsi="Times New Roman" w:cs="Times New Roman"/>
                <w:color w:val="000000" w:themeColor="text1"/>
                <w:spacing w:val="4"/>
                <w:kern w:val="0"/>
                <w:sz w:val="24"/>
                <w:lang w:val="en-US" w:eastAsia="zh-CN"/>
                <w14:textFill>
                  <w14:solidFill>
                    <w14:schemeClr w14:val="tx1"/>
                  </w14:solidFill>
                </w14:textFill>
              </w:rPr>
              <w:t>，施工场地</w:t>
            </w:r>
            <w:r>
              <w:rPr>
                <w:rFonts w:hint="default" w:ascii="Times New Roman" w:hAnsi="Times New Roman" w:cs="Times New Roman"/>
                <w:color w:val="000000" w:themeColor="text1"/>
                <w:spacing w:val="4"/>
                <w:kern w:val="0"/>
                <w:sz w:val="24"/>
                <w:szCs w:val="24"/>
                <w:lang w:val="en-US" w:eastAsia="zh-CN"/>
                <w14:textFill>
                  <w14:solidFill>
                    <w14:schemeClr w14:val="tx1"/>
                  </w14:solidFill>
                </w14:textFill>
              </w:rPr>
              <w:t>等</w:t>
            </w:r>
            <w:r>
              <w:rPr>
                <w:rFonts w:hint="default" w:ascii="Times New Roman" w:hAnsi="Times New Roman" w:cs="Times New Roman"/>
                <w:color w:val="000000" w:themeColor="text1"/>
                <w:sz w:val="24"/>
                <w:szCs w:val="24"/>
                <w14:textFill>
                  <w14:solidFill>
                    <w14:schemeClr w14:val="tx1"/>
                  </w14:solidFill>
                </w14:textFill>
              </w:rPr>
              <w:t>临时占地范围外侧</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00m</w:t>
            </w:r>
            <w:r>
              <w:rPr>
                <w:rFonts w:hint="default" w:ascii="Times New Roman" w:hAnsi="Times New Roman" w:cs="Times New Roman"/>
                <w:color w:val="000000" w:themeColor="text1"/>
                <w:spacing w:val="4"/>
                <w:kern w:val="0"/>
                <w:sz w:val="24"/>
                <w:szCs w:val="24"/>
                <w:lang w:val="en-US" w:eastAsia="zh-CN"/>
                <w14:textFill>
                  <w14:solidFill>
                    <w14:schemeClr w14:val="tx1"/>
                  </w14:solidFill>
                </w14:textFill>
              </w:rPr>
              <w:t>。</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2.保护目标</w:t>
            </w:r>
          </w:p>
          <w:p>
            <w:pPr>
              <w:spacing w:before="120" w:beforeLines="50" w:line="360" w:lineRule="auto"/>
              <w:ind w:firstLine="480" w:firstLineChars="200"/>
              <w:jc w:val="left"/>
              <w:rPr>
                <w:rFonts w:hint="eastAsia" w:ascii="宋体" w:hAnsi="宋体" w:eastAsia="宋体" w:cs="宋体"/>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1312545</wp:posOffset>
                      </wp:positionH>
                      <wp:positionV relativeFrom="paragraph">
                        <wp:posOffset>873760</wp:posOffset>
                      </wp:positionV>
                      <wp:extent cx="2108835" cy="512445"/>
                      <wp:effectExtent l="0" t="0" r="0" b="0"/>
                      <wp:wrapNone/>
                      <wp:docPr id="40" name="文本框 40"/>
                      <wp:cNvGraphicFramePr/>
                      <a:graphic xmlns:a="http://schemas.openxmlformats.org/drawingml/2006/main">
                        <a:graphicData uri="http://schemas.microsoft.com/office/word/2010/wordprocessingShape">
                          <wps:wsp>
                            <wps:cNvSpPr txBox="1"/>
                            <wps:spPr>
                              <a:xfrm>
                                <a:off x="3065145" y="3639185"/>
                                <a:ext cx="2108835" cy="512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line="360" w:lineRule="auto"/>
                                    <w:ind w:left="0" w:leftChars="0" w:firstLine="0" w:firstLineChars="0"/>
                                    <w:jc w:val="center"/>
                                    <w:rPr>
                                      <w:rFonts w:hint="eastAsia" w:ascii="宋体" w:hAnsi="宋体" w:eastAsia="宋体" w:cs="宋体"/>
                                      <w:sz w:val="24"/>
                                      <w:szCs w:val="24"/>
                                    </w:rPr>
                                  </w:pPr>
                                  <w:r>
                                    <w:rPr>
                                      <w:b/>
                                      <w:bCs w:val="0"/>
                                      <w:kern w:val="0"/>
                                      <w:sz w:val="24"/>
                                      <w:szCs w:val="24"/>
                                    </w:rPr>
                                    <w:t>表</w:t>
                                  </w:r>
                                  <w:r>
                                    <w:rPr>
                                      <w:rFonts w:hint="eastAsia"/>
                                      <w:b/>
                                      <w:bCs w:val="0"/>
                                      <w:kern w:val="0"/>
                                      <w:sz w:val="24"/>
                                      <w:szCs w:val="24"/>
                                      <w:lang w:val="en-US" w:eastAsia="zh-CN"/>
                                    </w:rPr>
                                    <w:t>3-4</w:t>
                                  </w:r>
                                  <w:r>
                                    <w:rPr>
                                      <w:b/>
                                      <w:bCs w:val="0"/>
                                      <w:kern w:val="0"/>
                                      <w:sz w:val="24"/>
                                      <w:szCs w:val="24"/>
                                    </w:rPr>
                                    <w:t xml:space="preserve"> 生态环境保护目</w:t>
                                  </w:r>
                                  <w:r>
                                    <w:rPr>
                                      <w:rFonts w:hint="eastAsia"/>
                                      <w:b/>
                                      <w:bCs w:val="0"/>
                                      <w:kern w:val="0"/>
                                      <w:sz w:val="24"/>
                                      <w:szCs w:val="24"/>
                                      <w:lang w:val="en-US" w:eastAsia="zh-CN"/>
                                    </w:rPr>
                                    <w:t>标</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68.8pt;height:40.35pt;width:166.05pt;z-index:251674624;mso-width-relative:page;mso-height-relative:page;" filled="f" stroked="f" coordsize="21600,21600" o:gfxdata="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aBBefbAAAACwEAAA8AAAAAAAAA&#10;AQAgAAAAIgAAAGRycy9kb3ducmV2LnhtbFBLAQIUABQAAAAIAIdO4kBleDm6RwIAAHQEAAAOAAAA&#10;AAAAAAEAIAAAACoBAABkcnMvZTJvRG9jLnhtbFBLBQYAAAAABgAGAFkBAADjBQAAAAA=&#10;">
                      <v:fill on="f" focussize="0,0"/>
                      <v:stroke on="f" weight="0.5pt"/>
                      <v:imagedata o:title=""/>
                      <o:lock v:ext="edit" aspectratio="f"/>
                      <v:textbox>
                        <w:txbxContent>
                          <w:p>
                            <w:pPr>
                              <w:spacing w:before="120" w:beforeLines="50" w:line="360" w:lineRule="auto"/>
                              <w:ind w:left="0" w:leftChars="0" w:firstLine="0" w:firstLineChars="0"/>
                              <w:jc w:val="center"/>
                              <w:rPr>
                                <w:rFonts w:hint="eastAsia" w:ascii="宋体" w:hAnsi="宋体" w:eastAsia="宋体" w:cs="宋体"/>
                                <w:sz w:val="24"/>
                                <w:szCs w:val="24"/>
                              </w:rPr>
                            </w:pPr>
                            <w:r>
                              <w:rPr>
                                <w:b/>
                                <w:bCs w:val="0"/>
                                <w:kern w:val="0"/>
                                <w:sz w:val="24"/>
                                <w:szCs w:val="24"/>
                              </w:rPr>
                              <w:t>表</w:t>
                            </w:r>
                            <w:r>
                              <w:rPr>
                                <w:rFonts w:hint="eastAsia"/>
                                <w:b/>
                                <w:bCs w:val="0"/>
                                <w:kern w:val="0"/>
                                <w:sz w:val="24"/>
                                <w:szCs w:val="24"/>
                                <w:lang w:val="en-US" w:eastAsia="zh-CN"/>
                              </w:rPr>
                              <w:t>3-4</w:t>
                            </w:r>
                            <w:r>
                              <w:rPr>
                                <w:b/>
                                <w:bCs w:val="0"/>
                                <w:kern w:val="0"/>
                                <w:sz w:val="24"/>
                                <w:szCs w:val="24"/>
                              </w:rPr>
                              <w:t xml:space="preserve"> 生态环境保护目</w:t>
                            </w:r>
                            <w:r>
                              <w:rPr>
                                <w:rFonts w:hint="eastAsia"/>
                                <w:b/>
                                <w:bCs w:val="0"/>
                                <w:kern w:val="0"/>
                                <w:sz w:val="24"/>
                                <w:szCs w:val="24"/>
                                <w:lang w:val="en-US" w:eastAsia="zh-CN"/>
                              </w:rPr>
                              <w:t>标</w:t>
                            </w:r>
                          </w:p>
                          <w:p>
                            <w:pPr>
                              <w:jc w:val="center"/>
                            </w:pPr>
                          </w:p>
                        </w:txbxContent>
                      </v:textbox>
                    </v:shape>
                  </w:pict>
                </mc:Fallback>
              </mc:AlternateContent>
            </w:r>
            <w:r>
              <w:rPr>
                <w:rFonts w:hint="eastAsia" w:ascii="宋体" w:hAnsi="宋体" w:eastAsia="宋体" w:cs="宋体"/>
                <w:color w:val="000000" w:themeColor="text1"/>
                <w14:textFill>
                  <w14:solidFill>
                    <w14:schemeClr w14:val="tx1"/>
                  </w14:solidFill>
                </w14:textFill>
              </w:rPr>
              <w:t>根据现场踏勘，本项目区域没有发现珍稀、濒危动、植物，也没有风景名胜区和自然保护区，因此本次生态环境保护目标主要是</w:t>
            </w:r>
            <w:r>
              <w:rPr>
                <w:rFonts w:hint="eastAsia" w:ascii="宋体" w:hAnsi="宋体" w:cs="宋体"/>
                <w:color w:val="000000" w:themeColor="text1"/>
                <w:lang w:val="en-US" w:eastAsia="zh-CN"/>
                <w14:textFill>
                  <w14:solidFill>
                    <w14:schemeClr w14:val="tx1"/>
                  </w14:solidFill>
                </w14:textFill>
              </w:rPr>
              <w:t>施工沿线</w:t>
            </w:r>
            <w:r>
              <w:rPr>
                <w:rFonts w:hint="eastAsia" w:ascii="宋体" w:hAnsi="宋体" w:eastAsia="宋体" w:cs="宋体"/>
                <w:color w:val="000000" w:themeColor="text1"/>
                <w14:textFill>
                  <w14:solidFill>
                    <w14:schemeClr w14:val="tx1"/>
                  </w14:solidFill>
                </w14:textFill>
              </w:rPr>
              <w:t>两侧红线外</w:t>
            </w:r>
            <w:r>
              <w:rPr>
                <w:rFonts w:hint="default" w:ascii="Times New Roman" w:hAnsi="Times New Roman" w:eastAsia="宋体" w:cs="Times New Roman"/>
                <w:color w:val="000000" w:themeColor="text1"/>
                <w14:textFill>
                  <w14:solidFill>
                    <w14:schemeClr w14:val="tx1"/>
                  </w14:solidFill>
                </w14:textFill>
              </w:rPr>
              <w:t>200m</w:t>
            </w:r>
            <w:r>
              <w:rPr>
                <w:rFonts w:hint="eastAsia" w:ascii="宋体" w:hAnsi="宋体" w:eastAsia="宋体" w:cs="宋体"/>
                <w:color w:val="000000" w:themeColor="text1"/>
                <w14:textFill>
                  <w14:solidFill>
                    <w14:schemeClr w14:val="tx1"/>
                  </w14:solidFill>
                </w14:textFill>
              </w:rPr>
              <w:t>范围内沿线植被、野生动物及耕地等，主要生态环境保护目标见表</w:t>
            </w:r>
            <w:r>
              <w:rPr>
                <w:rFonts w:hint="default" w:ascii="Times New Roman" w:hAnsi="Times New Roman" w:eastAsia="宋体" w:cs="Times New Roman"/>
                <w:color w:val="000000" w:themeColor="text1"/>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w:t>
            </w:r>
          </w:p>
          <w:tbl>
            <w:tblPr>
              <w:tblStyle w:val="18"/>
              <w:tblpPr w:leftFromText="180" w:rightFromText="180" w:vertAnchor="text" w:horzAnchor="page" w:tblpXSpec="center" w:tblpY="423"/>
              <w:tblOverlap w:val="never"/>
              <w:tblW w:w="79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25"/>
              <w:gridCol w:w="3544"/>
              <w:gridCol w:w="29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79" w:hRule="atLeast"/>
                <w:jc w:val="center"/>
              </w:trPr>
              <w:tc>
                <w:tcPr>
                  <w:tcW w:w="1525" w:type="dxa"/>
                  <w:tcBorders>
                    <w:right w:val="single" w:color="auto" w:sz="4" w:space="0"/>
                  </w:tcBorders>
                  <w:vAlign w:val="center"/>
                </w:tcPr>
                <w:p>
                  <w:pPr>
                    <w:pStyle w:val="33"/>
                    <w:tabs>
                      <w:tab w:val="left" w:pos="0"/>
                    </w:tabs>
                    <w:spacing w:line="240" w:lineRule="auto"/>
                    <w:textAlignment w:val="center"/>
                    <w:rPr>
                      <w:rFonts w:hAnsi="Times New Roman"/>
                      <w:color w:val="000000" w:themeColor="text1"/>
                      <w:sz w:val="21"/>
                      <w:szCs w:val="21"/>
                      <w14:textFill>
                        <w14:solidFill>
                          <w14:schemeClr w14:val="tx1"/>
                        </w14:solidFill>
                      </w14:textFill>
                    </w:rPr>
                  </w:pPr>
                  <w:r>
                    <w:rPr>
                      <w:rFonts w:hAnsi="Times New Roman"/>
                      <w:color w:val="000000" w:themeColor="text1"/>
                      <w:sz w:val="21"/>
                      <w:szCs w:val="21"/>
                      <w14:textFill>
                        <w14:solidFill>
                          <w14:schemeClr w14:val="tx1"/>
                        </w14:solidFill>
                      </w14:textFill>
                    </w:rPr>
                    <w:t>环境保护目标</w:t>
                  </w:r>
                </w:p>
              </w:tc>
              <w:tc>
                <w:tcPr>
                  <w:tcW w:w="3544" w:type="dxa"/>
                  <w:tcBorders>
                    <w:left w:val="single" w:color="auto" w:sz="4" w:space="0"/>
                  </w:tcBorders>
                  <w:vAlign w:val="center"/>
                </w:tcPr>
                <w:p>
                  <w:pPr>
                    <w:pStyle w:val="33"/>
                    <w:tabs>
                      <w:tab w:val="left" w:pos="0"/>
                    </w:tabs>
                    <w:spacing w:line="240" w:lineRule="auto"/>
                    <w:ind w:firstLine="420"/>
                    <w:textAlignment w:val="center"/>
                    <w:rPr>
                      <w:rFonts w:hAnsi="Times New Roman"/>
                      <w:color w:val="000000" w:themeColor="text1"/>
                      <w:sz w:val="21"/>
                      <w:szCs w:val="21"/>
                      <w14:textFill>
                        <w14:solidFill>
                          <w14:schemeClr w14:val="tx1"/>
                        </w14:solidFill>
                      </w14:textFill>
                    </w:rPr>
                  </w:pPr>
                  <w:r>
                    <w:rPr>
                      <w:rFonts w:hAnsi="Times New Roman"/>
                      <w:color w:val="000000" w:themeColor="text1"/>
                      <w:sz w:val="21"/>
                      <w:szCs w:val="21"/>
                      <w14:textFill>
                        <w14:solidFill>
                          <w14:schemeClr w14:val="tx1"/>
                        </w14:solidFill>
                      </w14:textFill>
                    </w:rPr>
                    <w:t>敏感目标特征</w:t>
                  </w:r>
                </w:p>
              </w:tc>
              <w:tc>
                <w:tcPr>
                  <w:tcW w:w="2910" w:type="dxa"/>
                  <w:vAlign w:val="center"/>
                </w:tcPr>
                <w:p>
                  <w:pPr>
                    <w:pStyle w:val="33"/>
                    <w:tabs>
                      <w:tab w:val="left" w:pos="0"/>
                    </w:tabs>
                    <w:spacing w:line="240" w:lineRule="auto"/>
                    <w:ind w:firstLine="420"/>
                    <w:textAlignment w:val="center"/>
                    <w:rPr>
                      <w:rFonts w:hAnsi="Times New Roman"/>
                      <w:color w:val="000000" w:themeColor="text1"/>
                      <w:sz w:val="21"/>
                      <w:szCs w:val="21"/>
                      <w14:textFill>
                        <w14:solidFill>
                          <w14:schemeClr w14:val="tx1"/>
                        </w14:solidFill>
                      </w14:textFill>
                    </w:rPr>
                  </w:pPr>
                  <w:r>
                    <w:rPr>
                      <w:rFonts w:hAnsi="Times New Roman"/>
                      <w:color w:val="000000" w:themeColor="text1"/>
                      <w:sz w:val="21"/>
                      <w:szCs w:val="21"/>
                      <w14:textFill>
                        <w14:solidFill>
                          <w14:schemeClr w14:val="tx1"/>
                        </w14:solidFill>
                      </w14:textFill>
                    </w:rPr>
                    <w:t>影响因素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1525" w:type="dxa"/>
                  <w:tcBorders>
                    <w:right w:val="single" w:color="auto" w:sz="4" w:space="0"/>
                  </w:tcBorders>
                  <w:vAlign w:val="center"/>
                </w:tcPr>
                <w:p>
                  <w:pPr>
                    <w:spacing w:line="240" w:lineRule="auto"/>
                    <w:jc w:val="center"/>
                    <w:textAlignment w:val="center"/>
                    <w:rPr>
                      <w:rFonts w:hAnsi="Times New Roman"/>
                      <w:color w:val="000000" w:themeColor="text1"/>
                      <w:sz w:val="21"/>
                      <w:szCs w:val="21"/>
                      <w14:textFill>
                        <w14:solidFill>
                          <w14:schemeClr w14:val="tx1"/>
                        </w14:solidFill>
                      </w14:textFill>
                    </w:rPr>
                  </w:pPr>
                  <w:r>
                    <w:rPr>
                      <w:rFonts w:hAnsi="Times New Roman"/>
                      <w:color w:val="000000" w:themeColor="text1"/>
                      <w:sz w:val="21"/>
                      <w:szCs w:val="21"/>
                      <w14:textFill>
                        <w14:solidFill>
                          <w14:schemeClr w14:val="tx1"/>
                        </w14:solidFill>
                      </w14:textFill>
                    </w:rPr>
                    <w:t>沿线植被</w:t>
                  </w:r>
                </w:p>
              </w:tc>
              <w:tc>
                <w:tcPr>
                  <w:tcW w:w="3544" w:type="dxa"/>
                  <w:tcBorders>
                    <w:left w:val="single" w:color="auto" w:sz="4" w:space="0"/>
                  </w:tcBorders>
                  <w:vAlign w:val="center"/>
                </w:tcPr>
                <w:p>
                  <w:pPr>
                    <w:pStyle w:val="33"/>
                    <w:tabs>
                      <w:tab w:val="left" w:pos="0"/>
                    </w:tabs>
                    <w:spacing w:line="240" w:lineRule="auto"/>
                    <w:jc w:val="both"/>
                    <w:textAlignment w:val="center"/>
                    <w:rPr>
                      <w:rFonts w:hAnsi="Times New Roman"/>
                      <w:b w:val="0"/>
                      <w:bCs/>
                      <w:color w:val="000000" w:themeColor="text1"/>
                      <w:sz w:val="21"/>
                      <w:szCs w:val="21"/>
                      <w14:textFill>
                        <w14:solidFill>
                          <w14:schemeClr w14:val="tx1"/>
                        </w14:solidFill>
                      </w14:textFill>
                    </w:rPr>
                  </w:pPr>
                  <w:r>
                    <w:rPr>
                      <w:rFonts w:hAnsi="Times New Roman"/>
                      <w:b w:val="0"/>
                      <w:bCs/>
                      <w:color w:val="000000" w:themeColor="text1"/>
                      <w:sz w:val="21"/>
                      <w:szCs w:val="21"/>
                      <w14:textFill>
                        <w14:solidFill>
                          <w14:schemeClr w14:val="tx1"/>
                        </w14:solidFill>
                      </w14:textFill>
                    </w:rPr>
                    <w:t>项目区人类活动频繁，项目沿线原生植被以常见农作物、草本</w:t>
                  </w:r>
                  <w:r>
                    <w:rPr>
                      <w:rFonts w:hint="eastAsia" w:hAnsi="Times New Roman"/>
                      <w:b w:val="0"/>
                      <w:bCs/>
                      <w:color w:val="000000" w:themeColor="text1"/>
                      <w:sz w:val="21"/>
                      <w:szCs w:val="21"/>
                      <w:lang w:eastAsia="zh-CN"/>
                      <w14:textFill>
                        <w14:solidFill>
                          <w14:schemeClr w14:val="tx1"/>
                        </w14:solidFill>
                      </w14:textFill>
                    </w:rPr>
                    <w:t>、</w:t>
                  </w:r>
                  <w:r>
                    <w:rPr>
                      <w:rFonts w:hint="eastAsia" w:hAnsi="Times New Roman"/>
                      <w:b w:val="0"/>
                      <w:bCs/>
                      <w:color w:val="000000" w:themeColor="text1"/>
                      <w:sz w:val="21"/>
                      <w:szCs w:val="21"/>
                      <w:lang w:val="en-US" w:eastAsia="zh-CN"/>
                      <w14:textFill>
                        <w14:solidFill>
                          <w14:schemeClr w14:val="tx1"/>
                        </w14:solidFill>
                      </w14:textFill>
                    </w:rPr>
                    <w:t>林地</w:t>
                  </w:r>
                  <w:r>
                    <w:rPr>
                      <w:rFonts w:hAnsi="Times New Roman"/>
                      <w:b w:val="0"/>
                      <w:bCs/>
                      <w:color w:val="000000" w:themeColor="text1"/>
                      <w:sz w:val="21"/>
                      <w:szCs w:val="21"/>
                      <w14:textFill>
                        <w14:solidFill>
                          <w14:schemeClr w14:val="tx1"/>
                        </w14:solidFill>
                      </w14:textFill>
                    </w:rPr>
                    <w:t>为主。</w:t>
                  </w:r>
                </w:p>
              </w:tc>
              <w:tc>
                <w:tcPr>
                  <w:tcW w:w="2910" w:type="dxa"/>
                  <w:vAlign w:val="center"/>
                </w:tcPr>
                <w:p>
                  <w:pPr>
                    <w:pStyle w:val="33"/>
                    <w:tabs>
                      <w:tab w:val="left" w:pos="0"/>
                    </w:tabs>
                    <w:spacing w:line="240" w:lineRule="auto"/>
                    <w:textAlignment w:val="center"/>
                    <w:rPr>
                      <w:rFonts w:hAnsi="Times New Roman"/>
                      <w:b w:val="0"/>
                      <w:bCs/>
                      <w:color w:val="000000" w:themeColor="text1"/>
                      <w:sz w:val="21"/>
                      <w:szCs w:val="21"/>
                      <w14:textFill>
                        <w14:solidFill>
                          <w14:schemeClr w14:val="tx1"/>
                        </w14:solidFill>
                      </w14:textFill>
                    </w:rPr>
                  </w:pPr>
                  <w:r>
                    <w:rPr>
                      <w:rFonts w:hAnsi="Times New Roman"/>
                      <w:b w:val="0"/>
                      <w:bCs/>
                      <w:color w:val="000000" w:themeColor="text1"/>
                      <w:sz w:val="21"/>
                      <w:szCs w:val="21"/>
                      <w14:textFill>
                        <w14:solidFill>
                          <w14:schemeClr w14:val="tx1"/>
                        </w14:solidFill>
                      </w14:textFill>
                    </w:rPr>
                    <w:t>土地占用将造成区域植被的损失。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525" w:type="dxa"/>
                  <w:tcBorders>
                    <w:right w:val="single" w:color="auto" w:sz="4" w:space="0"/>
                  </w:tcBorders>
                  <w:vAlign w:val="center"/>
                </w:tcPr>
                <w:p>
                  <w:pPr>
                    <w:spacing w:line="240" w:lineRule="auto"/>
                    <w:jc w:val="center"/>
                    <w:textAlignment w:val="center"/>
                    <w:rPr>
                      <w:rFonts w:hAnsi="Times New Roman"/>
                      <w:color w:val="000000" w:themeColor="text1"/>
                      <w:sz w:val="21"/>
                      <w:szCs w:val="21"/>
                      <w14:textFill>
                        <w14:solidFill>
                          <w14:schemeClr w14:val="tx1"/>
                        </w14:solidFill>
                      </w14:textFill>
                    </w:rPr>
                  </w:pPr>
                  <w:r>
                    <w:rPr>
                      <w:rFonts w:hAnsi="Times New Roman"/>
                      <w:color w:val="000000" w:themeColor="text1"/>
                      <w:sz w:val="21"/>
                      <w:szCs w:val="21"/>
                      <w14:textFill>
                        <w14:solidFill>
                          <w14:schemeClr w14:val="tx1"/>
                        </w14:solidFill>
                      </w14:textFill>
                    </w:rPr>
                    <w:t>沿线野生动物</w:t>
                  </w:r>
                </w:p>
              </w:tc>
              <w:tc>
                <w:tcPr>
                  <w:tcW w:w="3544" w:type="dxa"/>
                  <w:tcBorders>
                    <w:left w:val="single" w:color="auto" w:sz="4" w:space="0"/>
                  </w:tcBorders>
                  <w:vAlign w:val="center"/>
                </w:tcPr>
                <w:p>
                  <w:pPr>
                    <w:spacing w:line="240" w:lineRule="auto"/>
                    <w:jc w:val="center"/>
                    <w:textAlignment w:val="center"/>
                    <w:rPr>
                      <w:rFonts w:hAnsi="Times New Roman"/>
                      <w:color w:val="000000" w:themeColor="text1"/>
                      <w:sz w:val="21"/>
                      <w:szCs w:val="21"/>
                      <w14:textFill>
                        <w14:solidFill>
                          <w14:schemeClr w14:val="tx1"/>
                        </w14:solidFill>
                      </w14:textFill>
                    </w:rPr>
                  </w:pPr>
                  <w:r>
                    <w:rPr>
                      <w:rFonts w:hAnsi="Times New Roman"/>
                      <w:color w:val="000000" w:themeColor="text1"/>
                      <w:sz w:val="21"/>
                      <w:szCs w:val="21"/>
                      <w14:textFill>
                        <w14:solidFill>
                          <w14:schemeClr w14:val="tx1"/>
                        </w14:solidFill>
                      </w14:textFill>
                    </w:rPr>
                    <w:t>爬行类、两栖类及鸟类等野生动物</w:t>
                  </w:r>
                </w:p>
              </w:tc>
              <w:tc>
                <w:tcPr>
                  <w:tcW w:w="2910" w:type="dxa"/>
                  <w:vAlign w:val="center"/>
                </w:tcPr>
                <w:p>
                  <w:pPr>
                    <w:spacing w:line="240" w:lineRule="auto"/>
                    <w:jc w:val="center"/>
                    <w:textAlignment w:val="center"/>
                    <w:rPr>
                      <w:rFonts w:hAnsi="Times New Roman"/>
                      <w:color w:val="000000" w:themeColor="text1"/>
                      <w:sz w:val="21"/>
                      <w:szCs w:val="21"/>
                      <w14:textFill>
                        <w14:solidFill>
                          <w14:schemeClr w14:val="tx1"/>
                        </w14:solidFill>
                      </w14:textFill>
                    </w:rPr>
                  </w:pPr>
                  <w:r>
                    <w:rPr>
                      <w:rFonts w:hint="eastAsia" w:hAnsi="Times New Roman"/>
                      <w:color w:val="000000" w:themeColor="text1"/>
                      <w:sz w:val="21"/>
                      <w:szCs w:val="21"/>
                      <w:lang w:val="en-US" w:eastAsia="zh-CN"/>
                      <w14:textFill>
                        <w14:solidFill>
                          <w14:schemeClr w14:val="tx1"/>
                        </w14:solidFill>
                      </w14:textFill>
                    </w:rPr>
                    <w:t>项目</w:t>
                  </w:r>
                  <w:r>
                    <w:rPr>
                      <w:rFonts w:hAnsi="Times New Roman"/>
                      <w:color w:val="000000" w:themeColor="text1"/>
                      <w:sz w:val="21"/>
                      <w:szCs w:val="21"/>
                      <w14:textFill>
                        <w14:solidFill>
                          <w14:schemeClr w14:val="tx1"/>
                        </w14:solidFill>
                      </w14:textFill>
                    </w:rPr>
                    <w:t>施工</w:t>
                  </w:r>
                  <w:r>
                    <w:rPr>
                      <w:rFonts w:hint="eastAsia" w:hAnsi="Times New Roman"/>
                      <w:color w:val="000000" w:themeColor="text1"/>
                      <w:sz w:val="21"/>
                      <w:szCs w:val="21"/>
                      <w:lang w:val="en-US" w:eastAsia="zh-CN"/>
                      <w14:textFill>
                        <w14:solidFill>
                          <w14:schemeClr w14:val="tx1"/>
                        </w14:solidFill>
                      </w14:textFill>
                    </w:rPr>
                    <w:t>使</w:t>
                  </w:r>
                  <w:r>
                    <w:rPr>
                      <w:rFonts w:hint="eastAsia" w:hAnsi="Times New Roman"/>
                      <w:color w:val="000000" w:themeColor="text1"/>
                      <w:sz w:val="21"/>
                      <w:szCs w:val="21"/>
                      <w14:textFill>
                        <w14:solidFill>
                          <w14:schemeClr w14:val="tx1"/>
                        </w14:solidFill>
                      </w14:textFill>
                    </w:rPr>
                    <w:t>野生动物活动范围减少</w:t>
                  </w:r>
                  <w:r>
                    <w:rPr>
                      <w:rFonts w:hAnsi="Times New Roman"/>
                      <w:color w:val="000000" w:themeColor="text1"/>
                      <w:sz w:val="21"/>
                      <w:szCs w:val="21"/>
                      <w14:textFill>
                        <w14:solidFill>
                          <w14:schemeClr w14:val="tx1"/>
                        </w14:solidFill>
                      </w14:textFill>
                    </w:rPr>
                    <w:t>。</w:t>
                  </w:r>
                </w:p>
              </w:tc>
            </w:tr>
          </w:tbl>
          <w:p>
            <w:pPr>
              <w:keepNext w:val="0"/>
              <w:keepLines w:val="0"/>
              <w:pageBreakBefore w:val="0"/>
              <w:widowControl/>
              <w:kinsoku/>
              <w:wordWrap/>
              <w:overflowPunct/>
              <w:topLinePunct/>
              <w:autoSpaceDE/>
              <w:autoSpaceDN/>
              <w:bidi w:val="0"/>
              <w:adjustRightInd/>
              <w:snapToGrid w:val="0"/>
              <w:spacing w:before="313" w:beforeLines="100" w:line="360" w:lineRule="auto"/>
              <w:ind w:right="113" w:firstLine="480" w:firstLineChars="200"/>
              <w:textAlignment w:val="baseline"/>
              <w:rPr>
                <w:rFonts w:hint="default"/>
              </w:rPr>
            </w:pPr>
            <w:r>
              <w:rPr>
                <w:rFonts w:hint="default" w:ascii="Times New Roman" w:hAnsi="Times New Roman" w:cs="Times New Roman"/>
                <w:color w:val="000000" w:themeColor="text1"/>
                <w:sz w:val="24"/>
                <w:szCs w:val="24"/>
                <w14:textFill>
                  <w14:solidFill>
                    <w14:schemeClr w14:val="tx1"/>
                  </w14:solidFill>
                </w14:textFill>
              </w:rPr>
              <w:t>项目附近无饮用水源保护地，根据现场调查，项目评价范围内主要环境敏感目标及基本情况列于表3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，项目周边敏感目标见</w:t>
            </w:r>
            <w:r>
              <w:rPr>
                <w:rFonts w:hint="default" w:ascii="Times New Roman" w:hAnsi="Times New Roman" w:cs="Times New Roman"/>
                <w:color w:val="000000" w:themeColor="text1"/>
                <w:sz w:val="24"/>
                <w:szCs w:val="24"/>
                <w:lang w:val="en-US" w:eastAsia="zh-CN"/>
                <w14:textFill>
                  <w14:solidFill>
                    <w14:schemeClr w14:val="tx1"/>
                  </w14:solidFill>
                </w14:textFill>
              </w:rPr>
              <w:t>附图5</w:t>
            </w:r>
            <w:r>
              <w:rPr>
                <w:rFonts w:hint="default" w:ascii="Times New Roman" w:hAnsi="Times New Roman" w:cs="Times New Roman"/>
                <w:color w:val="000000" w:themeColor="text1"/>
                <w:sz w:val="24"/>
                <w:szCs w:val="24"/>
                <w14:textFill>
                  <w14:solidFill>
                    <w14:schemeClr w14:val="tx1"/>
                  </w14:solidFill>
                </w14:textFill>
              </w:rPr>
              <w:t>。</w:t>
            </w:r>
          </w:p>
          <w:p>
            <w:pPr>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3-5</w:t>
            </w:r>
            <w:r>
              <w:rPr>
                <w:rFonts w:hint="default" w:ascii="Times New Roman" w:hAnsi="Times New Roman" w:cs="Times New Roman"/>
                <w:b/>
                <w:bCs/>
                <w:color w:val="000000" w:themeColor="text1"/>
                <w:sz w:val="24"/>
                <w:szCs w:val="24"/>
                <w14:textFill>
                  <w14:solidFill>
                    <w14:schemeClr w14:val="tx1"/>
                  </w14:solidFill>
                </w14:textFill>
              </w:rPr>
              <w:t xml:space="preserve"> 建设项目环境保护目标一览表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3"/>
              <w:gridCol w:w="1618"/>
              <w:gridCol w:w="1177"/>
              <w:gridCol w:w="1180"/>
              <w:gridCol w:w="976"/>
              <w:gridCol w:w="23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462"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w:t>
                  </w:r>
                </w:p>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要素</w:t>
                  </w:r>
                </w:p>
              </w:tc>
              <w:tc>
                <w:tcPr>
                  <w:tcW w:w="1005"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环境敏感目标</w:t>
                  </w:r>
                </w:p>
              </w:tc>
              <w:tc>
                <w:tcPr>
                  <w:tcW w:w="731"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方位</w:t>
                  </w:r>
                </w:p>
              </w:tc>
              <w:tc>
                <w:tcPr>
                  <w:tcW w:w="733"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最近</w:t>
                  </w:r>
                  <w:r>
                    <w:rPr>
                      <w:rFonts w:hint="default" w:ascii="Times New Roman" w:hAnsi="Times New Roman" w:cs="Times New Roman"/>
                      <w:color w:val="000000" w:themeColor="text1"/>
                      <w:sz w:val="21"/>
                      <w:szCs w:val="21"/>
                      <w14:textFill>
                        <w14:solidFill>
                          <w14:schemeClr w14:val="tx1"/>
                        </w14:solidFill>
                      </w14:textFill>
                    </w:rPr>
                    <w:t>距离</w:t>
                  </w:r>
                </w:p>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606"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保护目标性质</w:t>
                  </w:r>
                </w:p>
              </w:tc>
              <w:tc>
                <w:tcPr>
                  <w:tcW w:w="1460"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环境质量目标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62" w:type="pct"/>
                  <w:vMerge w:val="restart"/>
                  <w:tcBorders>
                    <w:top w:val="single" w:color="auto" w:sz="4" w:space="0"/>
                  </w:tcBorders>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w:t>
                  </w:r>
                </w:p>
              </w:tc>
              <w:tc>
                <w:tcPr>
                  <w:tcW w:w="1005" w:type="pct"/>
                  <w:tcBorders>
                    <w:top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庙后</w:t>
                  </w:r>
                  <w:r>
                    <w:rPr>
                      <w:rFonts w:hint="eastAsia" w:ascii="Times New Roman" w:hAnsi="Times New Roman" w:cs="Times New Roman"/>
                      <w:color w:val="000000" w:themeColor="text1"/>
                      <w:sz w:val="21"/>
                      <w:szCs w:val="21"/>
                      <w:lang w:val="en-US" w:eastAsia="zh-CN"/>
                      <w14:textFill>
                        <w14:solidFill>
                          <w14:schemeClr w14:val="tx1"/>
                        </w14:solidFill>
                      </w14:textFill>
                    </w:rPr>
                    <w:t>溪</w:t>
                  </w:r>
                </w:p>
              </w:tc>
              <w:tc>
                <w:tcPr>
                  <w:tcW w:w="731"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33" w:type="pct"/>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06"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水体</w:t>
                  </w:r>
                </w:p>
              </w:tc>
              <w:tc>
                <w:tcPr>
                  <w:tcW w:w="1460" w:type="pc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地表水环境质量标准》（GB3838-2002）的</w:t>
                  </w: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14:textFill>
                        <w14:solidFill>
                          <w14:schemeClr w14:val="tx1"/>
                        </w14:solidFill>
                      </w14:textFill>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62" w:type="pct"/>
                  <w:vMerge w:val="continue"/>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005" w:type="pct"/>
                  <w:tcBorders>
                    <w:top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硖门溪</w:t>
                  </w:r>
                </w:p>
              </w:tc>
              <w:tc>
                <w:tcPr>
                  <w:tcW w:w="731" w:type="pct"/>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33" w:type="pct"/>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06" w:type="pct"/>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水体</w:t>
                  </w:r>
                </w:p>
              </w:tc>
              <w:tc>
                <w:tcPr>
                  <w:tcW w:w="1460" w:type="pct"/>
                  <w:vAlign w:val="center"/>
                </w:tcPr>
                <w:p>
                  <w:pPr>
                    <w:spacing w:line="240" w:lineRule="auto"/>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地表水环境质量标准》（GB3838-2002）的</w:t>
                  </w: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14:textFill>
                        <w14:solidFill>
                          <w14:schemeClr w14:val="tx1"/>
                        </w14:solidFill>
                      </w14:textFill>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pct"/>
                  <w:vMerge w:val="restart"/>
                  <w:tcBorders>
                    <w:bottom w:val="single" w:color="000000" w:sz="12" w:space="0"/>
                  </w:tcBorders>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1005" w:type="pct"/>
                  <w:tcBorders>
                    <w:bottom w:val="single" w:color="auto" w:sz="6"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硖门集</w:t>
                  </w:r>
                  <w:r>
                    <w:rPr>
                      <w:rFonts w:hint="eastAsia" w:ascii="Times New Roman" w:hAnsi="Times New Roman" w:cs="Times New Roman"/>
                      <w:color w:val="000000" w:themeColor="text1"/>
                      <w:sz w:val="21"/>
                      <w:szCs w:val="21"/>
                      <w:lang w:val="en-US" w:eastAsia="zh-CN"/>
                      <w14:textFill>
                        <w14:solidFill>
                          <w14:schemeClr w14:val="tx1"/>
                        </w14:solidFill>
                      </w14:textFill>
                    </w:rPr>
                    <w:t>镇</w:t>
                  </w:r>
                </w:p>
              </w:tc>
              <w:tc>
                <w:tcPr>
                  <w:tcW w:w="731" w:type="pct"/>
                  <w:tcBorders>
                    <w:bottom w:val="single" w:color="auto" w:sz="6"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2#施工区南侧</w:t>
                  </w:r>
                </w:p>
              </w:tc>
              <w:tc>
                <w:tcPr>
                  <w:tcW w:w="733" w:type="pct"/>
                  <w:tcBorders>
                    <w:bottom w:val="single" w:color="auto" w:sz="6"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w:t>
                  </w:r>
                </w:p>
              </w:tc>
              <w:tc>
                <w:tcPr>
                  <w:tcW w:w="606" w:type="pct"/>
                  <w:tcBorders>
                    <w:bottom w:val="single" w:color="auto" w:sz="6" w:space="0"/>
                  </w:tcBorders>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居民</w:t>
                  </w:r>
                </w:p>
              </w:tc>
              <w:tc>
                <w:tcPr>
                  <w:tcW w:w="1460" w:type="pct"/>
                  <w:vMerge w:val="restart"/>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《大气环境质量标准》（GB3095-2012）</w:t>
                  </w:r>
                  <w:r>
                    <w:rPr>
                      <w:rFonts w:hint="default" w:ascii="Times New Roman" w:hAnsi="Times New Roman" w:cs="Times New Roman"/>
                      <w:color w:val="000000" w:themeColor="text1"/>
                      <w:sz w:val="21"/>
                      <w:szCs w:val="21"/>
                      <w:lang w:eastAsia="zh-CN"/>
                      <w14:textFill>
                        <w14:solidFill>
                          <w14:schemeClr w14:val="tx1"/>
                        </w14:solidFill>
                      </w14:textFill>
                    </w:rPr>
                    <w:t>及其修改单</w:t>
                  </w:r>
                  <w:r>
                    <w:rPr>
                      <w:rFonts w:hint="default" w:ascii="Times New Roman" w:hAnsi="Times New Roman" w:cs="Times New Roman"/>
                      <w:color w:val="000000" w:themeColor="text1"/>
                      <w:sz w:val="21"/>
                      <w:szCs w:val="21"/>
                      <w14:textFill>
                        <w14:solidFill>
                          <w14:schemeClr w14:val="tx1"/>
                        </w14:solidFill>
                      </w14:textFill>
                    </w:rPr>
                    <w:t>中的二级标准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2" w:type="pct"/>
                  <w:vMerge w:val="continue"/>
                  <w:tcBorders>
                    <w:top w:val="single" w:color="000000" w:sz="12" w:space="0"/>
                    <w:bottom w:val="single" w:color="auto" w:sz="12" w:space="0"/>
                  </w:tcBorders>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005" w:type="pct"/>
                  <w:tcBorders>
                    <w:top w:val="single" w:color="auto" w:sz="6" w:space="0"/>
                    <w:bottom w:val="single" w:color="auto" w:sz="12"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教堂</w:t>
                  </w:r>
                </w:p>
              </w:tc>
              <w:tc>
                <w:tcPr>
                  <w:tcW w:w="731" w:type="pct"/>
                  <w:tcBorders>
                    <w:top w:val="single" w:color="auto" w:sz="6" w:space="0"/>
                    <w:bottom w:val="single" w:color="auto" w:sz="12"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1#施工区南侧</w:t>
                  </w:r>
                </w:p>
              </w:tc>
              <w:tc>
                <w:tcPr>
                  <w:tcW w:w="733" w:type="pct"/>
                  <w:tcBorders>
                    <w:top w:val="single" w:color="auto" w:sz="6" w:space="0"/>
                    <w:bottom w:val="single" w:color="auto" w:sz="12" w:space="0"/>
                  </w:tcBorders>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606" w:type="pct"/>
                  <w:tcBorders>
                    <w:top w:val="single" w:color="auto" w:sz="6" w:space="0"/>
                    <w:bottom w:val="single" w:color="auto" w:sz="12" w:space="0"/>
                  </w:tcBorders>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居民</w:t>
                  </w:r>
                </w:p>
              </w:tc>
              <w:tc>
                <w:tcPr>
                  <w:tcW w:w="1460" w:type="pct"/>
                  <w:vMerge w:val="continue"/>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bl>
          <w:p>
            <w:pPr>
              <w:pStyle w:val="29"/>
              <w:numPr>
                <w:ilvl w:val="0"/>
                <w:numId w:val="0"/>
              </w:numPr>
              <w:tabs>
                <w:tab w:val="left" w:pos="0"/>
              </w:tabs>
              <w:bidi w:val="0"/>
              <w:spacing w:line="360" w:lineRule="auto"/>
              <w:rPr>
                <w:rFonts w:hint="default"/>
                <w:color w:val="000000" w:themeColor="text1"/>
                <w:kern w:val="0"/>
                <w:sz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1" w:hRule="atLeast"/>
          <w:jc w:val="center"/>
        </w:trPr>
        <w:tc>
          <w:tcPr>
            <w:tcW w:w="904" w:type="dxa"/>
            <w:vAlign w:val="center"/>
          </w:tcPr>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评价</w:t>
            </w:r>
          </w:p>
          <w:p>
            <w:pPr>
              <w:adjustRightInd w:val="0"/>
              <w:snapToGrid w:val="0"/>
              <w:jc w:val="center"/>
              <w:rPr>
                <w:rFonts w:hint="eastAsia"/>
                <w:bCs/>
                <w:color w:val="000000" w:themeColor="text1"/>
                <w:sz w:val="24"/>
                <w:szCs w:val="24"/>
                <w:lang w:val="en-US"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w:t>
            </w:r>
          </w:p>
        </w:tc>
        <w:tc>
          <w:tcPr>
            <w:tcW w:w="8253" w:type="dxa"/>
            <w:vAlign w:val="center"/>
          </w:tcPr>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（1）水环境</w:t>
            </w:r>
          </w:p>
          <w:p>
            <w:pPr>
              <w:pStyle w:val="2"/>
              <w:keepNext w:val="0"/>
              <w:keepLines w:val="0"/>
              <w:pageBreakBefore w:val="0"/>
              <w:widowControl w:val="0"/>
              <w:kinsoku/>
              <w:wordWrap/>
              <w:overflowPunct/>
              <w:topLinePunct w:val="0"/>
              <w:autoSpaceDE/>
              <w:autoSpaceDN/>
              <w:bidi w:val="0"/>
              <w:spacing w:before="0" w:beforeLines="0"/>
              <w:ind w:firstLine="480"/>
              <w:textAlignment w:val="auto"/>
              <w:rPr>
                <w:rFonts w:hint="eastAsia"/>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根据《福建省人民政府关于宁德市地表水环境功能区划定方案的批复》（闽政文〔2012〕187号），本项目涉及的河流</w:t>
            </w:r>
            <w:r>
              <w:rPr>
                <w:rFonts w:hint="eastAsia" w:ascii="Times New Roman" w:hAnsi="Times New Roman" w:cs="Times New Roman"/>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属于“其余地表水域”，执行《地表水环境质量标准》（GB3838-2002）Ⅲ类标准。</w:t>
            </w:r>
          </w:p>
          <w:p>
            <w:pPr>
              <w:pStyle w:val="23"/>
              <w:numPr>
                <w:ilvl w:val="7"/>
                <w:numId w:val="0"/>
              </w:num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表3-6</w:t>
            </w:r>
            <w:r>
              <w:rPr>
                <w:rFonts w:hint="eastAsia"/>
                <w:color w:val="000000" w:themeColor="text1"/>
                <w:sz w:val="24"/>
                <w:szCs w:val="24"/>
                <w14:textFill>
                  <w14:solidFill>
                    <w14:schemeClr w14:val="tx1"/>
                  </w14:solidFill>
                </w14:textFill>
              </w:rPr>
              <w:t>《地表水环境质量标准》（摘录）单位：mg/L(pH除外</w:t>
            </w:r>
            <w:r>
              <w:rPr>
                <w:rFonts w:hint="eastAsia"/>
                <w:color w:val="000000" w:themeColor="text1"/>
                <w:sz w:val="24"/>
                <w:szCs w:val="24"/>
                <w:highlight w:val="none"/>
                <w:lang w:eastAsia="zh-CN"/>
                <w14:textFill>
                  <w14:solidFill>
                    <w14:schemeClr w14:val="tx1"/>
                  </w14:solidFill>
                </w14:textFill>
              </w:rPr>
              <w:t>）</w:t>
            </w:r>
          </w:p>
          <w:tbl>
            <w:tblPr>
              <w:tblStyle w:val="18"/>
              <w:tblW w:w="80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2024"/>
              <w:gridCol w:w="1855"/>
              <w:gridCol w:w="34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序号</w:t>
                  </w:r>
                </w:p>
              </w:tc>
              <w:tc>
                <w:tcPr>
                  <w:tcW w:w="2024"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污染物名称</w:t>
                  </w:r>
                </w:p>
              </w:tc>
              <w:tc>
                <w:tcPr>
                  <w:tcW w:w="1855"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标准值</w:t>
                  </w:r>
                </w:p>
              </w:tc>
              <w:tc>
                <w:tcPr>
                  <w:tcW w:w="3489"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1</w:t>
                  </w:r>
                </w:p>
              </w:tc>
              <w:tc>
                <w:tcPr>
                  <w:tcW w:w="2024"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pH（无量纲）</w:t>
                  </w:r>
                </w:p>
              </w:tc>
              <w:tc>
                <w:tcPr>
                  <w:tcW w:w="1855"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6～9</w:t>
                  </w:r>
                </w:p>
              </w:tc>
              <w:tc>
                <w:tcPr>
                  <w:tcW w:w="3489" w:type="dxa"/>
                  <w:vMerge w:val="restart"/>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p>
                <w:p>
                  <w:pPr>
                    <w:pStyle w:val="24"/>
                    <w:rPr>
                      <w:color w:val="000000" w:themeColor="text1"/>
                      <w14:textFill>
                        <w14:solidFill>
                          <w14:schemeClr w14:val="tx1"/>
                        </w14:solidFill>
                      </w14:textFill>
                    </w:rPr>
                  </w:pPr>
                  <w:r>
                    <w:rPr>
                      <w:color w:val="000000" w:themeColor="text1"/>
                      <w14:textFill>
                        <w14:solidFill>
                          <w14:schemeClr w14:val="tx1"/>
                        </w14:solidFill>
                      </w14:textFill>
                    </w:rPr>
                    <w:t>（GB3838－2002）</w:t>
                  </w:r>
                </w:p>
                <w:p>
                  <w:pPr>
                    <w:pStyle w:val="24"/>
                    <w:rPr>
                      <w:color w:val="000000" w:themeColor="text1"/>
                      <w14:textFill>
                        <w14:solidFill>
                          <w14:schemeClr w14:val="tx1"/>
                        </w14:solidFill>
                      </w14:textFill>
                    </w:rPr>
                  </w:pPr>
                  <w:r>
                    <w:rPr>
                      <w:color w:val="000000" w:themeColor="text1"/>
                      <w14:textFill>
                        <w14:solidFill>
                          <w14:schemeClr w14:val="tx1"/>
                        </w14:solidFill>
                      </w14:textFill>
                    </w:rPr>
                    <w:t>Ⅲ类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2</w:t>
                  </w:r>
                </w:p>
              </w:tc>
              <w:tc>
                <w:tcPr>
                  <w:tcW w:w="2024"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溶解氧</w:t>
                  </w:r>
                </w:p>
              </w:tc>
              <w:tc>
                <w:tcPr>
                  <w:tcW w:w="1855"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≥5</w:t>
                  </w:r>
                </w:p>
              </w:tc>
              <w:tc>
                <w:tcPr>
                  <w:tcW w:w="3489"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vAlign w:val="center"/>
                </w:tcPr>
                <w:p>
                  <w:pPr>
                    <w:pStyle w:val="24"/>
                    <w:rPr>
                      <w:rFonts w:hint="default" w:ascii="Times New Roman" w:hAnsi="Times New Roman" w:eastAsia="宋体" w:cs="Times New Roman"/>
                      <w:color w:val="000000" w:themeColor="text1"/>
                      <w:lang w:val="pt-BR"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024"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COD</w:t>
                  </w:r>
                </w:p>
              </w:tc>
              <w:tc>
                <w:tcPr>
                  <w:tcW w:w="1855"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≤20</w:t>
                  </w:r>
                </w:p>
              </w:tc>
              <w:tc>
                <w:tcPr>
                  <w:tcW w:w="3489"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vAlign w:val="center"/>
                </w:tcPr>
                <w:p>
                  <w:pPr>
                    <w:pStyle w:val="24"/>
                    <w:rPr>
                      <w:rFonts w:hint="default" w:ascii="Times New Roman" w:hAnsi="Times New Roman" w:eastAsia="宋体" w:cs="Times New Roman"/>
                      <w:color w:val="000000" w:themeColor="text1"/>
                      <w:lang w:val="pt-BR"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024"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氨氮</w:t>
                  </w:r>
                </w:p>
              </w:tc>
              <w:tc>
                <w:tcPr>
                  <w:tcW w:w="1855" w:type="dxa"/>
                  <w:vAlign w:val="center"/>
                </w:tcPr>
                <w:p>
                  <w:pPr>
                    <w:pStyle w:val="24"/>
                    <w:rPr>
                      <w:rFonts w:hint="default" w:ascii="Times New Roman" w:hAnsi="Times New Roman" w:cs="Times New Roman"/>
                      <w:color w:val="000000" w:themeColor="text1"/>
                      <w:lang w:val="pt-BR"/>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≤1.0</w:t>
                  </w:r>
                </w:p>
              </w:tc>
              <w:tc>
                <w:tcPr>
                  <w:tcW w:w="3489"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vAlign w:val="center"/>
                </w:tcPr>
                <w:p>
                  <w:pPr>
                    <w:pStyle w:val="2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024" w:type="dxa"/>
                  <w:vAlign w:val="center"/>
                </w:tcPr>
                <w:p>
                  <w:pPr>
                    <w:pStyle w:val="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w:t>
                  </w:r>
                </w:p>
              </w:tc>
              <w:tc>
                <w:tcPr>
                  <w:tcW w:w="1855" w:type="dxa"/>
                  <w:vAlign w:val="center"/>
                </w:tcPr>
                <w:p>
                  <w:pPr>
                    <w:pStyle w:val="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pt-BR"/>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0.2</w:t>
                  </w:r>
                </w:p>
              </w:tc>
              <w:tc>
                <w:tcPr>
                  <w:tcW w:w="3489" w:type="dxa"/>
                  <w:vMerge w:val="continue"/>
                  <w:vAlign w:val="center"/>
                </w:tcPr>
                <w:p>
                  <w:pPr>
                    <w:pStyle w:val="24"/>
                    <w:rPr>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本项目主要涉及居住区和农村地区，无自然保护区、风景名胜区和其他需要特殊保护的地区，因此根据《环境空气质量标准》</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GB3095-2012</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环境空气功能区分类要求，项目沿线大气环境功能区划为二类区。环境空气质量执行《环境空气质量标准》(GB3095-2012</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及其修改单</w:t>
            </w:r>
            <w:r>
              <w:rPr>
                <w:rFonts w:hint="eastAsia"/>
                <w:color w:val="000000" w:themeColor="text1"/>
                <w:kern w:val="0"/>
                <w:sz w:val="24"/>
                <w14:textFill>
                  <w14:solidFill>
                    <w14:schemeClr w14:val="tx1"/>
                  </w14:solidFill>
                </w14:textFill>
              </w:rPr>
              <w:t>中的二级标准。</w:t>
            </w:r>
          </w:p>
          <w:p>
            <w:pPr>
              <w:pStyle w:val="23"/>
              <w:numPr>
                <w:ilvl w:val="7"/>
                <w:numId w:val="0"/>
              </w:numPr>
              <w:ind w:leftChars="0"/>
              <w:jc w:val="center"/>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表3-7</w:t>
            </w:r>
            <w:r>
              <w:rPr>
                <w:color w:val="000000" w:themeColor="text1"/>
                <w:sz w:val="24"/>
                <w:szCs w:val="24"/>
                <w14:textFill>
                  <w14:solidFill>
                    <w14:schemeClr w14:val="tx1"/>
                  </w14:solidFill>
                </w14:textFill>
              </w:rPr>
              <w:t>环境空气质量标准</w:t>
            </w:r>
          </w:p>
          <w:tbl>
            <w:tblPr>
              <w:tblStyle w:val="18"/>
              <w:tblW w:w="803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485"/>
              <w:gridCol w:w="2442"/>
              <w:gridCol w:w="2246"/>
              <w:gridCol w:w="186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取值时间</w:t>
                  </w:r>
                </w:p>
              </w:tc>
              <w:tc>
                <w:tcPr>
                  <w:tcW w:w="2246" w:type="dxa"/>
                  <w:vAlign w:val="center"/>
                </w:tcPr>
                <w:p>
                  <w:pPr>
                    <w:pStyle w:val="24"/>
                    <w:rPr>
                      <w:rFonts w:hint="eastAsia"/>
                      <w:color w:val="000000" w:themeColor="text1"/>
                      <w14:textFill>
                        <w14:solidFill>
                          <w14:schemeClr w14:val="tx1"/>
                        </w14:solidFill>
                      </w14:textFill>
                    </w:rPr>
                  </w:pPr>
                  <w:r>
                    <w:rPr>
                      <w:color w:val="000000" w:themeColor="text1"/>
                      <w14:textFill>
                        <w14:solidFill>
                          <w14:schemeClr w14:val="tx1"/>
                        </w14:solidFill>
                      </w14:textFill>
                    </w:rPr>
                    <w:t>浓度限值</w:t>
                  </w:r>
                </w:p>
              </w:tc>
              <w:tc>
                <w:tcPr>
                  <w:tcW w:w="1861"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restart"/>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60μg/m³</w:t>
                  </w:r>
                </w:p>
              </w:tc>
              <w:tc>
                <w:tcPr>
                  <w:tcW w:w="1861" w:type="dxa"/>
                  <w:vMerge w:val="restart"/>
                  <w:vAlign w:val="center"/>
                </w:tcPr>
                <w:p>
                  <w:pPr>
                    <w:pStyle w:val="24"/>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bookmarkStart w:id="4" w:name="OLE_LINK9"/>
                  <w:r>
                    <w:rPr>
                      <w:rFonts w:hint="eastAsia"/>
                      <w:color w:val="000000" w:themeColor="text1"/>
                      <w14:textFill>
                        <w14:solidFill>
                          <w14:schemeClr w14:val="tx1"/>
                        </w14:solidFill>
                      </w14:textFill>
                    </w:rPr>
                    <w:t>环境空气质量标准</w:t>
                  </w:r>
                  <w:bookmarkEnd w:id="4"/>
                  <w:r>
                    <w:rPr>
                      <w:rFonts w:hint="eastAsia"/>
                      <w:color w:val="000000" w:themeColor="text1"/>
                      <w14:textFill>
                        <w14:solidFill>
                          <w14:schemeClr w14:val="tx1"/>
                        </w14:solidFill>
                      </w14:textFill>
                    </w:rPr>
                    <w:t>》（GB3095-2012）及修改单</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150μg/m³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500μg/m³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restart"/>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40μg/m³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80μg/m³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200μg/m³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restart"/>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70μg/m³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224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150μg/m³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restart"/>
                  <w:vAlign w:val="center"/>
                </w:tcPr>
                <w:p>
                  <w:pPr>
                    <w:pStyle w:val="24"/>
                    <w:rPr>
                      <w:rFonts w:hint="eastAsia"/>
                      <w:color w:val="000000" w:themeColor="text1"/>
                      <w14:textFill>
                        <w14:solidFill>
                          <w14:schemeClr w14:val="tx1"/>
                        </w14:solidFill>
                      </w14:textFill>
                    </w:rPr>
                  </w:pPr>
                  <w:r>
                    <w:rPr>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2246"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35</w:t>
                  </w:r>
                  <w:r>
                    <w:rPr>
                      <w:color w:val="000000" w:themeColor="text1"/>
                      <w14:textFill>
                        <w14:solidFill>
                          <w14:schemeClr w14:val="tx1"/>
                        </w14:solidFill>
                      </w14:textFill>
                    </w:rPr>
                    <w:t>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2246"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75</w:t>
                  </w:r>
                  <w:r>
                    <w:rPr>
                      <w:color w:val="000000" w:themeColor="text1"/>
                      <w14:textFill>
                        <w14:solidFill>
                          <w14:schemeClr w14:val="tx1"/>
                        </w14:solidFill>
                      </w14:textFill>
                    </w:rPr>
                    <w:t>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restart"/>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2442"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日最大8小时平均</w:t>
                  </w:r>
                </w:p>
              </w:tc>
              <w:tc>
                <w:tcPr>
                  <w:tcW w:w="2246"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160</w:t>
                  </w:r>
                  <w:r>
                    <w:rPr>
                      <w:color w:val="000000" w:themeColor="text1"/>
                      <w14:textFill>
                        <w14:solidFill>
                          <w14:schemeClr w14:val="tx1"/>
                        </w14:solidFill>
                      </w14:textFill>
                    </w:rPr>
                    <w:t>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246"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200</w:t>
                  </w:r>
                  <w:r>
                    <w:rPr>
                      <w:color w:val="000000" w:themeColor="text1"/>
                      <w14:textFill>
                        <w14:solidFill>
                          <w14:schemeClr w14:val="tx1"/>
                        </w14:solidFill>
                      </w14:textFill>
                    </w:rPr>
                    <w:t>μg/m³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485" w:type="dxa"/>
                  <w:vMerge w:val="restart"/>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CO</w:t>
                  </w: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2246"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4m</w:t>
                  </w:r>
                  <w:r>
                    <w:rPr>
                      <w:color w:val="000000" w:themeColor="text1"/>
                      <w14:textFill>
                        <w14:solidFill>
                          <w14:schemeClr w14:val="tx1"/>
                        </w14:solidFill>
                      </w14:textFill>
                    </w:rPr>
                    <w:t>g/m³</w:t>
                  </w:r>
                </w:p>
              </w:tc>
              <w:tc>
                <w:tcPr>
                  <w:tcW w:w="1861" w:type="dxa"/>
                  <w:vMerge w:val="continue"/>
                  <w:vAlign w:val="center"/>
                </w:tcPr>
                <w:p>
                  <w:pPr>
                    <w:pStyle w:val="24"/>
                    <w:rPr>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485" w:type="dxa"/>
                  <w:vMerge w:val="continue"/>
                  <w:vAlign w:val="center"/>
                </w:tcPr>
                <w:p>
                  <w:pPr>
                    <w:pStyle w:val="24"/>
                    <w:rPr>
                      <w:color w:val="000000" w:themeColor="text1"/>
                      <w14:textFill>
                        <w14:solidFill>
                          <w14:schemeClr w14:val="tx1"/>
                        </w14:solidFill>
                      </w14:textFill>
                    </w:rPr>
                  </w:pPr>
                </w:p>
              </w:tc>
              <w:tc>
                <w:tcPr>
                  <w:tcW w:w="244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246" w:type="dxa"/>
                  <w:vAlign w:val="center"/>
                </w:tcPr>
                <w:p>
                  <w:pPr>
                    <w:pStyle w:val="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 m</w:t>
                  </w:r>
                  <w:r>
                    <w:rPr>
                      <w:color w:val="000000" w:themeColor="text1"/>
                      <w14:textFill>
                        <w14:solidFill>
                          <w14:schemeClr w14:val="tx1"/>
                        </w14:solidFill>
                      </w14:textFill>
                    </w:rPr>
                    <w:t>g/m³</w:t>
                  </w:r>
                </w:p>
              </w:tc>
              <w:tc>
                <w:tcPr>
                  <w:tcW w:w="1861" w:type="dxa"/>
                  <w:vMerge w:val="continue"/>
                  <w:vAlign w:val="center"/>
                </w:tcPr>
                <w:p>
                  <w:pPr>
                    <w:pStyle w:val="24"/>
                    <w:rPr>
                      <w:color w:val="000000" w:themeColor="text1"/>
                      <w14:textFill>
                        <w14:solidFill>
                          <w14:schemeClr w14:val="tx1"/>
                        </w14:solidFill>
                      </w14:textFill>
                    </w:rPr>
                  </w:pPr>
                </w:p>
              </w:tc>
            </w:tr>
          </w:tbl>
          <w:p>
            <w:pPr>
              <w:adjustRightInd w:val="0"/>
              <w:snapToGrid w:val="0"/>
              <w:spacing w:line="360" w:lineRule="auto"/>
              <w:ind w:firstLine="480" w:firstLineChars="200"/>
              <w:rPr>
                <w:color w:val="000000" w:themeColor="text1"/>
                <w:kern w:val="0"/>
                <w:sz w:val="24"/>
                <w:szCs w:val="24"/>
                <w14:textFill>
                  <w14:solidFill>
                    <w14:schemeClr w14:val="tx1"/>
                  </w14:solidFill>
                </w14:textFill>
              </w:rPr>
            </w:pPr>
          </w:p>
          <w:p>
            <w:pPr>
              <w:adjustRightInd w:val="0"/>
              <w:snapToGrid w:val="0"/>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（3）声环境</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对照《福鼎市“十</w:t>
            </w:r>
            <w:r>
              <w:rPr>
                <w:rFonts w:hint="eastAsia"/>
                <w:color w:val="000000" w:themeColor="text1"/>
                <w:sz w:val="24"/>
                <w:szCs w:val="24"/>
                <w:lang w:val="en-US" w:eastAsia="zh-CN"/>
                <w14:textFill>
                  <w14:solidFill>
                    <w14:schemeClr w14:val="tx1"/>
                  </w14:solidFill>
                </w14:textFill>
              </w:rPr>
              <w:t>四</w:t>
            </w:r>
            <w:r>
              <w:rPr>
                <w:rFonts w:hint="eastAsia"/>
                <w:color w:val="000000" w:themeColor="text1"/>
                <w:sz w:val="24"/>
                <w:szCs w:val="24"/>
                <w14:textFill>
                  <w14:solidFill>
                    <w14:schemeClr w14:val="tx1"/>
                  </w14:solidFill>
                </w14:textFill>
              </w:rPr>
              <w:t>五”</w:t>
            </w:r>
            <w:r>
              <w:rPr>
                <w:rFonts w:hint="eastAsia"/>
                <w:color w:val="000000" w:themeColor="text1"/>
                <w:sz w:val="24"/>
                <w:szCs w:val="24"/>
                <w:lang w:val="en-US" w:eastAsia="zh-CN"/>
                <w14:textFill>
                  <w14:solidFill>
                    <w14:schemeClr w14:val="tx1"/>
                  </w14:solidFill>
                </w14:textFill>
              </w:rPr>
              <w:t>生态</w:t>
            </w:r>
            <w:r>
              <w:rPr>
                <w:rFonts w:hint="eastAsia"/>
                <w:color w:val="000000" w:themeColor="text1"/>
                <w:sz w:val="24"/>
                <w:szCs w:val="24"/>
                <w14:textFill>
                  <w14:solidFill>
                    <w14:schemeClr w14:val="tx1"/>
                  </w14:solidFill>
                </w14:textFill>
              </w:rPr>
              <w:t>环境保护规划》，未对本工程沿线评价范围的声环境进行详细的功能区划，本工程主要为</w:t>
            </w:r>
            <w:r>
              <w:rPr>
                <w:rFonts w:hint="eastAsia"/>
                <w:color w:val="000000" w:themeColor="text1"/>
                <w:sz w:val="24"/>
                <w:szCs w:val="24"/>
                <w:lang w:val="en-US" w:eastAsia="zh-CN"/>
                <w14:textFill>
                  <w14:solidFill>
                    <w14:schemeClr w14:val="tx1"/>
                  </w14:solidFill>
                </w14:textFill>
              </w:rPr>
              <w:t>隧洞</w:t>
            </w:r>
            <w:r>
              <w:rPr>
                <w:rFonts w:hint="eastAsia"/>
                <w:color w:val="000000" w:themeColor="text1"/>
                <w:sz w:val="24"/>
                <w:szCs w:val="24"/>
                <w14:textFill>
                  <w14:solidFill>
                    <w14:schemeClr w14:val="tx1"/>
                  </w14:solidFill>
                </w14:textFill>
              </w:rPr>
              <w:t>工程，涉及的区域</w:t>
            </w:r>
            <w:r>
              <w:rPr>
                <w:rFonts w:hint="eastAsia"/>
                <w:color w:val="000000" w:themeColor="text1"/>
                <w:sz w:val="24"/>
                <w:szCs w:val="24"/>
                <w:lang w:val="en-US" w:eastAsia="zh-CN"/>
                <w14:textFill>
                  <w14:solidFill>
                    <w14:schemeClr w14:val="tx1"/>
                  </w14:solidFill>
                </w14:textFill>
              </w:rPr>
              <w:t>为硖门集镇</w:t>
            </w:r>
            <w:r>
              <w:rPr>
                <w:rFonts w:hint="eastAsia"/>
                <w:color w:val="000000" w:themeColor="text1"/>
                <w:sz w:val="24"/>
                <w:szCs w:val="24"/>
                <w14:textFill>
                  <w14:solidFill>
                    <w14:schemeClr w14:val="tx1"/>
                  </w14:solidFill>
                </w14:textFill>
              </w:rPr>
              <w:t>，根据《声环境质量标准》（GB3096-2008）对</w:t>
            </w:r>
            <w:r>
              <w:rPr>
                <w:rFonts w:hint="eastAsia"/>
                <w:color w:val="000000" w:themeColor="text1"/>
                <w:sz w:val="24"/>
                <w:szCs w:val="24"/>
                <w:lang w:val="en-US" w:eastAsia="zh-CN"/>
                <w14:textFill>
                  <w14:solidFill>
                    <w14:schemeClr w14:val="tx1"/>
                  </w14:solidFill>
                </w14:textFill>
              </w:rPr>
              <w:t>集镇</w:t>
            </w:r>
            <w:r>
              <w:rPr>
                <w:rFonts w:hint="eastAsia"/>
                <w:color w:val="000000" w:themeColor="text1"/>
                <w:sz w:val="24"/>
                <w:szCs w:val="24"/>
                <w14:textFill>
                  <w14:solidFill>
                    <w14:schemeClr w14:val="tx1"/>
                  </w14:solidFill>
                </w14:textFill>
              </w:rPr>
              <w:t>声环境功能的确定，本工程所在区域的声环境可按照</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类声环境功能区进行执行，区域环境噪声执行《声环境质量标准》（GB3096-2008）中</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类标准</w:t>
            </w:r>
            <w:r>
              <w:rPr>
                <w:color w:val="000000" w:themeColor="text1"/>
                <w:kern w:val="0"/>
                <w:sz w:val="24"/>
                <w:szCs w:val="24"/>
                <w14:textFill>
                  <w14:solidFill>
                    <w14:schemeClr w14:val="tx1"/>
                  </w14:solidFill>
                </w14:textFill>
              </w:rPr>
              <w:t>，具体见表3-</w:t>
            </w:r>
            <w:r>
              <w:rPr>
                <w:rFonts w:hint="eastAsia"/>
                <w:color w:val="000000" w:themeColor="text1"/>
                <w:kern w:val="0"/>
                <w:sz w:val="24"/>
                <w:szCs w:val="24"/>
                <w:lang w:val="en-US" w:eastAsia="zh-CN"/>
                <w14:textFill>
                  <w14:solidFill>
                    <w14:schemeClr w14:val="tx1"/>
                  </w14:solidFill>
                </w14:textFill>
              </w:rPr>
              <w:t>8</w:t>
            </w:r>
            <w:r>
              <w:rPr>
                <w:rFonts w:hint="eastAsia"/>
                <w:color w:val="000000" w:themeColor="text1"/>
                <w:kern w:val="0"/>
                <w:sz w:val="24"/>
                <w:szCs w:val="24"/>
                <w:lang w:eastAsia="zh-CN"/>
                <w14:textFill>
                  <w14:solidFill>
                    <w14:schemeClr w14:val="tx1"/>
                  </w14:solidFill>
                </w14:textFill>
              </w:rPr>
              <w:t>。</w:t>
            </w:r>
          </w:p>
          <w:p>
            <w:pPr>
              <w:pStyle w:val="23"/>
              <w:numPr>
                <w:ilvl w:val="7"/>
                <w:numId w:val="0"/>
              </w:numPr>
              <w:ind w:leftChars="0"/>
              <w:jc w:val="center"/>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表3-8</w:t>
            </w:r>
            <w:r>
              <w:rPr>
                <w:rFonts w:hint="eastAsia"/>
                <w:color w:val="000000" w:themeColor="text1"/>
                <w:sz w:val="24"/>
                <w:szCs w:val="24"/>
                <w14:textFill>
                  <w14:solidFill>
                    <w14:schemeClr w14:val="tx1"/>
                  </w14:solidFill>
                </w14:textFill>
              </w:rPr>
              <w:t>声环境质量标准</w:t>
            </w:r>
            <w:r>
              <w:rPr>
                <w:rFonts w:hint="eastAsia"/>
                <w:color w:val="000000" w:themeColor="text1"/>
                <w:sz w:val="24"/>
                <w:szCs w:val="24"/>
                <w:lang w:val="en-US" w:eastAsia="zh-CN"/>
                <w14:textFill>
                  <w14:solidFill>
                    <w14:schemeClr w14:val="tx1"/>
                  </w14:solidFill>
                </w14:textFill>
              </w:rPr>
              <w:t xml:space="preserve">  </w:t>
            </w:r>
            <w:r>
              <w:rPr>
                <w:color w:val="000000" w:themeColor="text1"/>
                <w:sz w:val="24"/>
                <w:szCs w:val="24"/>
                <w14:textFill>
                  <w14:solidFill>
                    <w14:schemeClr w14:val="tx1"/>
                  </w14:solidFill>
                </w14:textFill>
              </w:rPr>
              <w:t>LAeq：dB</w:t>
            </w:r>
            <w:r>
              <w:rPr>
                <w:rFonts w:hint="eastAsia"/>
                <w:color w:val="000000" w:themeColor="text1"/>
                <w:sz w:val="24"/>
                <w:szCs w:val="24"/>
                <w14:textFill>
                  <w14:solidFill>
                    <w14:schemeClr w14:val="tx1"/>
                  </w14:solidFill>
                </w14:textFill>
              </w:rPr>
              <w:t>(A)</w:t>
            </w:r>
          </w:p>
          <w:tbl>
            <w:tblPr>
              <w:tblStyle w:val="18"/>
              <w:tblW w:w="803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12"/>
              <w:gridCol w:w="2964"/>
              <w:gridCol w:w="2235"/>
              <w:gridCol w:w="19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12"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2964"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适用区域</w:t>
                  </w:r>
                </w:p>
              </w:tc>
              <w:tc>
                <w:tcPr>
                  <w:tcW w:w="2235"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923"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912" w:type="dxa"/>
                  <w:vAlign w:val="center"/>
                </w:tcPr>
                <w:p>
                  <w:pPr>
                    <w:pStyle w:val="24"/>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2964" w:type="dxa"/>
                  <w:vAlign w:val="center"/>
                </w:tcPr>
                <w:p>
                  <w:pPr>
                    <w:pStyle w:val="24"/>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集镇</w:t>
                  </w:r>
                </w:p>
              </w:tc>
              <w:tc>
                <w:tcPr>
                  <w:tcW w:w="2235" w:type="dxa"/>
                  <w:vAlign w:val="center"/>
                </w:tcPr>
                <w:p>
                  <w:pPr>
                    <w:pStyle w:val="2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1923" w:type="dxa"/>
                  <w:vAlign w:val="center"/>
                </w:tcPr>
                <w:p>
                  <w:pPr>
                    <w:pStyle w:val="2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bl>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污染物排放标准</w:t>
            </w:r>
          </w:p>
          <w:p>
            <w:pPr>
              <w:adjustRightInd w:val="0"/>
              <w:snapToGrid w:val="0"/>
              <w:spacing w:line="360" w:lineRule="auto"/>
              <w:ind w:left="37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（1）废水</w:t>
            </w:r>
          </w:p>
          <w:p>
            <w:pPr>
              <w:adjustRightInd w:val="0"/>
              <w:snapToGrid w:val="0"/>
              <w:spacing w:line="360" w:lineRule="auto"/>
              <w:ind w:firstLine="480" w:firstLineChars="200"/>
              <w:rPr>
                <w:rFonts w:hint="eastAsia"/>
                <w:color w:val="000000" w:themeColor="text1"/>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项目运营期不产生废水。施工期废水主要包括混凝土系统清洗废水、车辆冲洗废水、隧洞涌水，混凝土系统清洗废水、车辆冲洗废水经沉淀后回用于施工工序，隧洞涌水经沉淀后外排，</w:t>
            </w:r>
            <w:r>
              <w:rPr>
                <w:rFonts w:hint="eastAsia"/>
                <w:color w:val="000000" w:themeColor="text1"/>
                <w:lang w:val="en-US" w:eastAsia="zh-CN"/>
                <w14:textFill>
                  <w14:solidFill>
                    <w14:schemeClr w14:val="tx1"/>
                  </w14:solidFill>
                </w14:textFill>
              </w:rPr>
              <w:t>生活污水依托周边村庄现有污水处理设施进行处理。</w:t>
            </w:r>
          </w:p>
          <w:p>
            <w:pPr>
              <w:adjustRightInd w:val="0"/>
              <w:snapToGrid w:val="0"/>
              <w:spacing w:line="360" w:lineRule="auto"/>
              <w:ind w:firstLine="480" w:firstLineChars="200"/>
              <w:rPr>
                <w:rFonts w:hint="default"/>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（2）废气</w:t>
            </w:r>
          </w:p>
          <w:p>
            <w:pPr>
              <w:adjustRightInd w:val="0"/>
              <w:snapToGrid w:val="0"/>
              <w:spacing w:line="360" w:lineRule="auto"/>
              <w:ind w:firstLine="480" w:firstLineChars="200"/>
              <w:rPr>
                <w:rFonts w:hint="eastAsia"/>
                <w:b/>
                <w:bCs/>
                <w:color w:val="000000" w:themeColor="text1"/>
                <w:kern w:val="0"/>
                <w:sz w:val="24"/>
                <w:szCs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项目运营期不产生废气。施工期隧洞挖填方产生的粉尘；混凝土系统、砂石系统及木材、钢材加工产生的粉尘；施工机械产生的少量尾气的影响。施工期大气污染物排放执行《大气污染物综合排放标准》（GB16297-1996）中表2规定的无组织排放监控浓度限值，详见表3-9。</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表3-9大气污染物综合排放标准（GB16297-1996）（摘录）</w:t>
            </w:r>
          </w:p>
          <w:tbl>
            <w:tblPr>
              <w:tblStyle w:val="18"/>
              <w:tblW w:w="8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3393"/>
              <w:gridCol w:w="33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1" w:hRule="atLeast"/>
                <w:jc w:val="center"/>
              </w:trPr>
              <w:tc>
                <w:tcPr>
                  <w:tcW w:w="1293" w:type="dxa"/>
                  <w:tcBorders>
                    <w:bottom w:val="single" w:color="auto" w:sz="2" w:space="0"/>
                  </w:tcBorders>
                  <w:vAlign w:val="center"/>
                </w:tcPr>
                <w:p>
                  <w:pPr>
                    <w:pStyle w:val="24"/>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污染物</w:t>
                  </w:r>
                </w:p>
              </w:tc>
              <w:tc>
                <w:tcPr>
                  <w:tcW w:w="3393" w:type="dxa"/>
                  <w:vAlign w:val="center"/>
                </w:tcPr>
                <w:p>
                  <w:pPr>
                    <w:pStyle w:val="24"/>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无组织排放监控浓度限值</w:t>
                  </w:r>
                  <w:r>
                    <w:rPr>
                      <w:rFonts w:hint="eastAsia"/>
                      <w:color w:val="000000" w:themeColor="text1"/>
                      <w:kern w:val="2"/>
                      <w:szCs w:val="24"/>
                      <w14:textFill>
                        <w14:solidFill>
                          <w14:schemeClr w14:val="tx1"/>
                        </w14:solidFill>
                      </w14:textFill>
                    </w:rPr>
                    <w:t>标准mg/m</w:t>
                  </w:r>
                  <w:r>
                    <w:rPr>
                      <w:rFonts w:hint="eastAsia"/>
                      <w:color w:val="000000" w:themeColor="text1"/>
                      <w:kern w:val="2"/>
                      <w:szCs w:val="24"/>
                      <w:vertAlign w:val="superscript"/>
                      <w14:textFill>
                        <w14:solidFill>
                          <w14:schemeClr w14:val="tx1"/>
                        </w14:solidFill>
                      </w14:textFill>
                    </w:rPr>
                    <w:t>3</w:t>
                  </w:r>
                </w:p>
              </w:tc>
              <w:tc>
                <w:tcPr>
                  <w:tcW w:w="3348" w:type="dxa"/>
                  <w:tcBorders>
                    <w:bottom w:val="single" w:color="auto" w:sz="2" w:space="0"/>
                  </w:tcBorders>
                  <w:vAlign w:val="center"/>
                </w:tcPr>
                <w:p>
                  <w:pPr>
                    <w:pStyle w:val="24"/>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3" w:type="dxa"/>
                  <w:tcBorders>
                    <w:top w:val="single" w:color="auto" w:sz="2" w:space="0"/>
                    <w:bottom w:val="single" w:color="auto" w:sz="2" w:space="0"/>
                  </w:tcBorders>
                  <w:vAlign w:val="center"/>
                </w:tcPr>
                <w:p>
                  <w:pPr>
                    <w:pStyle w:val="24"/>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颗粒物</w:t>
                  </w:r>
                </w:p>
              </w:tc>
              <w:tc>
                <w:tcPr>
                  <w:tcW w:w="3393" w:type="dxa"/>
                  <w:vAlign w:val="center"/>
                </w:tcPr>
                <w:p>
                  <w:pPr>
                    <w:pStyle w:val="24"/>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1.0</w:t>
                  </w:r>
                </w:p>
              </w:tc>
              <w:tc>
                <w:tcPr>
                  <w:tcW w:w="3348" w:type="dxa"/>
                  <w:vMerge w:val="restart"/>
                  <w:vAlign w:val="center"/>
                </w:tcPr>
                <w:p>
                  <w:pPr>
                    <w:pStyle w:val="24"/>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监控点为周界外浓度最高点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3" w:type="dxa"/>
                  <w:tcBorders>
                    <w:top w:val="single" w:color="auto" w:sz="2" w:space="0"/>
                    <w:bottom w:val="single" w:color="auto" w:sz="2" w:space="0"/>
                  </w:tcBorders>
                  <w:vAlign w:val="center"/>
                </w:tcPr>
                <w:p>
                  <w:pPr>
                    <w:pStyle w:val="24"/>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SO</w:t>
                  </w:r>
                  <w:r>
                    <w:rPr>
                      <w:color w:val="000000" w:themeColor="text1"/>
                      <w:kern w:val="2"/>
                      <w:szCs w:val="24"/>
                      <w:vertAlign w:val="subscript"/>
                      <w14:textFill>
                        <w14:solidFill>
                          <w14:schemeClr w14:val="tx1"/>
                        </w14:solidFill>
                      </w14:textFill>
                    </w:rPr>
                    <w:t>2</w:t>
                  </w:r>
                </w:p>
              </w:tc>
              <w:tc>
                <w:tcPr>
                  <w:tcW w:w="3393" w:type="dxa"/>
                  <w:vAlign w:val="center"/>
                </w:tcPr>
                <w:p>
                  <w:pPr>
                    <w:pStyle w:val="24"/>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0.40</w:t>
                  </w:r>
                </w:p>
              </w:tc>
              <w:tc>
                <w:tcPr>
                  <w:tcW w:w="3348" w:type="dxa"/>
                  <w:vMerge w:val="continue"/>
                  <w:vAlign w:val="center"/>
                </w:tcPr>
                <w:p>
                  <w:pPr>
                    <w:pStyle w:val="24"/>
                    <w:rPr>
                      <w:color w:val="000000" w:themeColor="text1"/>
                      <w:kern w:val="2"/>
                      <w:szCs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3" w:type="dxa"/>
                  <w:tcBorders>
                    <w:top w:val="single" w:color="auto" w:sz="2" w:space="0"/>
                  </w:tcBorders>
                  <w:vAlign w:val="center"/>
                </w:tcPr>
                <w:p>
                  <w:pPr>
                    <w:pStyle w:val="24"/>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NO</w:t>
                  </w:r>
                  <w:r>
                    <w:rPr>
                      <w:rFonts w:hint="eastAsia"/>
                      <w:color w:val="000000" w:themeColor="text1"/>
                      <w:kern w:val="2"/>
                      <w:szCs w:val="24"/>
                      <w:vertAlign w:val="subscript"/>
                      <w14:textFill>
                        <w14:solidFill>
                          <w14:schemeClr w14:val="tx1"/>
                        </w14:solidFill>
                      </w14:textFill>
                    </w:rPr>
                    <w:t>X</w:t>
                  </w:r>
                </w:p>
              </w:tc>
              <w:tc>
                <w:tcPr>
                  <w:tcW w:w="3393" w:type="dxa"/>
                  <w:vAlign w:val="center"/>
                </w:tcPr>
                <w:p>
                  <w:pPr>
                    <w:pStyle w:val="24"/>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0.12</w:t>
                  </w:r>
                </w:p>
              </w:tc>
              <w:tc>
                <w:tcPr>
                  <w:tcW w:w="3348" w:type="dxa"/>
                  <w:vMerge w:val="continue"/>
                  <w:vAlign w:val="center"/>
                </w:tcPr>
                <w:p>
                  <w:pPr>
                    <w:pStyle w:val="24"/>
                    <w:rPr>
                      <w:color w:val="000000" w:themeColor="text1"/>
                      <w:kern w:val="2"/>
                      <w:szCs w:val="24"/>
                      <w14:textFill>
                        <w14:solidFill>
                          <w14:schemeClr w14:val="tx1"/>
                        </w14:solidFill>
                      </w14:textFill>
                    </w:rPr>
                  </w:pPr>
                </w:p>
              </w:tc>
            </w:tr>
          </w:tbl>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3</w:t>
            </w:r>
            <w:r>
              <w:rPr>
                <w:color w:val="000000" w:themeColor="text1"/>
                <w:kern w:val="0"/>
                <w:sz w:val="24"/>
                <w14:textFill>
                  <w14:solidFill>
                    <w14:schemeClr w14:val="tx1"/>
                  </w14:solidFill>
                </w14:textFill>
              </w:rPr>
              <w:t>）噪声</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项目运营期</w:t>
            </w:r>
            <w:r>
              <w:rPr>
                <w:rFonts w:hint="eastAsia"/>
                <w:color w:val="000000" w:themeColor="text1"/>
                <w:kern w:val="0"/>
                <w:sz w:val="24"/>
                <w:lang w:val="en-US" w:eastAsia="zh-CN"/>
                <w14:textFill>
                  <w14:solidFill>
                    <w14:schemeClr w14:val="tx1"/>
                  </w14:solidFill>
                </w14:textFill>
              </w:rPr>
              <w:t>无设备噪声产生</w:t>
            </w:r>
            <w:r>
              <w:rPr>
                <w:color w:val="000000" w:themeColor="text1"/>
                <w:kern w:val="0"/>
                <w:sz w:val="24"/>
                <w14:textFill>
                  <w14:solidFill>
                    <w14:schemeClr w14:val="tx1"/>
                  </w14:solidFill>
                </w14:textFill>
              </w:rPr>
              <w:t>。施工期施工</w:t>
            </w:r>
            <w:r>
              <w:rPr>
                <w:color w:val="000000" w:themeColor="text1"/>
                <w:kern w:val="0"/>
                <w:sz w:val="24"/>
                <w:highlight w:val="none"/>
                <w14:textFill>
                  <w14:solidFill>
                    <w14:schemeClr w14:val="tx1"/>
                  </w14:solidFill>
                </w14:textFill>
              </w:rPr>
              <w:t>场界</w:t>
            </w:r>
            <w:r>
              <w:rPr>
                <w:color w:val="000000" w:themeColor="text1"/>
                <w:kern w:val="0"/>
                <w:sz w:val="24"/>
                <w14:textFill>
                  <w14:solidFill>
                    <w14:schemeClr w14:val="tx1"/>
                  </w14:solidFill>
                </w14:textFill>
              </w:rPr>
              <w:t>噪声执行《建筑施工场界环境噪声排放标准》（GB 12523－2011）中表1规定的排放限值，见表</w:t>
            </w:r>
            <w:r>
              <w:rPr>
                <w:rFonts w:hint="eastAsia"/>
                <w:color w:val="000000" w:themeColor="text1"/>
                <w:kern w:val="0"/>
                <w:sz w:val="24"/>
                <w:lang w:val="en-US" w:eastAsia="zh-CN"/>
                <w14:textFill>
                  <w14:solidFill>
                    <w14:schemeClr w14:val="tx1"/>
                  </w14:solidFill>
                </w14:textFill>
              </w:rPr>
              <w:t>3-10</w:t>
            </w:r>
            <w:r>
              <w:rPr>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bCs/>
                <w:color w:val="000000" w:themeColor="text1"/>
                <w:kern w:val="0"/>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bCs/>
                <w:color w:val="000000" w:themeColor="text1"/>
                <w:kern w:val="0"/>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表</w:t>
            </w:r>
            <w:r>
              <w:rPr>
                <w:rFonts w:hint="eastAsia"/>
                <w:b/>
                <w:bCs/>
                <w:color w:val="000000" w:themeColor="text1"/>
                <w:kern w:val="0"/>
                <w:sz w:val="24"/>
                <w:szCs w:val="24"/>
                <w:lang w:val="en-US" w:eastAsia="zh-CN"/>
                <w14:textFill>
                  <w14:solidFill>
                    <w14:schemeClr w14:val="tx1"/>
                  </w14:solidFill>
                </w14:textFill>
              </w:rPr>
              <w:t xml:space="preserve">3-10 </w:t>
            </w:r>
            <w:r>
              <w:rPr>
                <w:b/>
                <w:bCs/>
                <w:color w:val="000000" w:themeColor="text1"/>
                <w:kern w:val="0"/>
                <w:sz w:val="24"/>
                <w:szCs w:val="24"/>
                <w14:textFill>
                  <w14:solidFill>
                    <w14:schemeClr w14:val="tx1"/>
                  </w14:solidFill>
                </w14:textFill>
              </w:rPr>
              <w:t>《建筑施工场界环境噪声排放标准》（GB 12523－2011）</w:t>
            </w:r>
          </w:p>
          <w:tbl>
            <w:tblPr>
              <w:tblStyle w:val="18"/>
              <w:tblW w:w="80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6"/>
              <w:gridCol w:w="4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 w:hRule="atLeast"/>
                <w:jc w:val="center"/>
              </w:trPr>
              <w:tc>
                <w:tcPr>
                  <w:tcW w:w="4016"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019" w:type="dxa"/>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016" w:type="dxa"/>
                  <w:tcBorders>
                    <w:bottom w:val="single" w:color="auto" w:sz="4" w:space="0"/>
                  </w:tcBorders>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70 dB（A）</w:t>
                  </w:r>
                </w:p>
              </w:tc>
              <w:tc>
                <w:tcPr>
                  <w:tcW w:w="4019" w:type="dxa"/>
                  <w:tcBorders>
                    <w:bottom w:val="single" w:color="auto" w:sz="4" w:space="0"/>
                  </w:tcBorders>
                  <w:vAlign w:val="center"/>
                </w:tcPr>
                <w:p>
                  <w:pPr>
                    <w:pStyle w:val="24"/>
                    <w:rPr>
                      <w:color w:val="000000" w:themeColor="text1"/>
                      <w14:textFill>
                        <w14:solidFill>
                          <w14:schemeClr w14:val="tx1"/>
                        </w14:solidFill>
                      </w14:textFill>
                    </w:rPr>
                  </w:pPr>
                  <w:r>
                    <w:rPr>
                      <w:color w:val="000000" w:themeColor="text1"/>
                      <w14:textFill>
                        <w14:solidFill>
                          <w14:schemeClr w14:val="tx1"/>
                        </w14:solidFill>
                      </w14:textFill>
                    </w:rPr>
                    <w:t>55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5" w:type="dxa"/>
                  <w:gridSpan w:val="2"/>
                  <w:tcBorders>
                    <w:top w:val="single" w:color="auto" w:sz="4" w:space="0"/>
                  </w:tcBorders>
                  <w:vAlign w:val="center"/>
                </w:tcPr>
                <w:p>
                  <w:pPr>
                    <w:pStyle w:val="24"/>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备注：夜间噪声最大声级超过限值的幅度不得高于15dB。</w:t>
                  </w:r>
                </w:p>
              </w:tc>
            </w:tr>
          </w:tbl>
          <w:p>
            <w:pPr>
              <w:adjustRightInd w:val="0"/>
              <w:snapToGrid w:val="0"/>
              <w:spacing w:line="360" w:lineRule="auto"/>
              <w:ind w:left="37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4</w:t>
            </w:r>
            <w:r>
              <w:rPr>
                <w:color w:val="000000" w:themeColor="text1"/>
                <w:kern w:val="0"/>
                <w:sz w:val="24"/>
                <w14:textFill>
                  <w14:solidFill>
                    <w14:schemeClr w14:val="tx1"/>
                  </w14:solidFill>
                </w14:textFill>
              </w:rPr>
              <w:t>）固体废物</w:t>
            </w:r>
          </w:p>
          <w:p>
            <w:pPr>
              <w:spacing w:line="360" w:lineRule="auto"/>
              <w:ind w:firstLine="480" w:firstLineChars="200"/>
              <w:rPr>
                <w:rFonts w:hint="eastAsia"/>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项目生活垃圾执行《一般工业固体废物贮存和填埋污染控制标准》（GB18599-2020）。</w:t>
            </w:r>
            <w:r>
              <w:rPr>
                <w:rFonts w:hint="eastAsia"/>
                <w:color w:val="000000" w:themeColor="text1"/>
                <w:sz w:val="24"/>
                <w:lang w:val="en-US" w:eastAsia="zh-CN"/>
                <w14:textFill>
                  <w14:solidFill>
                    <w14:schemeClr w14:val="tx1"/>
                  </w14:solidFill>
                </w14:textFill>
              </w:rPr>
              <w:t>村属集体房拆迁</w:t>
            </w:r>
            <w:r>
              <w:rPr>
                <w:color w:val="000000" w:themeColor="text1"/>
                <w:sz w:val="24"/>
                <w14:textFill>
                  <w14:solidFill>
                    <w14:schemeClr w14:val="tx1"/>
                  </w14:solidFill>
                </w14:textFill>
              </w:rPr>
              <w:t>产生的</w:t>
            </w:r>
            <w:r>
              <w:rPr>
                <w:rFonts w:hint="eastAsia"/>
                <w:color w:val="000000" w:themeColor="text1"/>
                <w:sz w:val="24"/>
                <w:lang w:val="en-US" w:eastAsia="zh-CN"/>
                <w14:textFill>
                  <w14:solidFill>
                    <w14:schemeClr w14:val="tx1"/>
                  </w14:solidFill>
                </w14:textFill>
              </w:rPr>
              <w:t>以及施工期</w:t>
            </w:r>
            <w:r>
              <w:rPr>
                <w:color w:val="000000" w:themeColor="text1"/>
                <w:sz w:val="24"/>
                <w14:textFill>
                  <w14:solidFill>
                    <w14:schemeClr w14:val="tx1"/>
                  </w14:solidFill>
                </w14:textFill>
              </w:rPr>
              <w:t>建筑垃圾的处置执行（</w:t>
            </w:r>
            <w:r>
              <w:rPr>
                <w:rFonts w:hint="default" w:ascii="Times New Roman" w:hAnsi="Times New Roman" w:eastAsia="宋体" w:cs="Times New Roman"/>
                <w:color w:val="000000" w:themeColor="text1"/>
                <w:sz w:val="24"/>
                <w:szCs w:val="24"/>
                <w14:textFill>
                  <w14:solidFill>
                    <w14:schemeClr w14:val="tx1"/>
                  </w14:solidFill>
                </w14:textFill>
              </w:rPr>
              <w:t>建设部2005号第139号令）《城市建筑垃圾管理规定》</w:t>
            </w:r>
            <w:r>
              <w:rPr>
                <w:color w:val="000000" w:themeColor="text1"/>
                <w:sz w:val="24"/>
                <w14:textFill>
                  <w14:solidFill>
                    <w14:schemeClr w14:val="tx1"/>
                  </w14:solidFill>
                </w14:textFill>
              </w:rPr>
              <w:t>中的要求进行综合利用和处置。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904" w:type="dxa"/>
            <w:vAlign w:val="center"/>
          </w:tcPr>
          <w:p>
            <w:pPr>
              <w:adjustRightInd w:val="0"/>
              <w:snapToGrid w:val="0"/>
              <w:jc w:val="center"/>
              <w:rPr>
                <w:rFonts w:hint="eastAsia"/>
                <w:bCs/>
                <w:color w:val="000000" w:themeColor="text1"/>
                <w:sz w:val="24"/>
                <w:szCs w:val="24"/>
                <w:lang w:val="en-US"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其他</w:t>
            </w:r>
          </w:p>
        </w:tc>
        <w:tc>
          <w:tcPr>
            <w:tcW w:w="8253" w:type="dxa"/>
            <w:vAlign w:val="center"/>
          </w:tcPr>
          <w:p>
            <w:pPr>
              <w:adjustRightInd w:val="0"/>
              <w:snapToGrid w:val="0"/>
              <w:jc w:val="center"/>
              <w:rPr>
                <w:rFonts w:hint="eastAsia"/>
                <w:color w:val="000000" w:themeColor="text1"/>
                <w:kern w:val="0"/>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本项目不涉及总量控制指标</w:t>
            </w:r>
          </w:p>
        </w:tc>
      </w:tr>
    </w:tbl>
    <w:p>
      <w:pPr>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br w:type="page"/>
      </w:r>
    </w:p>
    <w:p>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四、生态环境影响分析</w:t>
      </w:r>
    </w:p>
    <w:tbl>
      <w:tblPr>
        <w:tblStyle w:val="18"/>
        <w:tblW w:w="94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6" w:hRule="atLeast"/>
          <w:jc w:val="center"/>
        </w:trPr>
        <w:tc>
          <w:tcPr>
            <w:tcW w:w="426" w:type="dxa"/>
            <w:tcMar>
              <w:left w:w="28" w:type="dxa"/>
              <w:right w:w="28" w:type="dxa"/>
            </w:tcMar>
            <w:vAlign w:val="center"/>
          </w:tcPr>
          <w:p>
            <w:pPr>
              <w:pStyle w:val="15"/>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bookmarkStart w:id="5" w:name="_Hlk49796138"/>
            <w:r>
              <w:rPr>
                <w:rFonts w:hint="eastAsia" w:cs="宋体"/>
                <w:bCs/>
                <w:color w:val="000000" w:themeColor="text1"/>
                <w:spacing w:val="10"/>
                <w:kern w:val="2"/>
                <w:sz w:val="21"/>
                <w:szCs w:val="21"/>
                <w14:textFill>
                  <w14:solidFill>
                    <w14:schemeClr w14:val="tx1"/>
                  </w14:solidFill>
                </w14:textFill>
              </w:rPr>
              <w:t>施工期生态环境影响分析</w:t>
            </w:r>
            <w:bookmarkEnd w:id="5"/>
          </w:p>
        </w:tc>
        <w:tc>
          <w:tcPr>
            <w:tcW w:w="9066" w:type="dxa"/>
            <w:vAlign w:val="top"/>
          </w:tcPr>
          <w:p>
            <w:pPr>
              <w:numPr>
                <w:ilvl w:val="0"/>
                <w:numId w:val="0"/>
              </w:numPr>
              <w:adjustRightInd w:val="0"/>
              <w:snapToGrid w:val="0"/>
              <w:spacing w:line="360" w:lineRule="auto"/>
              <w:ind w:leftChars="0"/>
              <w:rPr>
                <w:rFonts w:hint="default"/>
                <w:b/>
                <w:bCs/>
                <w:color w:val="000000" w:themeColor="text1"/>
                <w:sz w:val="24"/>
                <w:szCs w:val="24"/>
                <w:lang w:val="en-US" w:eastAsia="zh-CN"/>
                <w14:textFill>
                  <w14:solidFill>
                    <w14:schemeClr w14:val="tx1"/>
                  </w14:solidFill>
                </w14:textFill>
              </w:rPr>
            </w:pPr>
            <w:r>
              <w:rPr>
                <w:rStyle w:val="41"/>
                <w:rFonts w:hint="default"/>
                <w:color w:val="000000" w:themeColor="text1"/>
                <w:lang w:val="en-US" w:eastAsia="zh-CN"/>
                <w14:textFill>
                  <w14:solidFill>
                    <w14:schemeClr w14:val="tx1"/>
                  </w14:solidFill>
                </w14:textFill>
              </w:rPr>
              <w:t>1</w:t>
            </w:r>
            <w:r>
              <w:rPr>
                <w:rStyle w:val="41"/>
                <w:rFonts w:hint="eastAsia"/>
                <w:color w:val="000000" w:themeColor="text1"/>
                <w:lang w:val="en-US" w:eastAsia="zh-CN"/>
                <w14:textFill>
                  <w14:solidFill>
                    <w14:schemeClr w14:val="tx1"/>
                  </w14:solidFill>
                </w14:textFill>
              </w:rPr>
              <w:t>.</w:t>
            </w:r>
            <w:r>
              <w:rPr>
                <w:rStyle w:val="41"/>
                <w:rFonts w:hint="default"/>
                <w:color w:val="000000" w:themeColor="text1"/>
                <w:lang w:val="en-US" w:eastAsia="zh-CN"/>
                <w14:textFill>
                  <w14:solidFill>
                    <w14:schemeClr w14:val="tx1"/>
                  </w14:solidFill>
                </w14:textFill>
              </w:rPr>
              <w:t>大气环境影响分析</w:t>
            </w:r>
          </w:p>
          <w:p>
            <w:pPr>
              <w:pStyle w:val="39"/>
              <w:keepNext w:val="0"/>
              <w:keepLines w:val="0"/>
              <w:pageBreakBefore w:val="0"/>
              <w:kinsoku/>
              <w:wordWrap/>
              <w:overflowPunct/>
              <w:topLinePunct w:val="0"/>
              <w:autoSpaceDE/>
              <w:autoSpaceDN/>
              <w:bidi w:val="0"/>
              <w:spacing w:line="360" w:lineRule="auto"/>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本项目施工期大气环境污染主要来自于机械和车辆燃油废气排放、施工扬尘、物料运输扬尘。</w:t>
            </w:r>
          </w:p>
          <w:p>
            <w:pPr>
              <w:pStyle w:val="39"/>
              <w:keepNext w:val="0"/>
              <w:keepLines w:val="0"/>
              <w:pageBreakBefore w:val="0"/>
              <w:kinsoku/>
              <w:wordWrap/>
              <w:overflowPunct/>
              <w:topLinePunct w:val="0"/>
              <w:autoSpaceDE/>
              <w:autoSpaceDN/>
              <w:bidi w:val="0"/>
              <w:spacing w:line="360" w:lineRule="auto"/>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（1）机械和车辆燃油废气</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建筑工地上大量使用的施工机械和大型建筑材料运输车辆一般都以柴油为燃料。由柴油燃烧产生的尾气中主要含有颗粒物和碳氢化合物等废气，在常规气象条件下废气污染影响范围最大不超过排气孔下风向轴线几十米远的距离。汽车尾气所含污染物浓度与汽车行驶条件有很大关系。汽车在空档时碳氢化合物和CO浓度最高，低速时碳氢化合物和CO浓度较高，高速时NO</w:t>
            </w:r>
            <w:r>
              <w:rPr>
                <w:rFonts w:hint="default"/>
                <w:b w:val="0"/>
                <w:bCs w:val="0"/>
                <w:color w:val="000000" w:themeColor="text1"/>
                <w:highlight w:val="none"/>
                <w:vertAlign w:val="subscript"/>
                <w:lang w:val="en-US" w:eastAsia="zh-CN"/>
                <w14:textFill>
                  <w14:solidFill>
                    <w14:schemeClr w14:val="tx1"/>
                  </w14:solidFill>
                </w14:textFill>
              </w:rPr>
              <w:t>x</w:t>
            </w:r>
            <w:r>
              <w:rPr>
                <w:rFonts w:hint="default"/>
                <w:b w:val="0"/>
                <w:bCs w:val="0"/>
                <w:color w:val="000000" w:themeColor="text1"/>
                <w:highlight w:val="none"/>
                <w:lang w:val="en-US" w:eastAsia="zh-CN"/>
                <w14:textFill>
                  <w14:solidFill>
                    <w14:schemeClr w14:val="tx1"/>
                  </w14:solidFill>
                </w14:textFill>
              </w:rPr>
              <w:t>浓度最高，CO和碳氢化合物浓度较低。一般情况下，在工地内运行的机械及载重卡车的废气污染影响范围仅局限于施工工地内，不影响界外区域。但当车辆进出工地及在外界道路上行驶时，可能会影响道路两侧约60m的区域。</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因施工燃油废气对环境的影响是暂时的，将随施工期结束而基本消失，且由于运输车辆为流动性的，施工机械较为分散，废气产生量有限，因此燃油废气对大气环境的影响较小。</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eastAsia="zh-CN"/>
                <w14:textFill>
                  <w14:solidFill>
                    <w14:schemeClr w14:val="tx1"/>
                  </w14:solidFill>
                </w14:textFill>
              </w:rPr>
              <w:t>（</w:t>
            </w:r>
            <w:r>
              <w:rPr>
                <w:rFonts w:hint="default"/>
                <w:b w:val="0"/>
                <w:bCs w:val="0"/>
                <w:color w:val="000000" w:themeColor="text1"/>
                <w:highlight w:val="none"/>
                <w:lang w:val="en-US" w:eastAsia="zh-CN"/>
                <w14:textFill>
                  <w14:solidFill>
                    <w14:schemeClr w14:val="tx1"/>
                  </w14:solidFill>
                </w14:textFill>
              </w:rPr>
              <w:t>2</w:t>
            </w:r>
            <w:r>
              <w:rPr>
                <w:rFonts w:hint="default"/>
                <w:b w:val="0"/>
                <w:bCs w:val="0"/>
                <w:color w:val="000000" w:themeColor="text1"/>
                <w:highlight w:val="none"/>
                <w:lang w:eastAsia="zh-CN"/>
                <w14:textFill>
                  <w14:solidFill>
                    <w14:schemeClr w14:val="tx1"/>
                  </w14:solidFill>
                </w14:textFill>
              </w:rPr>
              <w:t>）</w:t>
            </w:r>
            <w:r>
              <w:rPr>
                <w:rFonts w:hint="default"/>
                <w:b w:val="0"/>
                <w:bCs w:val="0"/>
                <w:color w:val="000000" w:themeColor="text1"/>
                <w:highlight w:val="none"/>
                <w:lang w:val="en-US" w:eastAsia="zh-CN"/>
                <w14:textFill>
                  <w14:solidFill>
                    <w14:schemeClr w14:val="tx1"/>
                  </w14:solidFill>
                </w14:textFill>
              </w:rPr>
              <w:t>施工扬尘</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施工扬尘污染主要来源于</w:t>
            </w:r>
            <w:r>
              <w:rPr>
                <w:rFonts w:hint="default"/>
                <w:b w:val="0"/>
                <w:bCs w:val="0"/>
                <w:color w:val="000000" w:themeColor="text1"/>
                <w:highlight w:val="none"/>
                <w:lang w:eastAsia="zh-CN"/>
                <w14:textFill>
                  <w14:solidFill>
                    <w14:schemeClr w14:val="tx1"/>
                  </w14:solidFill>
                </w14:textFill>
              </w:rPr>
              <w:t>：</w:t>
            </w:r>
            <w:r>
              <w:rPr>
                <w:rFonts w:hint="default"/>
                <w:b w:val="0"/>
                <w:bCs w:val="0"/>
                <w:color w:val="000000" w:themeColor="text1"/>
                <w:highlight w:val="none"/>
                <w14:textFill>
                  <w14:solidFill>
                    <w14:schemeClr w14:val="tx1"/>
                  </w14:solidFill>
                </w14:textFill>
              </w:rPr>
              <w:t>土石方开挖、</w:t>
            </w:r>
            <w:r>
              <w:rPr>
                <w:rFonts w:hint="eastAsia"/>
                <w:b w:val="0"/>
                <w:bCs w:val="0"/>
                <w:color w:val="000000" w:themeColor="text1"/>
                <w:highlight w:val="none"/>
                <w:lang w:val="en-US" w:eastAsia="zh-CN"/>
                <w14:textFill>
                  <w14:solidFill>
                    <w14:schemeClr w14:val="tx1"/>
                  </w14:solidFill>
                </w14:textFill>
              </w:rPr>
              <w:t>堆场起尘等</w:t>
            </w:r>
            <w:r>
              <w:rPr>
                <w:rFonts w:hint="default"/>
                <w:b w:val="0"/>
                <w:bCs w:val="0"/>
                <w:color w:val="000000" w:themeColor="text1"/>
                <w:highlight w:val="none"/>
                <w14:textFill>
                  <w14:solidFill>
                    <w14:schemeClr w14:val="tx1"/>
                  </w14:solidFill>
                </w14:textFill>
              </w:rPr>
              <w:t>，如遇大风天气，会造成扬尘污染</w:t>
            </w:r>
            <w:r>
              <w:rPr>
                <w:rFonts w:hint="default"/>
                <w:b w:val="0"/>
                <w:bCs w:val="0"/>
                <w:color w:val="000000" w:themeColor="text1"/>
                <w:highlight w:val="none"/>
                <w:lang w:eastAsia="zh-CN"/>
                <w14:textFill>
                  <w14:solidFill>
                    <w14:schemeClr w14:val="tx1"/>
                  </w14:solidFill>
                </w14:textFill>
              </w:rPr>
              <w:t>；</w:t>
            </w:r>
            <w:r>
              <w:rPr>
                <w:rFonts w:hint="default"/>
                <w:b w:val="0"/>
                <w:bCs w:val="0"/>
                <w:color w:val="000000" w:themeColor="text1"/>
                <w:highlight w:val="none"/>
                <w14:textFill>
                  <w14:solidFill>
                    <w14:schemeClr w14:val="tx1"/>
                  </w14:solidFill>
                </w14:textFill>
              </w:rPr>
              <w:t>混凝土等建筑材料，如运输、装卸、储存方式不当，可能造成泄漏，产生扬尘污染运输车辆在地行驶过程中将产生大量尘土。</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施工场地周边居民点较少，因此土石方开挖产生的施工期扬尘对周边敏感点造成的影响较小，施工完成后施工期机械和车辆废气就会消失。</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lang w:eastAsia="zh-CN"/>
                <w14:textFill>
                  <w14:solidFill>
                    <w14:schemeClr w14:val="tx1"/>
                  </w14:solidFill>
                </w14:textFill>
              </w:rPr>
            </w:pPr>
            <w:r>
              <w:rPr>
                <w:rFonts w:hint="default"/>
                <w:b w:val="0"/>
                <w:bCs w:val="0"/>
                <w:color w:val="000000" w:themeColor="text1"/>
                <w:highlight w:val="none"/>
                <w14:textFill>
                  <w14:solidFill>
                    <w14:schemeClr w14:val="tx1"/>
                  </w14:solidFill>
                </w14:textFill>
              </w:rPr>
              <w:t>为控制扬尘污染，工程施工过程中将采取如下措施</w:t>
            </w:r>
            <w:r>
              <w:rPr>
                <w:rFonts w:hint="default"/>
                <w:b w:val="0"/>
                <w:bCs w:val="0"/>
                <w:color w:val="000000" w:themeColor="text1"/>
                <w:highlight w:val="none"/>
                <w:lang w:eastAsia="zh-CN"/>
                <w14:textFill>
                  <w14:solidFill>
                    <w14:schemeClr w14:val="tx1"/>
                  </w14:solidFill>
                </w14:textFill>
              </w:rPr>
              <w:t>：</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①施工场地要采用分段封闭施工方式，围挡高度不低于1.8m</w:t>
            </w:r>
            <w:r>
              <w:rPr>
                <w:rFonts w:hint="eastAsia"/>
                <w:b w:val="0"/>
                <w:bCs w:val="0"/>
                <w:color w:val="000000" w:themeColor="text1"/>
                <w:highlight w:val="none"/>
                <w:lang w:val="en-US" w:eastAsia="zh-CN"/>
                <w14:textFill>
                  <w14:solidFill>
                    <w14:schemeClr w14:val="tx1"/>
                  </w14:solidFill>
                </w14:textFill>
              </w:rPr>
              <w:t>。</w:t>
            </w:r>
            <w:r>
              <w:rPr>
                <w:rFonts w:hint="default"/>
                <w:b w:val="0"/>
                <w:bCs w:val="0"/>
                <w:color w:val="000000" w:themeColor="text1"/>
                <w:highlight w:val="none"/>
                <w14:textFill>
                  <w14:solidFill>
                    <w14:schemeClr w14:val="tx1"/>
                  </w14:solidFill>
                </w14:textFill>
              </w:rPr>
              <w:t>弃土及时清运，若不能及时清运，应当设置不低于堆放物高度的密闭围栏并予以覆盖。</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②加强材料运输车、土石方运输车辆车运输过程的监督管理，使用密闭车辆进行物料运输，并加强车辆的清洗维护（车辆上路前先清洗干净），严禁超重或带泥上路。行驶路线应避开居民区等人口聚集处，尽量避免在繁华区、交通集中区和居民住宅等敏感区行驶。</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③禁止大风天气施工，干旱季节在施工场地定点洒水和对运输土石方车辆进行遮盖，可使施工产生的扬尘的影响程度和影响范围得到有效控制。</w:t>
            </w:r>
          </w:p>
          <w:p>
            <w:pPr>
              <w:pStyle w:val="39"/>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④施工场地四周设置洒水设施，安排专人及时清扫、洒水，施工场地进出车辆冲洗设施，对出场车辆轮胎冲洗后出场。</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采取上述措施后，施工粉尘对周边影响的影响较小。</w:t>
            </w:r>
          </w:p>
          <w:p>
            <w:pPr>
              <w:pStyle w:val="39"/>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lang w:val="en-US" w:eastAsia="zh-CN"/>
                <w14:textFill>
                  <w14:solidFill>
                    <w14:schemeClr w14:val="tx1"/>
                  </w14:solidFill>
                </w14:textFill>
              </w:rPr>
              <w:t>项目每个施工场地设置一个砼系统，由两台拌合机组成。</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根据《</w:t>
            </w:r>
            <w:r>
              <w:rPr>
                <w:rFonts w:hint="eastAsia" w:cs="Times New Roman"/>
                <w:b w:val="0"/>
                <w:bCs w:val="0"/>
                <w:color w:val="000000" w:themeColor="text1"/>
                <w:sz w:val="24"/>
                <w:szCs w:val="24"/>
                <w:lang w:val="en-US" w:eastAsia="zh-CN"/>
                <w14:textFill>
                  <w14:solidFill>
                    <w14:schemeClr w14:val="tx1"/>
                  </w14:solidFill>
                </w14:textFill>
              </w:rPr>
              <w:t>福鼎市硖门畲族乡庙后溪山洪治理（高水高排）工程</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可行性研究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报告</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本工程主体工程砼用量为</w:t>
            </w:r>
            <w:r>
              <w:rPr>
                <w:b w:val="0"/>
                <w:bCs w:val="0"/>
                <w:color w:val="000000" w:themeColor="text1"/>
                <w:sz w:val="24"/>
                <w:szCs w:val="24"/>
                <w:highlight w:val="none"/>
                <w:lang w:eastAsia="zh-CN"/>
                <w14:textFill>
                  <w14:solidFill>
                    <w14:schemeClr w14:val="tx1"/>
                  </w14:solidFill>
                </w14:textFill>
              </w:rPr>
              <w:t>7563</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m</w:t>
            </w:r>
            <w:r>
              <w:rPr>
                <w:rFonts w:hint="default" w:ascii="Times New Roman" w:hAnsi="Times New Roman" w:cs="Times New Roman"/>
                <w:b w:val="0"/>
                <w:bCs w:val="0"/>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，砼密度平均取2.385g/cm</w:t>
            </w:r>
            <w:r>
              <w:rPr>
                <w:rFonts w:hint="default" w:ascii="Times New Roman" w:hAnsi="Times New Roman" w:cs="Times New Roman"/>
                <w:b w:val="0"/>
                <w:bCs w:val="0"/>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，则项目搅拌生产的砼</w:t>
            </w:r>
            <w:r>
              <w:rPr>
                <w:rFonts w:hint="eastAsia" w:cs="Times New Roman"/>
                <w:b w:val="0"/>
                <w:bCs w:val="0"/>
                <w:color w:val="000000" w:themeColor="text1"/>
                <w:highlight w:val="none"/>
                <w:lang w:val="en-US" w:eastAsia="zh-CN"/>
                <w14:textFill>
                  <w14:solidFill>
                    <w14:schemeClr w14:val="tx1"/>
                  </w14:solidFill>
                </w14:textFill>
              </w:rPr>
              <w:t>约</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为</w:t>
            </w:r>
            <w:r>
              <w:rPr>
                <w:rFonts w:hint="eastAsia" w:cs="Times New Roman"/>
                <w:b w:val="0"/>
                <w:bCs w:val="0"/>
                <w:color w:val="000000" w:themeColor="text1"/>
                <w:highlight w:val="none"/>
                <w:lang w:val="en-US" w:eastAsia="zh-CN"/>
                <w14:textFill>
                  <w14:solidFill>
                    <w14:schemeClr w14:val="tx1"/>
                  </w14:solidFill>
                </w14:textFill>
              </w:rPr>
              <w:t>18037</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t。每处施工场地生产</w:t>
            </w:r>
            <w:r>
              <w:rPr>
                <w:rFonts w:hint="eastAsia" w:cs="Times New Roman"/>
                <w:b w:val="0"/>
                <w:bCs w:val="0"/>
                <w:color w:val="000000" w:themeColor="text1"/>
                <w:highlight w:val="none"/>
                <w:lang w:val="en-US" w:eastAsia="zh-CN"/>
                <w14:textFill>
                  <w14:solidFill>
                    <w14:schemeClr w14:val="tx1"/>
                  </w14:solidFill>
                </w14:textFill>
              </w:rPr>
              <w:t>4509.4</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t。砼系统产污参考</w:t>
            </w:r>
            <w:r>
              <w:rPr>
                <w:rFonts w:hint="default" w:ascii="Times New Roman" w:hAnsi="Times New Roman" w:cs="Times New Roman"/>
                <w:b w:val="0"/>
                <w:bCs w:val="0"/>
                <w:color w:val="000000" w:themeColor="text1"/>
                <w:sz w:val="24"/>
                <w:szCs w:val="24"/>
                <w:highlight w:val="none"/>
                <w14:textFill>
                  <w14:solidFill>
                    <w14:schemeClr w14:val="tx1"/>
                  </w14:solidFill>
                </w14:textFill>
              </w:rPr>
              <w:t>《空气污染排放和控制手册》（美国环境保护局编著，张良壁等译，中国环境科学出版社）</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十混凝土配料</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，产排污系数取0.12kg/t物料</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则每处施工场地砼系统产生的粉尘量为</w:t>
            </w:r>
            <w:r>
              <w:rPr>
                <w:rFonts w:hint="eastAsia" w:cs="Times New Roman"/>
                <w:b w:val="0"/>
                <w:bCs w:val="0"/>
                <w:color w:val="000000" w:themeColor="text1"/>
                <w:sz w:val="24"/>
                <w:szCs w:val="24"/>
                <w:highlight w:val="none"/>
                <w:lang w:val="en-US" w:eastAsia="zh-CN"/>
                <w14:textFill>
                  <w14:solidFill>
                    <w14:schemeClr w14:val="tx1"/>
                  </w14:solidFill>
                </w14:textFill>
              </w:rPr>
              <w:t>541.13</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kg，砼系统生产时间较少，每月生产时间约为50h，施工期间共计生产时间约1900h，则</w:t>
            </w:r>
            <w:r>
              <w:rPr>
                <w:rFonts w:hint="eastAsia" w:cs="Times New Roman"/>
                <w:b w:val="0"/>
                <w:bCs w:val="0"/>
                <w:color w:val="000000" w:themeColor="text1"/>
                <w:sz w:val="24"/>
                <w:szCs w:val="24"/>
                <w:highlight w:val="none"/>
                <w:lang w:val="en-US" w:eastAsia="zh-CN"/>
                <w14:textFill>
                  <w14:solidFill>
                    <w14:schemeClr w14:val="tx1"/>
                  </w14:solidFill>
                </w14:textFill>
              </w:rPr>
              <w:t>每</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处施工场地搅拌产生粉尘量为</w:t>
            </w:r>
            <w:r>
              <w:rPr>
                <w:rFonts w:hint="eastAsia" w:cs="Times New Roman"/>
                <w:b w:val="0"/>
                <w:bCs w:val="0"/>
                <w:color w:val="000000" w:themeColor="text1"/>
                <w:sz w:val="24"/>
                <w:szCs w:val="24"/>
                <w:highlight w:val="none"/>
                <w:lang w:val="en-US" w:eastAsia="zh-CN"/>
                <w14:textFill>
                  <w14:solidFill>
                    <w14:schemeClr w14:val="tx1"/>
                  </w14:solidFill>
                </w14:textFill>
              </w:rPr>
              <w:t>0.28</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kg/h。</w:t>
            </w:r>
          </w:p>
          <w:p>
            <w:pPr>
              <w:pStyle w:val="39"/>
              <w:keepNext w:val="0"/>
              <w:keepLines w:val="0"/>
              <w:pageBreakBefore w:val="0"/>
              <w:kinsoku/>
              <w:wordWrap/>
              <w:overflowPunct/>
              <w:topLinePunct w:val="0"/>
              <w:autoSpaceDE/>
              <w:autoSpaceDN/>
              <w:bidi w:val="0"/>
              <w:ind w:firstLine="480" w:firstLineChars="200"/>
              <w:textAlignment w:val="auto"/>
              <w:rPr>
                <w:rFonts w:hint="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lang w:eastAsia="zh-CN"/>
                <w14:textFill>
                  <w14:solidFill>
                    <w14:schemeClr w14:val="tx1"/>
                  </w14:solidFill>
                </w14:textFill>
              </w:rPr>
              <w:t>砼系统搅拌机产生的粉尘经袋式除尘器处理后无组织排放。</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袋式除尘器处理效率取99%，则每个施工场地砼系统排放的粉尘为</w:t>
            </w:r>
            <w:r>
              <w:rPr>
                <w:rFonts w:hint="eastAsia" w:cs="Times New Roman"/>
                <w:b w:val="0"/>
                <w:bCs w:val="0"/>
                <w:color w:val="000000" w:themeColor="text1"/>
                <w:highlight w:val="none"/>
                <w:lang w:val="en-US" w:eastAsia="zh-CN"/>
                <w14:textFill>
                  <w14:solidFill>
                    <w14:schemeClr w14:val="tx1"/>
                  </w14:solidFill>
                </w14:textFill>
              </w:rPr>
              <w:t>0.0028</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kg/h，产生的粉尘较少，对周边的环境不大。</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（3）</w:t>
            </w:r>
            <w:r>
              <w:rPr>
                <w:rFonts w:hint="default"/>
                <w:b w:val="0"/>
                <w:bCs w:val="0"/>
                <w:color w:val="000000" w:themeColor="text1"/>
                <w:highlight w:val="none"/>
                <w14:textFill>
                  <w14:solidFill>
                    <w14:schemeClr w14:val="tx1"/>
                  </w14:solidFill>
                </w14:textFill>
              </w:rPr>
              <w:t>物料运输扬尘</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14:textFill>
                  <w14:solidFill>
                    <w14:schemeClr w14:val="tx1"/>
                  </w14:solidFill>
                </w14:textFill>
              </w:rPr>
              <w:t>项目水泥、砂石</w:t>
            </w:r>
            <w:r>
              <w:rPr>
                <w:rFonts w:hint="eastAsia"/>
                <w:b w:val="0"/>
                <w:bCs w:val="0"/>
                <w:color w:val="000000" w:themeColor="text1"/>
                <w:highlight w:val="none"/>
                <w:lang w:val="en-US" w:eastAsia="zh-CN"/>
                <w14:textFill>
                  <w14:solidFill>
                    <w14:schemeClr w14:val="tx1"/>
                  </w14:solidFill>
                </w14:textFill>
              </w:rPr>
              <w:t>料、土石方</w:t>
            </w:r>
            <w:r>
              <w:rPr>
                <w:rFonts w:hint="default"/>
                <w:b w:val="0"/>
                <w:bCs w:val="0"/>
                <w:color w:val="000000" w:themeColor="text1"/>
                <w:highlight w:val="none"/>
                <w14:textFill>
                  <w14:solidFill>
                    <w14:schemeClr w14:val="tx1"/>
                  </w14:solidFill>
                </w14:textFill>
              </w:rPr>
              <w:t>等材料，如运输方式不当（如车辆未采取覆盖、道路未采取</w:t>
            </w:r>
            <w:r>
              <w:rPr>
                <w:rFonts w:hint="eastAsia"/>
                <w:b w:val="0"/>
                <w:bCs w:val="0"/>
                <w:color w:val="000000" w:themeColor="text1"/>
                <w:highlight w:val="none"/>
                <w:lang w:eastAsia="zh-CN"/>
                <w14:textFill>
                  <w14:solidFill>
                    <w14:schemeClr w14:val="tx1"/>
                  </w14:solidFill>
                </w14:textFill>
              </w:rPr>
              <w:t>洒水</w:t>
            </w:r>
            <w:r>
              <w:rPr>
                <w:rFonts w:hint="default"/>
                <w:b w:val="0"/>
                <w:bCs w:val="0"/>
                <w:color w:val="000000" w:themeColor="text1"/>
                <w:highlight w:val="none"/>
                <w14:textFill>
                  <w14:solidFill>
                    <w14:schemeClr w14:val="tx1"/>
                  </w14:solidFill>
                </w14:textFill>
              </w:rPr>
              <w:t>防尘），可能造成泄漏，施工期施工运输车辆的往来将产生道路扬尘污染，尤其是行驶在现有公路等路段的车辆。根据类似施工现场汽车运输引起的扬尘现场检测数据，灰土运输车辆下风向50m处TSP的浓度为11.625mg/m</w:t>
            </w:r>
            <w:r>
              <w:rPr>
                <w:rFonts w:hint="default"/>
                <w:b w:val="0"/>
                <w:bCs w:val="0"/>
                <w:color w:val="000000" w:themeColor="text1"/>
                <w:highlight w:val="none"/>
                <w:vertAlign w:val="superscript"/>
                <w14:textFill>
                  <w14:solidFill>
                    <w14:schemeClr w14:val="tx1"/>
                  </w14:solidFill>
                </w14:textFill>
              </w:rPr>
              <w:t>3</w:t>
            </w:r>
            <w:r>
              <w:rPr>
                <w:rFonts w:hint="default"/>
                <w:b w:val="0"/>
                <w:bCs w:val="0"/>
                <w:color w:val="000000" w:themeColor="text1"/>
                <w:highlight w:val="none"/>
                <w14:textFill>
                  <w14:solidFill>
                    <w14:schemeClr w14:val="tx1"/>
                  </w14:solidFill>
                </w14:textFill>
              </w:rPr>
              <w:t>；下风向10</w:t>
            </w:r>
            <w:r>
              <w:rPr>
                <w:b w:val="0"/>
                <w:bCs w:val="0"/>
                <w:color w:val="000000" w:themeColor="text1"/>
                <w:highlight w:val="none"/>
                <w14:textFill>
                  <w14:solidFill>
                    <w14:schemeClr w14:val="tx1"/>
                  </w14:solidFill>
                </w14:textFill>
              </w:rPr>
              <w:t>0m处TSP的浓度为9.69mg/m</w:t>
            </w:r>
            <w:r>
              <w:rPr>
                <w:b w:val="0"/>
                <w:bCs w:val="0"/>
                <w:color w:val="000000" w:themeColor="text1"/>
                <w:highlight w:val="none"/>
                <w:vertAlign w:val="superscript"/>
                <w14:textFill>
                  <w14:solidFill>
                    <w14:schemeClr w14:val="tx1"/>
                  </w14:solidFill>
                </w14:textFill>
              </w:rPr>
              <w:t>3</w:t>
            </w:r>
            <w:r>
              <w:rPr>
                <w:b w:val="0"/>
                <w:bCs w:val="0"/>
                <w:color w:val="000000" w:themeColor="text1"/>
                <w:highlight w:val="none"/>
                <w14:textFill>
                  <w14:solidFill>
                    <w14:schemeClr w14:val="tx1"/>
                  </w14:solidFill>
                </w14:textFill>
              </w:rPr>
              <w:t>；下风向150m处TSP的浓度为5.093mg/m</w:t>
            </w:r>
            <w:r>
              <w:rPr>
                <w:b w:val="0"/>
                <w:bCs w:val="0"/>
                <w:color w:val="000000" w:themeColor="text1"/>
                <w:highlight w:val="none"/>
                <w:vertAlign w:val="superscript"/>
                <w14:textFill>
                  <w14:solidFill>
                    <w14:schemeClr w14:val="tx1"/>
                  </w14:solidFill>
                </w14:textFill>
              </w:rPr>
              <w:t>3</w:t>
            </w:r>
            <w:r>
              <w:rPr>
                <w:b w:val="0"/>
                <w:bCs w:val="0"/>
                <w:color w:val="000000" w:themeColor="text1"/>
                <w:highlight w:val="none"/>
                <w14:textFill>
                  <w14:solidFill>
                    <w14:schemeClr w14:val="tx1"/>
                  </w14:solidFill>
                </w14:textFill>
              </w:rPr>
              <w:t>，超过环境空气质量二级标准。应加强对施工期运输道路的车</w:t>
            </w:r>
            <w:r>
              <w:rPr>
                <w:rFonts w:hint="default"/>
                <w:b w:val="0"/>
                <w:bCs w:val="0"/>
                <w:color w:val="000000" w:themeColor="text1"/>
                <w:highlight w:val="none"/>
                <w14:textFill>
                  <w14:solidFill>
                    <w14:schemeClr w14:val="tx1"/>
                  </w14:solidFill>
                </w14:textFill>
              </w:rPr>
              <w:t>辆管理工作和环境</w:t>
            </w:r>
            <w:r>
              <w:rPr>
                <w:rFonts w:hint="eastAsia"/>
                <w:b w:val="0"/>
                <w:bCs w:val="0"/>
                <w:color w:val="000000" w:themeColor="text1"/>
                <w:highlight w:val="none"/>
                <w:lang w:eastAsia="zh-CN"/>
                <w14:textFill>
                  <w14:solidFill>
                    <w14:schemeClr w14:val="tx1"/>
                  </w14:solidFill>
                </w14:textFill>
              </w:rPr>
              <w:t>空气监测</w:t>
            </w:r>
            <w:r>
              <w:rPr>
                <w:rFonts w:hint="default"/>
                <w:b w:val="0"/>
                <w:bCs w:val="0"/>
                <w:color w:val="000000" w:themeColor="text1"/>
                <w:highlight w:val="none"/>
                <w14:textFill>
                  <w14:solidFill>
                    <w14:schemeClr w14:val="tx1"/>
                  </w14:solidFill>
                </w14:textFill>
              </w:rPr>
              <w:t>，减轻道路扬尘造成的空气污染。</w:t>
            </w:r>
          </w:p>
          <w:p>
            <w:pPr>
              <w:pStyle w:val="4"/>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.地表水</w:t>
            </w:r>
            <w:r>
              <w:rPr>
                <w:rFonts w:hint="default"/>
                <w:color w:val="000000" w:themeColor="text1"/>
                <w:lang w:val="en-US" w:eastAsia="zh-CN"/>
                <w14:textFill>
                  <w14:solidFill>
                    <w14:schemeClr w14:val="tx1"/>
                  </w14:solidFill>
                </w14:textFill>
              </w:rPr>
              <w:t>环境影响分析</w:t>
            </w:r>
          </w:p>
          <w:p>
            <w:pPr>
              <w:pStyle w:val="39"/>
              <w:keepNext w:val="0"/>
              <w:keepLines w:val="0"/>
              <w:pageBreakBefore w:val="0"/>
              <w:kinsoku/>
              <w:wordWrap/>
              <w:overflowPunct/>
              <w:topLinePunct w:val="0"/>
              <w:autoSpaceDE/>
              <w:autoSpaceDN/>
              <w:bidi w:val="0"/>
              <w:ind w:firstLine="480" w:firstLineChars="200"/>
              <w:textAlignment w:val="auto"/>
              <w:rPr>
                <w:rFonts w:hint="default"/>
                <w:b w:val="0"/>
                <w:bCs w:val="0"/>
                <w:color w:val="000000" w:themeColor="text1"/>
                <w:highlight w:val="none"/>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本项目施工过程中施工废水均包括混凝土系统清洗废水、车辆冲洗废水、隧洞</w:t>
            </w:r>
            <w:r>
              <w:rPr>
                <w:rFonts w:hint="eastAsia"/>
                <w:b w:val="0"/>
                <w:bCs w:val="0"/>
                <w:color w:val="000000" w:themeColor="text1"/>
                <w:highlight w:val="none"/>
                <w:lang w:val="en-US" w:eastAsia="zh-CN"/>
                <w14:textFill>
                  <w14:solidFill>
                    <w14:schemeClr w14:val="tx1"/>
                  </w14:solidFill>
                </w14:textFill>
              </w:rPr>
              <w:t>涌</w:t>
            </w:r>
            <w:r>
              <w:rPr>
                <w:rFonts w:hint="default"/>
                <w:b w:val="0"/>
                <w:bCs w:val="0"/>
                <w:color w:val="000000" w:themeColor="text1"/>
                <w:highlight w:val="none"/>
                <w:lang w:val="en-US" w:eastAsia="zh-CN"/>
                <w14:textFill>
                  <w14:solidFill>
                    <w14:schemeClr w14:val="tx1"/>
                  </w14:solidFill>
                </w14:textFill>
              </w:rPr>
              <w:t>水及生活污水</w:t>
            </w:r>
            <w:r>
              <w:rPr>
                <w:rFonts w:hint="eastAsia"/>
                <w:b w:val="0"/>
                <w:bCs w:val="0"/>
                <w:color w:val="000000" w:themeColor="text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highlight w:val="none"/>
                <w:lang w:val="en-US"/>
                <w14:textFill>
                  <w14:solidFill>
                    <w14:schemeClr w14:val="tx1"/>
                  </w14:solidFill>
                </w14:textFill>
              </w:rPr>
            </w:pPr>
            <w:r>
              <w:rPr>
                <w:rFonts w:hAnsi="仿宋"/>
                <w:color w:val="000000" w:themeColor="text1"/>
                <w:highlight w:val="none"/>
                <w:lang w:eastAsia="zh-CN"/>
                <w14:textFill>
                  <w14:solidFill>
                    <w14:schemeClr w14:val="tx1"/>
                  </w14:solidFill>
                </w14:textFill>
              </w:rPr>
              <w:t>施工区的混凝土系统附近，设置沉淀池，混凝土废水经处理达到《污水综合排放标准》标准后回用不外排。汽车冲洗废水经隔油沉淀池处理后回用于道路洒水降尘。</w:t>
            </w:r>
            <w:r>
              <w:rPr>
                <w:rFonts w:hint="eastAsia"/>
                <w:color w:val="000000" w:themeColor="text1"/>
                <w:highlight w:val="none"/>
                <w:lang w:val="en-US" w:eastAsia="zh-CN"/>
                <w14:textFill>
                  <w14:solidFill>
                    <w14:schemeClr w14:val="tx1"/>
                  </w14:solidFill>
                </w14:textFill>
              </w:rPr>
              <w:t>生产废水含有大量的淤泥，尤其在雨季，将有大量的生产废水产生。废水中主要成分为悬浮物，</w:t>
            </w:r>
            <w:r>
              <w:rPr>
                <w:rFonts w:hint="default"/>
                <w:color w:val="000000" w:themeColor="text1"/>
                <w:highlight w:val="none"/>
                <w:lang w:val="en-US" w:eastAsia="zh-CN"/>
                <w14:textFill>
                  <w14:solidFill>
                    <w14:schemeClr w14:val="tx1"/>
                  </w14:solidFill>
                </w14:textFill>
              </w:rPr>
              <w:t>SS</w:t>
            </w:r>
            <w:r>
              <w:rPr>
                <w:rFonts w:hint="eastAsia"/>
                <w:color w:val="000000" w:themeColor="text1"/>
                <w:highlight w:val="none"/>
                <w:lang w:val="en-US" w:eastAsia="zh-CN"/>
                <w14:textFill>
                  <w14:solidFill>
                    <w14:schemeClr w14:val="tx1"/>
                  </w14:solidFill>
                </w14:textFill>
              </w:rPr>
              <w:t>的含量约为</w:t>
            </w:r>
            <w:r>
              <w:rPr>
                <w:rFonts w:hint="default"/>
                <w:color w:val="000000" w:themeColor="text1"/>
                <w:highlight w:val="none"/>
                <w:lang w:val="en-US" w:eastAsia="zh-CN"/>
                <w14:textFill>
                  <w14:solidFill>
                    <w14:schemeClr w14:val="tx1"/>
                  </w14:solidFill>
                </w14:textFill>
              </w:rPr>
              <w:t>500~1000mg/</w:t>
            </w:r>
            <w:r>
              <w:rPr>
                <w:rFonts w:hint="eastAsia"/>
                <w:color w:val="000000" w:themeColor="text1"/>
                <w:highlight w:val="none"/>
                <w:lang w:val="en-US" w:eastAsia="zh-CN"/>
                <w14:textFill>
                  <w14:solidFill>
                    <w14:schemeClr w14:val="tx1"/>
                  </w14:solidFill>
                </w14:textFill>
              </w:rPr>
              <w:t>L，此外还可能有少量的石油类物质。因此，施工工地应设置沉淀池，施工污水经沉淀处理后，尽量回用于洒水抑尘、汽车及设备清洗等环节，沉淀泥浆留在沉淀池中待施工结束后覆土填埋。一般建筑施工场地的生活污水主要来源于施工人员暂住点的粪便、淋浴、洗涤及食堂等。</w:t>
            </w:r>
            <w:r>
              <w:rPr>
                <w:rFonts w:hAnsi="仿宋"/>
                <w:color w:val="000000" w:themeColor="text1"/>
                <w:sz w:val="24"/>
                <w:szCs w:val="24"/>
                <w:highlight w:val="none"/>
                <w:lang w:eastAsia="zh-CN"/>
                <w14:textFill>
                  <w14:solidFill>
                    <w14:schemeClr w14:val="tx1"/>
                  </w14:solidFill>
                </w14:textFill>
              </w:rPr>
              <w:t>隧洞沿线地下水类型主要为孔隙和裂隙潜水，其水量水位均随季节及围岩充水条件而变化。与地表溪沟相连的断层、破碎带、节理密集带是地表水向隧洞渗透的主要通道，使地表水直接渗入围岩，造成隧洞涌水。</w:t>
            </w:r>
            <w:r>
              <w:rPr>
                <w:rFonts w:hAnsi="仿宋"/>
                <w:color w:val="000000" w:themeColor="text1"/>
                <w:highlight w:val="none"/>
                <w:lang w:eastAsia="zh-CN"/>
                <w14:textFill>
                  <w14:solidFill>
                    <w14:schemeClr w14:val="tx1"/>
                  </w14:solidFill>
                </w14:textFill>
              </w:rPr>
              <w:t>张扭性断裂破碎带地下水可能富集，涌水量</w:t>
            </w:r>
            <w:r>
              <w:rPr>
                <w:rFonts w:hint="eastAsia" w:hAnsi="仿宋"/>
                <w:color w:val="000000" w:themeColor="text1"/>
                <w:highlight w:val="none"/>
                <w:lang w:val="en-US" w:eastAsia="zh-CN"/>
                <w14:textFill>
                  <w14:solidFill>
                    <w14:schemeClr w14:val="tx1"/>
                  </w14:solidFill>
                </w14:textFill>
              </w:rPr>
              <w:t>最大</w:t>
            </w:r>
            <w:r>
              <w:rPr>
                <w:rFonts w:hAnsi="仿宋"/>
                <w:color w:val="000000" w:themeColor="text1"/>
                <w:highlight w:val="none"/>
                <w:lang w:eastAsia="zh-CN"/>
                <w14:textFill>
                  <w14:solidFill>
                    <w14:schemeClr w14:val="tx1"/>
                  </w14:solidFill>
                </w14:textFill>
              </w:rPr>
              <w:t>可能达</w:t>
            </w:r>
            <w:r>
              <w:rPr>
                <w:rFonts w:hint="eastAsia"/>
                <w:color w:val="000000" w:themeColor="text1"/>
                <w:highlight w:val="none"/>
                <w:lang w:val="en-US" w:eastAsia="zh-CN"/>
                <w14:textFill>
                  <w14:solidFill>
                    <w14:schemeClr w14:val="tx1"/>
                  </w14:solidFill>
                </w14:textFill>
              </w:rPr>
              <w:t>5</w:t>
            </w:r>
            <w:r>
              <w:rPr>
                <w:color w:val="000000" w:themeColor="text1"/>
                <w:highlight w:val="none"/>
                <w:lang w:eastAsia="zh-CN"/>
                <w14:textFill>
                  <w14:solidFill>
                    <w14:schemeClr w14:val="tx1"/>
                  </w14:solidFill>
                </w14:textFill>
              </w:rPr>
              <w:t>0</w:t>
            </w:r>
            <w:r>
              <w:rPr>
                <w:rFonts w:hAnsi="仿宋"/>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100</w:t>
            </w:r>
            <w:r>
              <w:rPr>
                <w:color w:val="000000" w:themeColor="text1"/>
                <w:highlight w:val="none"/>
                <w:lang w:eastAsia="zh-CN"/>
                <w14:textFill>
                  <w14:solidFill>
                    <w14:schemeClr w14:val="tx1"/>
                  </w14:solidFill>
                </w14:textFill>
              </w:rPr>
              <w:t>m</w:t>
            </w:r>
            <w:r>
              <w:rPr>
                <w:color w:val="000000" w:themeColor="text1"/>
                <w:highlight w:val="none"/>
                <w:vertAlign w:val="superscript"/>
                <w:lang w:eastAsia="zh-CN"/>
                <w14:textFill>
                  <w14:solidFill>
                    <w14:schemeClr w14:val="tx1"/>
                  </w14:solidFill>
                </w14:textFill>
              </w:rPr>
              <w:t>3</w:t>
            </w:r>
            <w:r>
              <w:rPr>
                <w:color w:val="000000" w:themeColor="text1"/>
                <w:highlight w:val="none"/>
                <w:lang w:eastAsia="zh-CN"/>
                <w14:textFill>
                  <w14:solidFill>
                    <w14:schemeClr w14:val="tx1"/>
                  </w14:solidFill>
                </w14:textFill>
              </w:rPr>
              <w:t>/</w:t>
            </w:r>
            <w:r>
              <w:rPr>
                <w:rFonts w:hAnsi="仿宋"/>
                <w:color w:val="000000" w:themeColor="text1"/>
                <w:highlight w:val="none"/>
                <w:lang w:eastAsia="zh-CN"/>
                <w14:textFill>
                  <w14:solidFill>
                    <w14:schemeClr w14:val="tx1"/>
                  </w14:solidFill>
                </w14:textFill>
              </w:rPr>
              <w:t>天</w:t>
            </w:r>
            <w:r>
              <w:rPr>
                <w:rFonts w:hint="eastAsia" w:hAnsi="仿宋"/>
                <w:color w:val="000000" w:themeColor="text1"/>
                <w:highlight w:val="none"/>
                <w:lang w:eastAsia="zh-CN"/>
                <w14:textFill>
                  <w14:solidFill>
                    <w14:schemeClr w14:val="tx1"/>
                  </w14:solidFill>
                </w14:textFill>
              </w:rPr>
              <w:t>。</w:t>
            </w:r>
            <w:r>
              <w:rPr>
                <w:rFonts w:hint="eastAsia" w:hAnsi="仿宋"/>
                <w:color w:val="000000" w:themeColor="text1"/>
                <w:highlight w:val="none"/>
                <w:lang w:val="en-US" w:eastAsia="zh-CN"/>
                <w14:textFill>
                  <w14:solidFill>
                    <w14:schemeClr w14:val="tx1"/>
                  </w14:solidFill>
                </w14:textFill>
              </w:rPr>
              <w:t>在施工过程中设置临时排水沟，将隧洞涌水排入沉沙池（20m³）沉淀后汇入南埕山隧道所在公路两边自然沟渠或庙后溪。</w:t>
            </w:r>
            <w:r>
              <w:rPr>
                <w:rFonts w:hint="eastAsia"/>
                <w:color w:val="000000" w:themeColor="text1"/>
                <w:highlight w:val="none"/>
                <w:lang w:val="en-US" w:eastAsia="zh-CN"/>
                <w14:textFill>
                  <w14:solidFill>
                    <w14:schemeClr w14:val="tx1"/>
                  </w14:solidFill>
                </w14:textFill>
              </w:rPr>
              <w:t>施工过程中产生的生活污水</w:t>
            </w:r>
            <w:r>
              <w:rPr>
                <w:rFonts w:hint="eastAsia" w:cs="Times New Roman"/>
                <w:color w:val="000000" w:themeColor="text1"/>
                <w:szCs w:val="20"/>
                <w:lang w:val="en-US" w:eastAsia="zh-CN"/>
                <w14:textFill>
                  <w14:solidFill>
                    <w14:schemeClr w14:val="tx1"/>
                  </w14:solidFill>
                </w14:textFill>
              </w:rPr>
              <w:t>依托当地污水处理设施处理</w:t>
            </w:r>
            <w:r>
              <w:rPr>
                <w:rFonts w:hint="eastAsia"/>
                <w:color w:val="000000" w:themeColor="text1"/>
                <w:highlight w:val="none"/>
                <w:lang w:val="en-US" w:eastAsia="zh-CN"/>
                <w14:textFill>
                  <w14:solidFill>
                    <w14:schemeClr w14:val="tx1"/>
                  </w14:solidFill>
                </w14:textFill>
              </w:rPr>
              <w:t>。</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3.地下水</w:t>
            </w:r>
            <w:r>
              <w:rPr>
                <w:rFonts w:hint="default"/>
                <w:color w:val="000000" w:themeColor="text1"/>
                <w:lang w:val="en-US" w:eastAsia="zh-CN"/>
                <w14:textFill>
                  <w14:solidFill>
                    <w14:schemeClr w14:val="tx1"/>
                  </w14:solidFill>
                </w14:textFill>
              </w:rPr>
              <w:t>环境影响分析</w:t>
            </w:r>
          </w:p>
          <w:p>
            <w:pPr>
              <w:spacing w:line="360" w:lineRule="auto"/>
              <w:ind w:firstLine="560"/>
              <w:rPr>
                <w:rFonts w:hint="eastAsia" w:ascii="Times New Roman" w:hAnsi="Times New Roman" w:eastAsia="宋体" w:cs="Times New Roman"/>
                <w:b w:val="0"/>
                <w:bCs w:val="0"/>
                <w:color w:val="000000" w:themeColor="text1"/>
                <w:kern w:val="24"/>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4"/>
                <w:szCs w:val="24"/>
                <w:lang w:val="en-US" w:eastAsia="zh-CN" w:bidi="ar-SA"/>
                <w14:textFill>
                  <w14:solidFill>
                    <w14:schemeClr w14:val="tx1"/>
                  </w14:solidFill>
                </w14:textFill>
              </w:rPr>
              <w:t>隧洞沿线地下水类型主要为孔隙和裂隙潜水，其水量水位均随季节及围岩充水条件而变化。与地表溪沟相连的断层、破碎带、节理密集带是地表水向隧洞渗透的主要通道，使地表水直接渗入围岩，造成隧洞涌水。工程区存在北东向和南北向的断裂带，它们大多为张性或张扭性断裂带。依据水文地质理论和我省已建类似水利水电工程的经验它们含水量一般较丰富，可能给施工带来不利影响，并降低围岩类别（稳定性）。张扭性断裂破碎带地下水可能富集，涌水量可能达50～100m</w:t>
            </w:r>
            <w:r>
              <w:rPr>
                <w:rFonts w:hint="eastAsia" w:ascii="Times New Roman" w:hAnsi="Times New Roman" w:eastAsia="宋体" w:cs="Times New Roman"/>
                <w:b w:val="0"/>
                <w:bCs w:val="0"/>
                <w:color w:val="000000" w:themeColor="text1"/>
                <w:kern w:val="24"/>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4"/>
                <w:sz w:val="24"/>
                <w:szCs w:val="24"/>
                <w:lang w:val="en-US" w:eastAsia="zh-CN" w:bidi="ar-SA"/>
                <w14:textFill>
                  <w14:solidFill>
                    <w14:schemeClr w14:val="tx1"/>
                  </w14:solidFill>
                </w14:textFill>
              </w:rPr>
              <w:t>/天。</w:t>
            </w:r>
          </w:p>
          <w:p>
            <w:pPr>
              <w:pStyle w:val="4"/>
              <w:numPr>
                <w:ilvl w:val="0"/>
                <w:numId w:val="0"/>
              </w:numPr>
              <w:spacing w:line="360" w:lineRule="auto"/>
              <w:ind w:leftChars="0" w:firstLine="480" w:firstLineChars="200"/>
              <w:rPr>
                <w:rFonts w:hint="default"/>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4"/>
                <w:sz w:val="24"/>
                <w:szCs w:val="24"/>
                <w:lang w:val="en-US" w:eastAsia="zh-CN" w:bidi="ar-SA"/>
                <w14:textFill>
                  <w14:solidFill>
                    <w14:schemeClr w14:val="tx1"/>
                  </w14:solidFill>
                </w14:textFill>
              </w:rPr>
              <w:t>隧洞沿线地下水主要为基岩裂隙水，</w:t>
            </w:r>
            <w:r>
              <w:rPr>
                <w:rFonts w:hint="eastAsia" w:ascii="Times New Roman" w:hAnsi="Times New Roman" w:eastAsia="宋体" w:cs="Times New Roman"/>
                <w:b w:val="0"/>
                <w:bCs w:val="0"/>
                <w:color w:val="000000" w:themeColor="text1"/>
                <w:kern w:val="24"/>
                <w:sz w:val="24"/>
                <w:szCs w:val="24"/>
                <w:highlight w:val="none"/>
                <w:lang w:val="en-US" w:eastAsia="zh-CN" w:bidi="ar-SA"/>
                <w14:textFill>
                  <w14:solidFill>
                    <w14:schemeClr w14:val="tx1"/>
                  </w14:solidFill>
                </w14:textFill>
              </w:rPr>
              <w:t>接受</w:t>
            </w:r>
            <w:r>
              <w:rPr>
                <w:rFonts w:hint="eastAsia" w:ascii="Times New Roman" w:hAnsi="Times New Roman" w:eastAsia="宋体" w:cs="Times New Roman"/>
                <w:b w:val="0"/>
                <w:bCs w:val="0"/>
                <w:color w:val="000000" w:themeColor="text1"/>
                <w:kern w:val="24"/>
                <w:sz w:val="24"/>
                <w:szCs w:val="24"/>
                <w:lang w:val="en-US" w:eastAsia="zh-CN" w:bidi="ar-SA"/>
                <w14:textFill>
                  <w14:solidFill>
                    <w14:schemeClr w14:val="tx1"/>
                  </w14:solidFill>
                </w14:textFill>
              </w:rPr>
              <w:t>大气降水补给，向河流及溪沟排泄。地下水位变幅受季节影响，隧洞均处于地下水位线以下，隧洞围岩一般属弱透水～极微透水，一般洞段地下水较少，局部断层裂隙发育洞段及过溪沟段，可能出现渗流水及涌水现象。</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4.固体废物</w:t>
            </w:r>
            <w:r>
              <w:rPr>
                <w:rFonts w:hint="default"/>
                <w:color w:val="000000" w:themeColor="text1"/>
                <w:lang w:val="en-US" w:eastAsia="zh-CN"/>
                <w14:textFill>
                  <w14:solidFill>
                    <w14:schemeClr w14:val="tx1"/>
                  </w14:solidFill>
                </w14:textFill>
              </w:rPr>
              <w:t>环境影响分析</w:t>
            </w:r>
          </w:p>
          <w:p>
            <w:pPr>
              <w:pStyle w:val="39"/>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本工程施工期固废主要包括建筑垃圾、工程弃渣和施工人员生活垃圾，若处置不当，可能</w:t>
            </w:r>
            <w:r>
              <w:rPr>
                <w:rFonts w:hint="default" w:ascii="Times New Roman" w:hAnsi="Times New Roman" w:cs="Times New Roman"/>
                <w:b w:val="0"/>
                <w:bCs w:val="0"/>
                <w:color w:val="000000" w:themeColor="text1"/>
                <w:highlight w:val="none"/>
                <w14:textFill>
                  <w14:solidFill>
                    <w14:schemeClr w14:val="tx1"/>
                  </w14:solidFill>
                </w14:textFill>
              </w:rPr>
              <w:t>对局地环境</w:t>
            </w:r>
            <w:r>
              <w:rPr>
                <w:rFonts w:hint="default" w:ascii="Times New Roman" w:hAnsi="Times New Roman" w:cs="Times New Roman"/>
                <w:b w:val="0"/>
                <w:bCs w:val="0"/>
                <w:color w:val="000000" w:themeColor="text1"/>
                <w14:textFill>
                  <w14:solidFill>
                    <w14:schemeClr w14:val="tx1"/>
                  </w14:solidFill>
                </w14:textFill>
              </w:rPr>
              <w:t>造成不利影响。</w:t>
            </w:r>
          </w:p>
          <w:p>
            <w:pPr>
              <w:pStyle w:val="39"/>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 w:val="0"/>
                <w:bCs w:val="0"/>
                <w:color w:val="000000" w:themeColor="text1"/>
                <w14:textFill>
                  <w14:solidFill>
                    <w14:schemeClr w14:val="tx1"/>
                  </w14:solidFill>
                </w14:textFill>
              </w:rPr>
            </w:pPr>
            <w:r>
              <w:rPr>
                <w:rFonts w:hint="eastAsia" w:ascii="Times New Roman" w:hAnsi="Times New Roman" w:cs="Times New Roman"/>
                <w:b w:val="0"/>
                <w:bCs w:val="0"/>
                <w:color w:val="000000" w:themeColor="text1"/>
                <w:lang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1</w:t>
            </w:r>
            <w:r>
              <w:rPr>
                <w:rFonts w:hint="eastAsia"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建筑垃圾</w:t>
            </w:r>
          </w:p>
          <w:p>
            <w:pPr>
              <w:pStyle w:val="39"/>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工程中建筑垃圾的主要来源是施工区建筑物建设过程中产生的废弃建筑材料</w:t>
            </w:r>
            <w:r>
              <w:rPr>
                <w:rFonts w:hint="eastAsia" w:ascii="Times New Roman" w:hAnsi="Times New Roman" w:cs="Times New Roman"/>
                <w:b w:val="0"/>
                <w:bCs w:val="0"/>
                <w:color w:val="000000" w:themeColor="text1"/>
                <w:lang w:eastAsia="zh-CN"/>
                <w14:textFill>
                  <w14:solidFill>
                    <w14:schemeClr w14:val="tx1"/>
                  </w14:solidFill>
                </w14:textFill>
              </w:rPr>
              <w:t>及木材、钢筋边角料</w:t>
            </w:r>
            <w:r>
              <w:rPr>
                <w:rFonts w:hint="default" w:ascii="Times New Roman" w:hAnsi="Times New Roman" w:cs="Times New Roman"/>
                <w:b w:val="0"/>
                <w:bCs w:val="0"/>
                <w:color w:val="000000" w:themeColor="text1"/>
                <w14:textFill>
                  <w14:solidFill>
                    <w14:schemeClr w14:val="tx1"/>
                  </w14:solidFill>
                </w14:textFill>
              </w:rPr>
              <w:t>，临时建筑物在施工结束后拆除</w:t>
            </w:r>
            <w:r>
              <w:rPr>
                <w:rFonts w:hint="eastAsia" w:cs="Times New Roman"/>
                <w:b w:val="0"/>
                <w:bCs w:val="0"/>
                <w:color w:val="000000" w:themeColor="text1"/>
                <w:lang w:val="en-US" w:eastAsia="zh-CN"/>
                <w14:textFill>
                  <w14:solidFill>
                    <w14:schemeClr w14:val="tx1"/>
                  </w14:solidFill>
                </w14:textFill>
              </w:rPr>
              <w:t>和房屋拆迁</w:t>
            </w:r>
            <w:r>
              <w:rPr>
                <w:rFonts w:hint="default" w:ascii="Times New Roman" w:hAnsi="Times New Roman" w:cs="Times New Roman"/>
                <w:b w:val="0"/>
                <w:bCs w:val="0"/>
                <w:color w:val="000000" w:themeColor="text1"/>
                <w14:textFill>
                  <w14:solidFill>
                    <w14:schemeClr w14:val="tx1"/>
                  </w14:solidFill>
                </w14:textFill>
              </w:rPr>
              <w:t>过程产生的废弃物等</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拆除所产生的建筑垃圾约为97.5m</w:t>
            </w:r>
            <w:r>
              <w:rPr>
                <w:rFonts w:hint="eastAsia" w:cs="Times New Roman"/>
                <w:b w:val="0"/>
                <w:bCs w:val="0"/>
                <w:color w:val="000000" w:themeColor="text1"/>
                <w:vertAlign w:val="superscript"/>
                <w:lang w:val="en-US" w:eastAsia="zh-CN"/>
                <w14:textFill>
                  <w14:solidFill>
                    <w14:schemeClr w14:val="tx1"/>
                  </w14:solidFill>
                </w14:textFill>
              </w:rPr>
              <w:t>3</w:t>
            </w:r>
            <w:r>
              <w:rPr>
                <w:rFonts w:hint="eastAsia" w:cs="Times New Roman"/>
                <w:b w:val="0"/>
                <w:bCs w:val="0"/>
                <w:color w:val="000000" w:themeColor="text1"/>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施工中产生的建筑</w:t>
            </w:r>
            <w:r>
              <w:rPr>
                <w:rFonts w:hint="eastAsia" w:ascii="Times New Roman" w:hAnsi="Times New Roman" w:cs="Times New Roman"/>
                <w:b w:val="0"/>
                <w:bCs w:val="0"/>
                <w:color w:val="000000" w:themeColor="text1"/>
                <w:lang w:eastAsia="zh-CN"/>
                <w14:textFill>
                  <w14:solidFill>
                    <w14:schemeClr w14:val="tx1"/>
                  </w14:solidFill>
                </w14:textFill>
              </w:rPr>
              <w:t>垃圾</w:t>
            </w:r>
            <w:r>
              <w:rPr>
                <w:rFonts w:hint="eastAsia" w:cs="Times New Roman"/>
                <w:b w:val="0"/>
                <w:bCs w:val="0"/>
                <w:color w:val="000000" w:themeColor="text1"/>
                <w:lang w:val="en-US" w:eastAsia="zh-CN"/>
                <w14:textFill>
                  <w14:solidFill>
                    <w14:schemeClr w14:val="tx1"/>
                  </w14:solidFill>
                </w14:textFill>
              </w:rPr>
              <w:t>和房屋拆除产生的建筑垃圾</w:t>
            </w:r>
            <w:r>
              <w:rPr>
                <w:rFonts w:hint="eastAsia" w:ascii="Times New Roman" w:hAnsi="Times New Roman" w:cs="Times New Roman"/>
                <w:b w:val="0"/>
                <w:bCs w:val="0"/>
                <w:color w:val="000000" w:themeColor="text1"/>
                <w:lang w:eastAsia="zh-CN"/>
                <w14:textFill>
                  <w14:solidFill>
                    <w14:schemeClr w14:val="tx1"/>
                  </w14:solidFill>
                </w14:textFill>
              </w:rPr>
              <w:t>中</w:t>
            </w:r>
            <w:r>
              <w:rPr>
                <w:rFonts w:hint="eastAsia" w:cs="Times New Roman"/>
                <w:b w:val="0"/>
                <w:bCs w:val="0"/>
                <w:color w:val="000000" w:themeColor="text1"/>
                <w:lang w:val="en-US" w:eastAsia="zh-CN"/>
                <w14:textFill>
                  <w14:solidFill>
                    <w14:schemeClr w14:val="tx1"/>
                  </w14:solidFill>
                </w14:textFill>
              </w:rPr>
              <w:t>可</w:t>
            </w:r>
            <w:r>
              <w:rPr>
                <w:rFonts w:hint="eastAsia" w:ascii="Times New Roman" w:hAnsi="Times New Roman" w:cs="Times New Roman"/>
                <w:b w:val="0"/>
                <w:bCs w:val="0"/>
                <w:color w:val="000000" w:themeColor="text1"/>
                <w:lang w:eastAsia="zh-CN"/>
                <w14:textFill>
                  <w14:solidFill>
                    <w14:schemeClr w14:val="tx1"/>
                  </w14:solidFill>
                </w14:textFill>
              </w:rPr>
              <w:t>重复利用</w:t>
            </w:r>
            <w:r>
              <w:rPr>
                <w:rFonts w:hint="eastAsia" w:cs="Times New Roman"/>
                <w:b w:val="0"/>
                <w:bCs w:val="0"/>
                <w:color w:val="000000" w:themeColor="text1"/>
                <w:highlight w:val="none"/>
                <w:lang w:eastAsia="zh-CN"/>
                <w14:textFill>
                  <w14:solidFill>
                    <w14:schemeClr w14:val="tx1"/>
                  </w14:solidFill>
                </w14:textFill>
              </w:rPr>
              <w:t>的</w:t>
            </w:r>
            <w:r>
              <w:rPr>
                <w:rFonts w:hint="eastAsia" w:ascii="Times New Roman" w:hAnsi="Times New Roman" w:cs="Times New Roman"/>
                <w:b w:val="0"/>
                <w:bCs w:val="0"/>
                <w:color w:val="000000" w:themeColor="text1"/>
                <w:lang w:eastAsia="zh-CN"/>
                <w14:textFill>
                  <w14:solidFill>
                    <w14:schemeClr w14:val="tx1"/>
                  </w14:solidFill>
                </w14:textFill>
              </w:rPr>
              <w:t>建筑材料（砖瓦、钢筋、木材、塑料等）可出售给回收利用单位。建筑垃圾</w:t>
            </w:r>
            <w:r>
              <w:rPr>
                <w:rFonts w:hint="default" w:ascii="Times New Roman" w:hAnsi="Times New Roman" w:cs="Times New Roman"/>
                <w:b w:val="0"/>
                <w:bCs w:val="0"/>
                <w:color w:val="000000" w:themeColor="text1"/>
                <w14:textFill>
                  <w14:solidFill>
                    <w14:schemeClr w14:val="tx1"/>
                  </w14:solidFill>
                </w14:textFill>
              </w:rPr>
              <w:t>中一般不含有毒有害物质，但随意堆放仍会占压土地，破坏植被，对景观造成不利影响，同时由于裸露在外，很容易引起水土流失，对地表水环境产生不利影响，建筑垃圾中的粉尘还会随风飘扬会对大气环境产生影响。因此，施工过程中和施工结束后也应对建筑垃圾进行妥当处置，立即运至附近建筑垃圾处理场</w:t>
            </w:r>
            <w:r>
              <w:rPr>
                <w:rFonts w:hint="eastAsia" w:cs="Times New Roman"/>
                <w:b w:val="0"/>
                <w:bCs w:val="0"/>
                <w:color w:val="000000" w:themeColor="text1"/>
                <w:highlight w:val="none"/>
                <w:lang w:eastAsia="zh-CN"/>
                <w14:textFill>
                  <w14:solidFill>
                    <w14:schemeClr w14:val="tx1"/>
                  </w14:solidFill>
                </w14:textFill>
              </w:rPr>
              <w:t>处置</w:t>
            </w:r>
            <w:r>
              <w:rPr>
                <w:rFonts w:hint="default" w:ascii="Times New Roman" w:hAnsi="Times New Roman" w:cs="Times New Roman"/>
                <w:b w:val="0"/>
                <w:bCs w:val="0"/>
                <w:color w:val="000000" w:themeColor="text1"/>
                <w14:textFill>
                  <w14:solidFill>
                    <w14:schemeClr w14:val="tx1"/>
                  </w14:solidFill>
                </w14:textFill>
              </w:rPr>
              <w:t>。</w:t>
            </w:r>
          </w:p>
          <w:p>
            <w:pPr>
              <w:pStyle w:val="39"/>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工程弃渣</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宋" w:hAnsi="宋" w:eastAsia="宋" w:cs="宋"/>
                <w:color w:val="000000" w:themeColor="text1"/>
                <w:kern w:val="0"/>
                <w:sz w:val="24"/>
                <w:szCs w:val="24"/>
                <w:highlight w:val="lightGray"/>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w:t>
            </w:r>
            <w:r>
              <w:rPr>
                <w:rFonts w:hint="eastAsia" w:cs="Times New Roman"/>
                <w:color w:val="000000" w:themeColor="text1"/>
                <w:sz w:val="24"/>
                <w:szCs w:val="24"/>
                <w:lang w:val="en-US" w:eastAsia="zh-CN"/>
                <w14:textFill>
                  <w14:solidFill>
                    <w14:schemeClr w14:val="tx1"/>
                  </w14:solidFill>
                </w14:textFill>
              </w:rPr>
              <w:t>福鼎市硖门畲族乡庙后溪山洪治理（高水高排）工程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初步设计报告</w:t>
            </w:r>
            <w:r>
              <w:rPr>
                <w:rFonts w:hint="default" w:ascii="Times New Roman" w:hAnsi="Times New Roman" w:eastAsia="宋体" w:cs="Times New Roman"/>
                <w:color w:val="000000" w:themeColor="text1"/>
                <w:sz w:val="24"/>
                <w:szCs w:val="24"/>
                <w:lang w:eastAsia="zh-CN"/>
                <w14:textFill>
                  <w14:solidFill>
                    <w14:schemeClr w14:val="tx1"/>
                  </w14:solidFill>
                </w14:textFill>
              </w:rPr>
              <w:t>》，本工程主体工程土石方开挖总量约</w:t>
            </w:r>
            <w:r>
              <w:rPr>
                <w:rFonts w:hint="eastAsia" w:cs="Times New Roman"/>
                <w:color w:val="000000" w:themeColor="text1"/>
                <w:sz w:val="24"/>
                <w:szCs w:val="24"/>
                <w:lang w:val="en-US" w:eastAsia="zh-CN"/>
                <w14:textFill>
                  <w14:solidFill>
                    <w14:schemeClr w14:val="tx1"/>
                  </w14:solidFill>
                </w14:textFill>
              </w:rPr>
              <w:t>13.06</w:t>
            </w:r>
            <w:r>
              <w:rPr>
                <w:rFonts w:hint="default" w:ascii="Times New Roman" w:hAnsi="Times New Roman" w:eastAsia="宋体" w:cs="Times New Roman"/>
                <w:color w:val="000000" w:themeColor="text1"/>
                <w:sz w:val="24"/>
                <w:szCs w:val="24"/>
                <w:lang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自然方</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，其中</w:t>
            </w:r>
            <w:r>
              <w:rPr>
                <w:rFonts w:hint="eastAsia" w:cs="Times New Roman"/>
                <w:color w:val="000000" w:themeColor="text1"/>
                <w:sz w:val="24"/>
                <w:szCs w:val="24"/>
                <w:lang w:val="en-US" w:eastAsia="zh-CN"/>
                <w14:textFill>
                  <w14:solidFill>
                    <w14:schemeClr w14:val="tx1"/>
                  </w14:solidFill>
                </w14:textFill>
              </w:rPr>
              <w:t>土方5.6198万m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，石方7.4412万m</w:t>
            </w:r>
            <w:r>
              <w:rPr>
                <w:rFonts w:hint="eastAsia"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填方总量为3.4667万m</w:t>
            </w:r>
            <w:r>
              <w:rPr>
                <w:rFonts w:hint="eastAsia"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，作为轧石原料</w:t>
            </w:r>
            <w:r>
              <w:rPr>
                <w:rFonts w:hint="eastAsia" w:cs="Times New Roman"/>
                <w:color w:val="000000" w:themeColor="text1"/>
                <w:sz w:val="24"/>
                <w:szCs w:val="24"/>
                <w:lang w:val="en-US" w:eastAsia="zh-CN"/>
                <w14:textFill>
                  <w14:solidFill>
                    <w14:schemeClr w14:val="tx1"/>
                  </w14:solidFill>
                </w14:textFill>
              </w:rPr>
              <w:t>1.1283</w:t>
            </w:r>
            <w:r>
              <w:rPr>
                <w:rFonts w:hint="default" w:ascii="Times New Roman" w:hAnsi="Times New Roman" w:eastAsia="宋体" w:cs="Times New Roman"/>
                <w:color w:val="000000" w:themeColor="text1"/>
                <w:sz w:val="24"/>
                <w:szCs w:val="24"/>
                <w:lang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自然方</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。尚余</w:t>
            </w:r>
            <w:r>
              <w:rPr>
                <w:rFonts w:hint="eastAsia" w:cs="Times New Roman"/>
                <w:bCs/>
                <w:color w:val="000000" w:themeColor="text1"/>
                <w:sz w:val="24"/>
                <w:highlight w:val="none"/>
                <w:lang w:val="en-US" w:eastAsia="zh-CN"/>
                <w14:textFill>
                  <w14:solidFill>
                    <w14:schemeClr w14:val="tx1"/>
                  </w14:solidFill>
                </w14:textFill>
              </w:rPr>
              <w:t>8.6159</w:t>
            </w:r>
            <w:r>
              <w:rPr>
                <w:rFonts w:hint="default" w:ascii="Times New Roman" w:hAnsi="Times New Roman" w:eastAsia="宋体" w:cs="Times New Roman"/>
                <w:color w:val="000000" w:themeColor="text1"/>
                <w:sz w:val="24"/>
                <w:szCs w:val="24"/>
                <w:lang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土方</w:t>
            </w:r>
            <w:r>
              <w:rPr>
                <w:rFonts w:hint="eastAsia" w:cs="Times New Roman"/>
                <w:color w:val="000000" w:themeColor="text1"/>
                <w:sz w:val="24"/>
                <w:szCs w:val="24"/>
                <w:lang w:val="en-US" w:eastAsia="zh-CN"/>
                <w14:textFill>
                  <w14:solidFill>
                    <w14:schemeClr w14:val="tx1"/>
                  </w14:solidFill>
                </w14:textFill>
              </w:rPr>
              <w:t>3.2804</w:t>
            </w:r>
            <w:r>
              <w:rPr>
                <w:rFonts w:hint="default" w:ascii="Times New Roman" w:hAnsi="Times New Roman" w:eastAsia="宋体" w:cs="Times New Roman"/>
                <w:color w:val="000000" w:themeColor="text1"/>
                <w:sz w:val="24"/>
                <w:szCs w:val="24"/>
                <w:lang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，石方</w:t>
            </w:r>
            <w:r>
              <w:rPr>
                <w:rFonts w:hint="eastAsia" w:cs="Times New Roman"/>
                <w:color w:val="000000" w:themeColor="text1"/>
                <w:sz w:val="24"/>
                <w:szCs w:val="24"/>
                <w:lang w:val="en-US" w:eastAsia="zh-CN"/>
                <w14:textFill>
                  <w14:solidFill>
                    <w14:schemeClr w14:val="tx1"/>
                  </w14:solidFill>
                </w14:textFill>
              </w:rPr>
              <w:t>6.3129</w:t>
            </w:r>
            <w:r>
              <w:rPr>
                <w:rFonts w:hint="default" w:ascii="Times New Roman" w:hAnsi="Times New Roman" w:eastAsia="宋体" w:cs="Times New Roman"/>
                <w:color w:val="000000" w:themeColor="text1"/>
                <w:sz w:val="24"/>
                <w:szCs w:val="24"/>
                <w:lang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自然方</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作为</w:t>
            </w:r>
            <w:r>
              <w:rPr>
                <w:rFonts w:hint="eastAsia" w:cs="Times New Roman"/>
                <w:color w:val="000000" w:themeColor="text1"/>
                <w:sz w:val="24"/>
                <w:szCs w:val="24"/>
                <w:lang w:val="en-US" w:eastAsia="zh-CN"/>
                <w14:textFill>
                  <w14:solidFill>
                    <w14:schemeClr w14:val="tx1"/>
                  </w14:solidFill>
                </w14:textFill>
              </w:rPr>
              <w:t>其他项目使用，其中土方运往斗门头文成新村及柏洋工业小区用于场地平整，石方运往硖门畲族乡硖门村所属码头用于外售综合利用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ascii="宋" w:hAnsi="宋" w:eastAsia="宋" w:cs="宋"/>
                <w:color w:val="000000" w:themeColor="text1"/>
                <w:kern w:val="0"/>
                <w:sz w:val="24"/>
                <w:szCs w:val="24"/>
                <w:lang w:val="en-US" w:eastAsia="zh-CN" w:bidi="ar"/>
                <w14:textFill>
                  <w14:solidFill>
                    <w14:schemeClr w14:val="tx1"/>
                  </w14:solidFill>
                </w14:textFill>
              </w:rPr>
              <w:t>评价要求</w:t>
            </w:r>
            <w:r>
              <w:rPr>
                <w:rFonts w:hint="eastAsia" w:ascii="宋" w:hAnsi="宋" w:eastAsia="宋" w:cs="宋"/>
                <w:color w:val="000000" w:themeColor="text1"/>
                <w:kern w:val="0"/>
                <w:sz w:val="24"/>
                <w:szCs w:val="24"/>
                <w:lang w:val="en-US" w:eastAsia="zh-CN" w:bidi="ar"/>
                <w14:textFill>
                  <w14:solidFill>
                    <w14:schemeClr w14:val="tx1"/>
                  </w14:solidFill>
                </w14:textFill>
              </w:rPr>
              <w:t>建设单位</w:t>
            </w:r>
            <w:r>
              <w:rPr>
                <w:rFonts w:ascii="宋" w:hAnsi="宋" w:eastAsia="宋" w:cs="宋"/>
                <w:color w:val="000000" w:themeColor="text1"/>
                <w:kern w:val="0"/>
                <w:sz w:val="24"/>
                <w:szCs w:val="24"/>
                <w:lang w:val="en-US" w:eastAsia="zh-CN" w:bidi="ar"/>
                <w14:textFill>
                  <w14:solidFill>
                    <w14:schemeClr w14:val="tx1"/>
                  </w14:solidFill>
                </w14:textFill>
              </w:rPr>
              <w:t>应规范废石的运输、存放，做好防尘、防逸散措施，严禁</w:t>
            </w:r>
            <w:r>
              <w:rPr>
                <w:rFonts w:hint="default" w:ascii="宋" w:hAnsi="宋" w:eastAsia="宋" w:cs="宋"/>
                <w:color w:val="000000" w:themeColor="text1"/>
                <w:kern w:val="0"/>
                <w:sz w:val="24"/>
                <w:szCs w:val="24"/>
                <w:lang w:val="en-US" w:eastAsia="zh-CN" w:bidi="ar"/>
                <w14:textFill>
                  <w14:solidFill>
                    <w14:schemeClr w14:val="tx1"/>
                  </w14:solidFill>
                </w14:textFill>
              </w:rPr>
              <w:t>乱堆乱放，私自倾倒弃渣。</w:t>
            </w:r>
          </w:p>
          <w:p>
            <w:pPr>
              <w:pStyle w:val="4"/>
              <w:spacing w:line="360" w:lineRule="auto"/>
              <w:jc w:val="center"/>
              <w:rPr>
                <w:rFonts w:hint="default"/>
                <w:color w:val="000000" w:themeColor="text1"/>
                <w:highlight w:val="none"/>
                <w:vertAlign w:val="superscript"/>
                <w:lang w:val="en-US" w:eastAsia="zh-CN"/>
                <w14:textFill>
                  <w14:solidFill>
                    <w14:schemeClr w14:val="tx1"/>
                  </w14:solidFill>
                </w14:textFill>
              </w:rPr>
            </w:pPr>
            <w:r>
              <w:rPr>
                <w:rFonts w:hint="eastAsia" w:hAnsi="仿宋"/>
                <w:color w:val="000000" w:themeColor="text1"/>
                <w:sz w:val="24"/>
                <w:szCs w:val="24"/>
                <w:highlight w:val="none"/>
                <w:lang w:val="en-US" w:eastAsia="zh-CN"/>
                <w14:textFill>
                  <w14:solidFill>
                    <w14:schemeClr w14:val="tx1"/>
                  </w14:solidFill>
                </w14:textFill>
              </w:rPr>
              <w:t xml:space="preserve">表4-1 </w:t>
            </w:r>
            <w:r>
              <w:rPr>
                <w:rFonts w:hAnsi="仿宋"/>
                <w:color w:val="000000" w:themeColor="text1"/>
                <w:sz w:val="24"/>
                <w:szCs w:val="24"/>
                <w:highlight w:val="none"/>
                <w:lang w:eastAsia="zh-CN"/>
                <w14:textFill>
                  <w14:solidFill>
                    <w14:schemeClr w14:val="tx1"/>
                  </w14:solidFill>
                </w14:textFill>
              </w:rPr>
              <w:t>项目土石方平衡汇总表</w:t>
            </w:r>
            <w:r>
              <w:rPr>
                <w:rFonts w:hint="eastAsia" w:hAnsi="仿宋"/>
                <w:color w:val="000000" w:themeColor="text1"/>
                <w:sz w:val="24"/>
                <w:szCs w:val="24"/>
                <w:highlight w:val="none"/>
                <w:lang w:val="en-US" w:eastAsia="zh-CN"/>
                <w14:textFill>
                  <w14:solidFill>
                    <w14:schemeClr w14:val="tx1"/>
                  </w14:solidFill>
                </w14:textFill>
              </w:rPr>
              <w:t xml:space="preserve"> 单位m</w:t>
            </w:r>
            <w:r>
              <w:rPr>
                <w:rFonts w:hint="eastAsia" w:hAnsi="仿宋"/>
                <w:color w:val="000000" w:themeColor="text1"/>
                <w:sz w:val="24"/>
                <w:szCs w:val="24"/>
                <w:highlight w:val="none"/>
                <w:vertAlign w:val="superscript"/>
                <w:lang w:val="en-US" w:eastAsia="zh-CN"/>
                <w14:textFill>
                  <w14:solidFill>
                    <w14:schemeClr w14:val="tx1"/>
                  </w14:solidFill>
                </w14:textFill>
              </w:rPr>
              <w:t>3</w:t>
            </w:r>
          </w:p>
          <w:tbl>
            <w:tblPr>
              <w:tblStyle w:val="19"/>
              <w:tblW w:w="8841" w:type="dxa"/>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741"/>
              <w:gridCol w:w="741"/>
              <w:gridCol w:w="741"/>
              <w:gridCol w:w="734"/>
              <w:gridCol w:w="741"/>
              <w:gridCol w:w="742"/>
              <w:gridCol w:w="2470"/>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931" w:type="dxa"/>
                  <w:vMerge w:val="restart"/>
                  <w:tcBorders>
                    <w:top w:val="single" w:color="auto" w:sz="12"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项目区</w:t>
                  </w:r>
                </w:p>
              </w:tc>
              <w:tc>
                <w:tcPr>
                  <w:tcW w:w="1482" w:type="dxa"/>
                  <w:gridSpan w:val="2"/>
                  <w:tcBorders>
                    <w:top w:val="single" w:color="auto" w:sz="12" w:space="0"/>
                    <w:left w:val="single" w:color="auto" w:sz="6" w:space="0"/>
                    <w:bottom w:val="single" w:color="auto" w:sz="6" w:space="0"/>
                    <w:right w:val="single" w:color="auto" w:sz="6" w:space="0"/>
                  </w:tcBorders>
                  <w:vAlign w:val="center"/>
                </w:tcPr>
                <w:p>
                  <w:pPr>
                    <w:pStyle w:val="4"/>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挖方量</w:t>
                  </w:r>
                </w:p>
              </w:tc>
              <w:tc>
                <w:tcPr>
                  <w:tcW w:w="1475" w:type="dxa"/>
                  <w:gridSpan w:val="2"/>
                  <w:tcBorders>
                    <w:top w:val="single" w:color="auto" w:sz="12" w:space="0"/>
                    <w:left w:val="single" w:color="auto" w:sz="6" w:space="0"/>
                    <w:bottom w:val="single" w:color="auto" w:sz="6" w:space="0"/>
                    <w:right w:val="single" w:color="auto" w:sz="6" w:space="0"/>
                  </w:tcBorders>
                  <w:vAlign w:val="center"/>
                </w:tcPr>
                <w:p>
                  <w:pPr>
                    <w:pStyle w:val="4"/>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填方量</w:t>
                  </w:r>
                </w:p>
              </w:tc>
              <w:tc>
                <w:tcPr>
                  <w:tcW w:w="3953" w:type="dxa"/>
                  <w:gridSpan w:val="3"/>
                  <w:tcBorders>
                    <w:top w:val="single" w:color="auto" w:sz="12" w:space="0"/>
                    <w:left w:val="single" w:color="auto" w:sz="6" w:space="0"/>
                    <w:bottom w:val="single" w:color="auto" w:sz="6" w:space="0"/>
                    <w:right w:val="nil"/>
                  </w:tcBorders>
                  <w:vAlign w:val="center"/>
                </w:tcPr>
                <w:p>
                  <w:pPr>
                    <w:pStyle w:val="4"/>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弃方量</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trHeight w:val="272" w:hRule="atLeast"/>
                <w:jc w:val="center"/>
              </w:trPr>
              <w:tc>
                <w:tcPr>
                  <w:tcW w:w="1931" w:type="dxa"/>
                  <w:vMerge w:val="continue"/>
                  <w:tcBorders>
                    <w:top w:val="single" w:color="auto" w:sz="6" w:space="0"/>
                    <w:bottom w:val="single" w:color="auto" w:sz="6" w:space="0"/>
                    <w:right w:val="single" w:color="auto" w:sz="6" w:space="0"/>
                  </w:tcBorders>
                  <w:vAlign w:val="center"/>
                </w:tcPr>
                <w:p>
                  <w:pPr>
                    <w:pStyle w:val="4"/>
                    <w:spacing w:line="240" w:lineRule="auto"/>
                    <w:jc w:val="center"/>
                    <w:rPr>
                      <w:color w:val="000000" w:themeColor="text1"/>
                      <w:highlight w:val="none"/>
                      <w14:textFill>
                        <w14:solidFill>
                          <w14:schemeClr w14:val="tx1"/>
                        </w14:solidFill>
                      </w14:textFill>
                    </w:rPr>
                  </w:pP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土方</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石方</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土方</w:t>
                  </w:r>
                </w:p>
              </w:tc>
              <w:tc>
                <w:tcPr>
                  <w:tcW w:w="734"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石方</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土方</w:t>
                  </w:r>
                </w:p>
              </w:tc>
              <w:tc>
                <w:tcPr>
                  <w:tcW w:w="742"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石方</w:t>
                  </w:r>
                </w:p>
              </w:tc>
              <w:tc>
                <w:tcPr>
                  <w:tcW w:w="2470" w:type="dxa"/>
                  <w:tcBorders>
                    <w:top w:val="single" w:color="auto" w:sz="6" w:space="0"/>
                    <w:left w:val="single" w:color="auto" w:sz="6" w:space="0"/>
                    <w:bottom w:val="single" w:color="auto" w:sz="6" w:space="0"/>
                    <w:right w:val="nil"/>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去向</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31" w:type="dxa"/>
                  <w:tcBorders>
                    <w:top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拦河坝</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工程</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281</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366</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43</w:t>
                  </w:r>
                </w:p>
              </w:tc>
              <w:tc>
                <w:tcPr>
                  <w:tcW w:w="734"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54</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238</w:t>
                  </w:r>
                </w:p>
              </w:tc>
              <w:tc>
                <w:tcPr>
                  <w:tcW w:w="742"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312</w:t>
                  </w:r>
                </w:p>
              </w:tc>
              <w:tc>
                <w:tcPr>
                  <w:tcW w:w="2470" w:type="dxa"/>
                  <w:vMerge w:val="restart"/>
                  <w:tcBorders>
                    <w:top w:val="single" w:color="auto" w:sz="6" w:space="0"/>
                    <w:left w:val="single" w:color="auto" w:sz="6" w:space="0"/>
                    <w:bottom w:val="single" w:color="auto" w:sz="6" w:space="0"/>
                    <w:right w:val="nil"/>
                  </w:tcBorders>
                  <w:vAlign w:val="center"/>
                </w:tcPr>
                <w:p>
                  <w:pPr>
                    <w:pStyle w:val="4"/>
                    <w:spacing w:line="240" w:lineRule="auto"/>
                    <w:jc w:val="left"/>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土方运往斗门头文成新村及柏洋工业小区用于场地平整，石方运往硖门畲族乡硖门村所属码头用于外售综合利用</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31" w:type="dxa"/>
                  <w:tcBorders>
                    <w:top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隧洞工程（含库区）</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26375</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69333</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3547</w:t>
                  </w:r>
                </w:p>
              </w:tc>
              <w:tc>
                <w:tcPr>
                  <w:tcW w:w="734"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11229</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22828</w:t>
                  </w:r>
                </w:p>
              </w:tc>
              <w:tc>
                <w:tcPr>
                  <w:tcW w:w="742"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58104</w:t>
                  </w:r>
                </w:p>
              </w:tc>
              <w:tc>
                <w:tcPr>
                  <w:tcW w:w="2470" w:type="dxa"/>
                  <w:vMerge w:val="continue"/>
                  <w:tcBorders>
                    <w:top w:val="single" w:color="auto" w:sz="6" w:space="0"/>
                    <w:left w:val="single" w:color="auto" w:sz="6" w:space="0"/>
                    <w:bottom w:val="single" w:color="auto" w:sz="6" w:space="0"/>
                    <w:right w:val="nil"/>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31" w:type="dxa"/>
                  <w:tcBorders>
                    <w:top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箱涵工程</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29542</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4713</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19804</w:t>
                  </w:r>
                </w:p>
              </w:tc>
              <w:tc>
                <w:tcPr>
                  <w:tcW w:w="734"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741"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9738</w:t>
                  </w:r>
                </w:p>
              </w:tc>
              <w:tc>
                <w:tcPr>
                  <w:tcW w:w="742" w:type="dxa"/>
                  <w:tcBorders>
                    <w:top w:val="single" w:color="auto" w:sz="6" w:space="0"/>
                    <w:left w:val="single" w:color="auto" w:sz="6" w:space="0"/>
                    <w:bottom w:val="single" w:color="auto" w:sz="6"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4713</w:t>
                  </w:r>
                </w:p>
              </w:tc>
              <w:tc>
                <w:tcPr>
                  <w:tcW w:w="2470" w:type="dxa"/>
                  <w:vMerge w:val="continue"/>
                  <w:tcBorders>
                    <w:top w:val="single" w:color="auto" w:sz="6" w:space="0"/>
                    <w:left w:val="single" w:color="auto" w:sz="6" w:space="0"/>
                    <w:bottom w:val="single" w:color="auto" w:sz="6" w:space="0"/>
                    <w:right w:val="nil"/>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31" w:type="dxa"/>
                  <w:tcBorders>
                    <w:top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741" w:type="dxa"/>
                  <w:tcBorders>
                    <w:top w:val="single" w:color="auto" w:sz="6" w:space="0"/>
                    <w:left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56198</w:t>
                  </w:r>
                </w:p>
              </w:tc>
              <w:tc>
                <w:tcPr>
                  <w:tcW w:w="741" w:type="dxa"/>
                  <w:tcBorders>
                    <w:top w:val="single" w:color="auto" w:sz="6" w:space="0"/>
                    <w:left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74412</w:t>
                  </w:r>
                </w:p>
              </w:tc>
              <w:tc>
                <w:tcPr>
                  <w:tcW w:w="741" w:type="dxa"/>
                  <w:tcBorders>
                    <w:top w:val="single" w:color="auto" w:sz="6" w:space="0"/>
                    <w:left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23394</w:t>
                  </w:r>
                </w:p>
              </w:tc>
              <w:tc>
                <w:tcPr>
                  <w:tcW w:w="734" w:type="dxa"/>
                  <w:tcBorders>
                    <w:top w:val="single" w:color="auto" w:sz="6" w:space="0"/>
                    <w:left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11283</w:t>
                  </w:r>
                </w:p>
              </w:tc>
              <w:tc>
                <w:tcPr>
                  <w:tcW w:w="741" w:type="dxa"/>
                  <w:tcBorders>
                    <w:top w:val="single" w:color="auto" w:sz="6" w:space="0"/>
                    <w:left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32804</w:t>
                  </w:r>
                </w:p>
              </w:tc>
              <w:tc>
                <w:tcPr>
                  <w:tcW w:w="742" w:type="dxa"/>
                  <w:tcBorders>
                    <w:top w:val="single" w:color="auto" w:sz="6" w:space="0"/>
                    <w:left w:val="single" w:color="auto" w:sz="6" w:space="0"/>
                    <w:bottom w:val="single" w:color="auto" w:sz="12" w:space="0"/>
                    <w:right w:val="single" w:color="auto" w:sz="6" w:space="0"/>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63129</w:t>
                  </w:r>
                </w:p>
              </w:tc>
              <w:tc>
                <w:tcPr>
                  <w:tcW w:w="2470" w:type="dxa"/>
                  <w:tcBorders>
                    <w:top w:val="single" w:color="auto" w:sz="6" w:space="0"/>
                    <w:left w:val="single" w:color="auto" w:sz="6" w:space="0"/>
                    <w:bottom w:val="single" w:color="auto" w:sz="12" w:space="0"/>
                    <w:right w:val="nil"/>
                  </w:tcBorders>
                  <w:vAlign w:val="center"/>
                </w:tcPr>
                <w:p>
                  <w:pPr>
                    <w:pStyle w:val="4"/>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bl>
          <w:p>
            <w:pPr>
              <w:pStyle w:val="39"/>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color w:val="000000" w:themeColor="text1"/>
                <w14:textFill>
                  <w14:solidFill>
                    <w14:schemeClr w14:val="tx1"/>
                  </w14:solidFill>
                </w14:textFill>
              </w:rPr>
              <mc:AlternateContent>
                <mc:Choice Requires="wpc">
                  <w:drawing>
                    <wp:inline distT="0" distB="0" distL="114300" distR="114300">
                      <wp:extent cx="4371340" cy="2600960"/>
                      <wp:effectExtent l="4445" t="4445" r="5715" b="23495"/>
                      <wp:docPr id="109" name="画布 109"/>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28" name="文本框 93"/>
                              <wps:cNvSpPr txBox="1"/>
                              <wps:spPr>
                                <a:xfrm>
                                  <a:off x="295275" y="381000"/>
                                  <a:ext cx="11430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土方</w:t>
                                    </w:r>
                                    <w:r>
                                      <w:rPr>
                                        <w:rFonts w:hint="eastAsia" w:ascii="Times New Roman" w:hAnsi="Times New Roman" w:eastAsia="宋体" w:cs="Times New Roman"/>
                                        <w:b w:val="0"/>
                                        <w:bCs w:val="0"/>
                                        <w:sz w:val="24"/>
                                        <w:szCs w:val="24"/>
                                        <w:vertAlign w:val="baseline"/>
                                        <w:lang w:val="en-US" w:eastAsia="zh-CN"/>
                                      </w:rPr>
                                      <w:t>56198</w:t>
                                    </w:r>
                                    <w:r>
                                      <w:rPr>
                                        <w:rFonts w:hint="eastAsia"/>
                                        <w:lang w:val="en-US" w:eastAsia="zh-CN"/>
                                      </w:rPr>
                                      <w:t>m</w:t>
                                    </w:r>
                                    <w:r>
                                      <w:rPr>
                                        <w:rFonts w:hint="eastAsia"/>
                                        <w:vertAlign w:val="superscript"/>
                                        <w:lang w:val="en-US" w:eastAsia="zh-CN"/>
                                      </w:rPr>
                                      <w:t>3</w:t>
                                    </w:r>
                                  </w:p>
                                </w:txbxContent>
                              </wps:txbx>
                              <wps:bodyPr lIns="0" tIns="45720" rIns="0" bIns="45720" upright="1"/>
                            </wps:wsp>
                            <wps:wsp>
                              <wps:cNvPr id="129" name="文本框 94"/>
                              <wps:cNvSpPr txBox="1"/>
                              <wps:spPr>
                                <a:xfrm>
                                  <a:off x="294005" y="1637030"/>
                                  <a:ext cx="11430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石方74412m</w:t>
                                    </w:r>
                                    <w:r>
                                      <w:rPr>
                                        <w:rFonts w:hint="eastAsia"/>
                                        <w:vertAlign w:val="superscript"/>
                                        <w:lang w:val="en-US" w:eastAsia="zh-CN"/>
                                      </w:rPr>
                                      <w:t>3</w:t>
                                    </w:r>
                                  </w:p>
                                </w:txbxContent>
                              </wps:txbx>
                              <wps:bodyPr lIns="0" tIns="45720" rIns="0" bIns="45720" upright="1"/>
                            </wps:wsp>
                            <wps:wsp>
                              <wps:cNvPr id="130" name="文本框 95"/>
                              <wps:cNvSpPr txBox="1"/>
                              <wps:spPr>
                                <a:xfrm>
                                  <a:off x="2961005" y="1420495"/>
                                  <a:ext cx="1380490" cy="456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color w:val="auto"/>
                                        <w:lang w:val="en-US" w:eastAsia="zh-CN"/>
                                      </w:rPr>
                                    </w:pPr>
                                    <w:r>
                                      <w:rPr>
                                        <w:rFonts w:hint="eastAsia"/>
                                        <w:color w:val="auto"/>
                                        <w:lang w:val="en-US" w:eastAsia="zh-CN"/>
                                      </w:rPr>
                                      <w:t>项目利用石方11283m</w:t>
                                    </w:r>
                                    <w:r>
                                      <w:rPr>
                                        <w:rFonts w:hint="eastAsia"/>
                                        <w:color w:val="auto"/>
                                        <w:vertAlign w:val="superscript"/>
                                        <w:lang w:val="en-US" w:eastAsia="zh-CN"/>
                                      </w:rPr>
                                      <w:t>3</w:t>
                                    </w:r>
                                  </w:p>
                                </w:txbxContent>
                              </wps:txbx>
                              <wps:bodyPr lIns="0" tIns="45720" rIns="0" bIns="45720" upright="1"/>
                            </wps:wsp>
                            <wps:wsp>
                              <wps:cNvPr id="131" name="文本框 96"/>
                              <wps:cNvSpPr txBox="1"/>
                              <wps:spPr>
                                <a:xfrm>
                                  <a:off x="2970530" y="1910715"/>
                                  <a:ext cx="13716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color w:val="auto"/>
                                        <w:lang w:val="en-US" w:eastAsia="zh-CN"/>
                                      </w:rPr>
                                    </w:pPr>
                                    <w:r>
                                      <w:rPr>
                                        <w:rFonts w:hint="eastAsia" w:cs="Times New Roman"/>
                                        <w:color w:val="auto"/>
                                        <w:sz w:val="24"/>
                                        <w:szCs w:val="24"/>
                                        <w:lang w:val="en-US" w:eastAsia="zh-CN"/>
                                      </w:rPr>
                                      <w:t>硖门村</w:t>
                                    </w:r>
                                    <w:r>
                                      <w:rPr>
                                        <w:rFonts w:hint="eastAsia"/>
                                        <w:color w:val="auto"/>
                                        <w:lang w:val="en-US" w:eastAsia="zh-CN"/>
                                      </w:rPr>
                                      <w:t>63129m</w:t>
                                    </w:r>
                                    <w:r>
                                      <w:rPr>
                                        <w:rFonts w:hint="eastAsia"/>
                                        <w:color w:val="auto"/>
                                        <w:vertAlign w:val="superscript"/>
                                        <w:lang w:val="en-US" w:eastAsia="zh-CN"/>
                                      </w:rPr>
                                      <w:t>3</w:t>
                                    </w:r>
                                  </w:p>
                                </w:txbxContent>
                              </wps:txbx>
                              <wps:bodyPr lIns="0" tIns="45720" rIns="0" bIns="45720" upright="1"/>
                            </wps:wsp>
                            <wps:wsp>
                              <wps:cNvPr id="132" name="直接连接符 101"/>
                              <wps:cNvCnPr/>
                              <wps:spPr>
                                <a:xfrm flipV="1">
                                  <a:off x="1839595" y="1243965"/>
                                  <a:ext cx="208915" cy="635"/>
                                </a:xfrm>
                                <a:prstGeom prst="line">
                                  <a:avLst/>
                                </a:prstGeom>
                                <a:ln w="9525" cap="flat" cmpd="sng">
                                  <a:solidFill>
                                    <a:srgbClr val="000000"/>
                                  </a:solidFill>
                                  <a:prstDash val="solid"/>
                                  <a:headEnd type="none" w="med" len="med"/>
                                  <a:tailEnd type="none" w="med" len="med"/>
                                </a:ln>
                              </wps:spPr>
                              <wps:bodyPr upright="1"/>
                            </wps:wsp>
                            <wps:wsp>
                              <wps:cNvPr id="133" name="直接连接符 102"/>
                              <wps:cNvCnPr>
                                <a:endCxn id="130" idx="1"/>
                              </wps:cNvCnPr>
                              <wps:spPr>
                                <a:xfrm>
                                  <a:off x="2049780" y="1647825"/>
                                  <a:ext cx="911225" cy="1270"/>
                                </a:xfrm>
                                <a:prstGeom prst="line">
                                  <a:avLst/>
                                </a:prstGeom>
                                <a:ln w="9525" cap="flat" cmpd="sng">
                                  <a:solidFill>
                                    <a:srgbClr val="000000"/>
                                  </a:solidFill>
                                  <a:prstDash val="solid"/>
                                  <a:headEnd type="none" w="med" len="med"/>
                                  <a:tailEnd type="triangle" w="med" len="med"/>
                                </a:ln>
                              </wps:spPr>
                              <wps:bodyPr upright="1"/>
                            </wps:wsp>
                            <wps:wsp>
                              <wps:cNvPr id="134" name="直接连接符 103"/>
                              <wps:cNvCnPr/>
                              <wps:spPr>
                                <a:xfrm>
                                  <a:off x="2051050" y="474345"/>
                                  <a:ext cx="1270" cy="1583055"/>
                                </a:xfrm>
                                <a:prstGeom prst="line">
                                  <a:avLst/>
                                </a:prstGeom>
                                <a:ln w="9525" cap="flat" cmpd="sng">
                                  <a:solidFill>
                                    <a:srgbClr val="000000"/>
                                  </a:solidFill>
                                  <a:prstDash val="solid"/>
                                  <a:headEnd type="none" w="med" len="med"/>
                                  <a:tailEnd type="none" w="med" len="med"/>
                                </a:ln>
                              </wps:spPr>
                              <wps:bodyPr upright="1"/>
                            </wps:wsp>
                            <wps:wsp>
                              <wps:cNvPr id="135" name="直接连接符 104"/>
                              <wps:cNvCnPr>
                                <a:endCxn id="131" idx="1"/>
                              </wps:cNvCnPr>
                              <wps:spPr>
                                <a:xfrm flipV="1">
                                  <a:off x="2047240" y="2053590"/>
                                  <a:ext cx="923290" cy="5715"/>
                                </a:xfrm>
                                <a:prstGeom prst="line">
                                  <a:avLst/>
                                </a:prstGeom>
                                <a:ln w="9525" cap="flat" cmpd="sng">
                                  <a:solidFill>
                                    <a:srgbClr val="000000"/>
                                  </a:solidFill>
                                  <a:prstDash val="solid"/>
                                  <a:headEnd type="none" w="med" len="med"/>
                                  <a:tailEnd type="triangle" w="med" len="med"/>
                                </a:ln>
                              </wps:spPr>
                              <wps:bodyPr upright="1"/>
                            </wps:wsp>
                            <wps:wsp>
                              <wps:cNvPr id="138" name="直接连接符 107"/>
                              <wps:cNvCnPr>
                                <a:endCxn id="139" idx="1"/>
                              </wps:cNvCnPr>
                              <wps:spPr>
                                <a:xfrm flipV="1">
                                  <a:off x="2049145" y="1059815"/>
                                  <a:ext cx="918210" cy="6985"/>
                                </a:xfrm>
                                <a:prstGeom prst="line">
                                  <a:avLst/>
                                </a:prstGeom>
                                <a:ln w="9525" cap="flat" cmpd="sng">
                                  <a:solidFill>
                                    <a:srgbClr val="000000"/>
                                  </a:solidFill>
                                  <a:prstDash val="solid"/>
                                  <a:headEnd type="none" w="med" len="med"/>
                                  <a:tailEnd type="triangle" w="med" len="med"/>
                                </a:ln>
                              </wps:spPr>
                              <wps:bodyPr upright="1"/>
                            </wps:wsp>
                            <wps:wsp>
                              <wps:cNvPr id="139" name="文本框 108"/>
                              <wps:cNvSpPr txBox="1"/>
                              <wps:spPr>
                                <a:xfrm>
                                  <a:off x="2967355" y="733425"/>
                                  <a:ext cx="1371600" cy="652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color w:val="auto"/>
                                        <w:lang w:val="en-US" w:eastAsia="zh-CN"/>
                                      </w:rPr>
                                    </w:pPr>
                                    <w:r>
                                      <w:rPr>
                                        <w:rFonts w:hint="eastAsia" w:cs="Times New Roman"/>
                                        <w:color w:val="auto"/>
                                        <w:sz w:val="24"/>
                                        <w:szCs w:val="24"/>
                                        <w:lang w:val="en-US" w:eastAsia="zh-CN"/>
                                      </w:rPr>
                                      <w:t>斗门头文成新村及柏洋工业小区</w:t>
                                    </w:r>
                                    <w:r>
                                      <w:rPr>
                                        <w:rFonts w:hint="eastAsia"/>
                                        <w:color w:val="auto"/>
                                        <w:lang w:val="en-US" w:eastAsia="zh-CN"/>
                                      </w:rPr>
                                      <w:t>23066m</w:t>
                                    </w:r>
                                    <w:r>
                                      <w:rPr>
                                        <w:rFonts w:hint="eastAsia"/>
                                        <w:color w:val="auto"/>
                                        <w:vertAlign w:val="superscript"/>
                                        <w:lang w:val="en-US" w:eastAsia="zh-CN"/>
                                      </w:rPr>
                                      <w:t>3</w:t>
                                    </w:r>
                                  </w:p>
                                </w:txbxContent>
                              </wps:txbx>
                              <wps:bodyPr lIns="0" tIns="45720" rIns="0" bIns="45720" upright="1"/>
                            </wps:wsp>
                            <wps:wsp>
                              <wps:cNvPr id="140" name="直接连接符 112"/>
                              <wps:cNvCnPr/>
                              <wps:spPr>
                                <a:xfrm flipH="1">
                                  <a:off x="1838325" y="551180"/>
                                  <a:ext cx="5080" cy="708660"/>
                                </a:xfrm>
                                <a:prstGeom prst="line">
                                  <a:avLst/>
                                </a:prstGeom>
                                <a:ln w="9525" cap="flat" cmpd="sng">
                                  <a:solidFill>
                                    <a:srgbClr val="000000"/>
                                  </a:solidFill>
                                  <a:prstDash val="solid"/>
                                  <a:headEnd type="none" w="med" len="med"/>
                                  <a:tailEnd type="none" w="med" len="med"/>
                                </a:ln>
                              </wps:spPr>
                              <wps:bodyPr upright="1"/>
                            </wps:wsp>
                            <wps:wsp>
                              <wps:cNvPr id="141" name="直接连接符 110"/>
                              <wps:cNvCnPr/>
                              <wps:spPr>
                                <a:xfrm>
                                  <a:off x="1463040" y="552450"/>
                                  <a:ext cx="381000" cy="0"/>
                                </a:xfrm>
                                <a:prstGeom prst="line">
                                  <a:avLst/>
                                </a:prstGeom>
                                <a:ln w="9525" cap="flat" cmpd="sng">
                                  <a:solidFill>
                                    <a:srgbClr val="000000"/>
                                  </a:solidFill>
                                  <a:prstDash val="solid"/>
                                  <a:headEnd type="none" w="med" len="med"/>
                                  <a:tailEnd type="none" w="med" len="med"/>
                                </a:ln>
                              </wps:spPr>
                              <wps:bodyPr upright="1"/>
                            </wps:wsp>
                            <wps:wsp>
                              <wps:cNvPr id="142" name="直接连接符 111"/>
                              <wps:cNvCnPr/>
                              <wps:spPr>
                                <a:xfrm>
                                  <a:off x="1446530" y="1818005"/>
                                  <a:ext cx="381000" cy="0"/>
                                </a:xfrm>
                                <a:prstGeom prst="line">
                                  <a:avLst/>
                                </a:prstGeom>
                                <a:ln w="9525" cap="flat" cmpd="sng">
                                  <a:solidFill>
                                    <a:srgbClr val="000000"/>
                                  </a:solidFill>
                                  <a:prstDash val="solid"/>
                                  <a:headEnd type="none" w="med" len="med"/>
                                  <a:tailEnd type="none" w="med" len="med"/>
                                </a:ln>
                              </wps:spPr>
                              <wps:bodyPr upright="1"/>
                            </wps:wsp>
                            <wps:wsp>
                              <wps:cNvPr id="143" name="文本框 96"/>
                              <wps:cNvSpPr txBox="1"/>
                              <wps:spPr>
                                <a:xfrm>
                                  <a:off x="2970530" y="247015"/>
                                  <a:ext cx="1371600" cy="45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color w:val="auto"/>
                                        <w:lang w:val="en-US" w:eastAsia="zh-CN"/>
                                      </w:rPr>
                                    </w:pPr>
                                    <w:r>
                                      <w:rPr>
                                        <w:rFonts w:hint="eastAsia"/>
                                        <w:color w:val="auto"/>
                                        <w:lang w:val="en-US" w:eastAsia="zh-CN"/>
                                      </w:rPr>
                                      <w:t>项目利用土方23394m</w:t>
                                    </w:r>
                                    <w:r>
                                      <w:rPr>
                                        <w:rFonts w:hint="eastAsia"/>
                                        <w:color w:val="auto"/>
                                        <w:vertAlign w:val="superscript"/>
                                        <w:lang w:val="en-US" w:eastAsia="zh-CN"/>
                                      </w:rPr>
                                      <w:t>3</w:t>
                                    </w:r>
                                  </w:p>
                                </w:txbxContent>
                              </wps:txbx>
                              <wps:bodyPr lIns="0" tIns="45720" rIns="0" bIns="45720" upright="1"/>
                            </wps:wsp>
                            <wps:wsp>
                              <wps:cNvPr id="144" name="直接连接符 112"/>
                              <wps:cNvCnPr/>
                              <wps:spPr>
                                <a:xfrm flipH="1">
                                  <a:off x="1835150" y="1115060"/>
                                  <a:ext cx="5080" cy="708660"/>
                                </a:xfrm>
                                <a:prstGeom prst="line">
                                  <a:avLst/>
                                </a:prstGeom>
                                <a:ln w="9525" cap="flat" cmpd="sng">
                                  <a:solidFill>
                                    <a:srgbClr val="000000"/>
                                  </a:solidFill>
                                  <a:prstDash val="solid"/>
                                  <a:headEnd type="none" w="med" len="med"/>
                                  <a:tailEnd type="none" w="med" len="med"/>
                                </a:ln>
                              </wps:spPr>
                              <wps:bodyPr upright="1"/>
                            </wps:wsp>
                            <wps:wsp>
                              <wps:cNvPr id="41" name="直接连接符 104"/>
                              <wps:cNvCnPr>
                                <a:endCxn id="143" idx="1"/>
                              </wps:cNvCnPr>
                              <wps:spPr>
                                <a:xfrm flipV="1">
                                  <a:off x="2052320" y="476250"/>
                                  <a:ext cx="918210" cy="3175"/>
                                </a:xfrm>
                                <a:prstGeom prst="line">
                                  <a:avLst/>
                                </a:prstGeom>
                                <a:ln w="9525" cap="flat" cmpd="sng">
                                  <a:solidFill>
                                    <a:srgbClr val="000000"/>
                                  </a:solidFill>
                                  <a:prstDash val="solid"/>
                                  <a:headEnd type="none" w="med" len="med"/>
                                  <a:tailEnd type="triangle" w="med" len="med"/>
                                </a:ln>
                              </wps:spPr>
                              <wps:bodyPr upright="1"/>
                            </wps:wsp>
                            <wps:wsp>
                              <wps:cNvPr id="170" name="文本框 170"/>
                              <wps:cNvSpPr txBox="1"/>
                              <wps:spPr>
                                <a:xfrm>
                                  <a:off x="2049780" y="1363980"/>
                                  <a:ext cx="98869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石方利用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171"/>
                              <wps:cNvSpPr txBox="1"/>
                              <wps:spPr>
                                <a:xfrm>
                                  <a:off x="2042795" y="226060"/>
                                  <a:ext cx="93853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土方利用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72"/>
                              <wps:cNvSpPr txBox="1"/>
                              <wps:spPr>
                                <a:xfrm>
                                  <a:off x="2030730" y="1802130"/>
                                  <a:ext cx="95123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石方去向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73"/>
                              <wps:cNvSpPr txBox="1"/>
                              <wps:spPr>
                                <a:xfrm>
                                  <a:off x="2056765" y="814070"/>
                                  <a:ext cx="90551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土方去向</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04.8pt;width:344.2pt;" coordsize="4371340,2600960" editas="canvas" o:gfxdata="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DXgKzl&#10;1AAAAAUBAAAPAAAAAAAAAAEAIAAAACIAAABkcnMvZG93bnJldi54bWxQSwECFAAUAAAACACHTuJA&#10;jHUDndIGAACwMgAADgAAAAAAAAABACAAAAAjAQAAZHJzL2Uyb0RvYy54bWxQSwUGAAAAAAYABgBZ&#10;AQAAZwoAAAAA&#10;">
                      <o:lock v:ext="edit" aspectratio="f"/>
                      <v:shape id="_x0000_s1026" o:spid="_x0000_s1026" style="position:absolute;left:0;top:0;height:2600960;width:4371340;" filled="f" stroked="t" coordsize="21600,21600" o:gfxdata="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14Cs5dQAAAAFAQAA&#10;DwAAAAAAAAABACAAAAAiAAAAZHJzL2Rvd25yZXYueG1sUEsBAhQAFAAAAAgAh07iQH6drZ2RBgAA&#10;6DIAAA4AAAAAAAAAAQAgAAAAIwEAAGRycy9lMm9Eb2MueG1sUEsFBgAAAAAGAAYAWQEAACYKAAAA&#10;AA==&#10;">
                        <v:fill on="f" focussize="0,0"/>
                        <v:stroke color="#000000" joinstyle="miter"/>
                        <v:imagedata o:title=""/>
                        <o:lock v:ext="edit" aspectratio="f"/>
                      </v:shape>
                      <v:shape id="文本框 93" o:spid="_x0000_s1026" o:spt="202" type="#_x0000_t202" style="position:absolute;left:295275;top:381000;height:342900;width:1143000;" fillcolor="#FFFFFF" filled="t" stroked="t" coordsize="21600,21600" o:gfxdata="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XfI1AAAAAUBAAAPAAAAAAAAAAEAIAAAACIAAABkcnMvZG93bnJldi54bWxQSwECFAAUAAAA&#10;CACHTuJA6lEXzisCAABvBAAADgAAAAAAAAABACAAAAAjAQAAZHJzL2Uyb0RvYy54bWxQSwUGAAAA&#10;AAYABgBZAQAAwAUAAAAA&#10;">
                        <v:fill on="t" focussize="0,0"/>
                        <v:stroke color="#000000" joinstyle="miter"/>
                        <v:imagedata o:title=""/>
                        <o:lock v:ext="edit" aspectratio="f"/>
                        <v:textbox inset="0mm,1.27mm,0mm,1.27mm">
                          <w:txbxContent>
                            <w:p>
                              <w:pPr>
                                <w:jc w:val="center"/>
                                <w:rPr>
                                  <w:rFonts w:hint="default" w:eastAsia="宋体"/>
                                  <w:lang w:val="en-US" w:eastAsia="zh-CN"/>
                                </w:rPr>
                              </w:pPr>
                              <w:r>
                                <w:rPr>
                                  <w:rFonts w:hint="eastAsia"/>
                                  <w:lang w:val="en-US" w:eastAsia="zh-CN"/>
                                </w:rPr>
                                <w:t>土方</w:t>
                              </w:r>
                              <w:r>
                                <w:rPr>
                                  <w:rFonts w:hint="eastAsia" w:ascii="Times New Roman" w:hAnsi="Times New Roman" w:eastAsia="宋体" w:cs="Times New Roman"/>
                                  <w:b w:val="0"/>
                                  <w:bCs w:val="0"/>
                                  <w:sz w:val="24"/>
                                  <w:szCs w:val="24"/>
                                  <w:vertAlign w:val="baseline"/>
                                  <w:lang w:val="en-US" w:eastAsia="zh-CN"/>
                                </w:rPr>
                                <w:t>56198</w:t>
                              </w:r>
                              <w:r>
                                <w:rPr>
                                  <w:rFonts w:hint="eastAsia"/>
                                  <w:lang w:val="en-US" w:eastAsia="zh-CN"/>
                                </w:rPr>
                                <w:t>m</w:t>
                              </w:r>
                              <w:r>
                                <w:rPr>
                                  <w:rFonts w:hint="eastAsia"/>
                                  <w:vertAlign w:val="superscript"/>
                                  <w:lang w:val="en-US" w:eastAsia="zh-CN"/>
                                </w:rPr>
                                <w:t>3</w:t>
                              </w:r>
                            </w:p>
                          </w:txbxContent>
                        </v:textbox>
                      </v:shape>
                      <v:shape id="文本框 94" o:spid="_x0000_s1026" o:spt="202" type="#_x0000_t202" style="position:absolute;left:294005;top:1637030;height:342900;width:1143000;" fillcolor="#FFFFFF" filled="t" stroked="t" coordsize="21600,21600" o:gfxdata="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XfI1AAAAAUBAAAPAAAAAAAAAAEAIAAAACIAAABkcnMvZG93bnJldi54bWxQSwECFAAU&#10;AAAACACHTuJARLTlYS4CAABwBAAADgAAAAAAAAABACAAAAAjAQAAZHJzL2Uyb0RvYy54bWxQSwUG&#10;AAAAAAYABgBZAQAAwwUAAAAA&#10;">
                        <v:fill on="t" focussize="0,0"/>
                        <v:stroke color="#000000" joinstyle="miter"/>
                        <v:imagedata o:title=""/>
                        <o:lock v:ext="edit" aspectratio="f"/>
                        <v:textbox inset="0mm,1.27mm,0mm,1.27mm">
                          <w:txbxContent>
                            <w:p>
                              <w:pPr>
                                <w:jc w:val="center"/>
                                <w:rPr>
                                  <w:rFonts w:hint="default" w:eastAsia="宋体"/>
                                  <w:lang w:val="en-US" w:eastAsia="zh-CN"/>
                                </w:rPr>
                              </w:pPr>
                              <w:r>
                                <w:rPr>
                                  <w:rFonts w:hint="eastAsia"/>
                                  <w:lang w:val="en-US" w:eastAsia="zh-CN"/>
                                </w:rPr>
                                <w:t>石方74412m</w:t>
                              </w:r>
                              <w:r>
                                <w:rPr>
                                  <w:rFonts w:hint="eastAsia"/>
                                  <w:vertAlign w:val="superscript"/>
                                  <w:lang w:val="en-US" w:eastAsia="zh-CN"/>
                                </w:rPr>
                                <w:t>3</w:t>
                              </w:r>
                            </w:p>
                          </w:txbxContent>
                        </v:textbox>
                      </v:shape>
                      <v:shape id="文本框 95" o:spid="_x0000_s1026" o:spt="202" type="#_x0000_t202" style="position:absolute;left:2961005;top:1420495;height:456565;width:1380490;" fillcolor="#FFFFFF" filled="t" stroked="t" coordsize="21600,21600" o:gfxdata="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D9d8jUAAAABQEAAA8AAAAAAAAAAQAgAAAAIgAAAGRycy9kb3ducmV2LnhtbFBLAQIUABQAAAAI&#10;AIdO4kD0AxZYKgIAAHEEAAAOAAAAAAAAAAEAIAAAACMBAABkcnMvZTJvRG9jLnhtbFBLBQYAAAAA&#10;BgAGAFkBAAC/BQAAAAA=&#10;">
                        <v:fill on="t" focussize="0,0"/>
                        <v:stroke color="#000000" joinstyle="miter"/>
                        <v:imagedata o:title=""/>
                        <o:lock v:ext="edit" aspectratio="f"/>
                        <v:textbox inset="0mm,1.27mm,0mm,1.27mm">
                          <w:txbxContent>
                            <w:p>
                              <w:pPr>
                                <w:spacing w:line="240" w:lineRule="auto"/>
                                <w:jc w:val="center"/>
                                <w:rPr>
                                  <w:rFonts w:hint="default" w:eastAsia="宋体"/>
                                  <w:color w:val="auto"/>
                                  <w:lang w:val="en-US" w:eastAsia="zh-CN"/>
                                </w:rPr>
                              </w:pPr>
                              <w:r>
                                <w:rPr>
                                  <w:rFonts w:hint="eastAsia"/>
                                  <w:color w:val="auto"/>
                                  <w:lang w:val="en-US" w:eastAsia="zh-CN"/>
                                </w:rPr>
                                <w:t>项目利用石方11283m</w:t>
                              </w:r>
                              <w:r>
                                <w:rPr>
                                  <w:rFonts w:hint="eastAsia"/>
                                  <w:color w:val="auto"/>
                                  <w:vertAlign w:val="superscript"/>
                                  <w:lang w:val="en-US" w:eastAsia="zh-CN"/>
                                </w:rPr>
                                <w:t>3</w:t>
                              </w:r>
                            </w:p>
                          </w:txbxContent>
                        </v:textbox>
                      </v:shape>
                      <v:shape id="文本框 96" o:spid="_x0000_s1026" o:spt="202" type="#_x0000_t202" style="position:absolute;left:2970530;top:1910715;height:285750;width:1371600;" fillcolor="#FFFFFF" filled="t" stroked="t" coordsize="21600,21600" o:gfxdata="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XfI1AAAAAUBAAAPAAAAAAAAAAEAIAAAACIAAABkcnMvZG93bnJldi54bWxQSwECFAAU&#10;AAAACACHTuJACLJEdi4CAABxBAAADgAAAAAAAAABACAAAAAjAQAAZHJzL2Uyb0RvYy54bWxQSwUG&#10;AAAAAAYABgBZAQAAwwUAAAAA&#10;">
                        <v:fill on="t" focussize="0,0"/>
                        <v:stroke color="#000000" joinstyle="miter"/>
                        <v:imagedata o:title=""/>
                        <o:lock v:ext="edit" aspectratio="f"/>
                        <v:textbox inset="0mm,1.27mm,0mm,1.27mm">
                          <w:txbxContent>
                            <w:p>
                              <w:pPr>
                                <w:spacing w:line="240" w:lineRule="auto"/>
                                <w:jc w:val="center"/>
                                <w:rPr>
                                  <w:rFonts w:hint="default" w:eastAsia="宋体"/>
                                  <w:color w:val="auto"/>
                                  <w:lang w:val="en-US" w:eastAsia="zh-CN"/>
                                </w:rPr>
                              </w:pPr>
                              <w:r>
                                <w:rPr>
                                  <w:rFonts w:hint="eastAsia" w:cs="Times New Roman"/>
                                  <w:color w:val="auto"/>
                                  <w:sz w:val="24"/>
                                  <w:szCs w:val="24"/>
                                  <w:lang w:val="en-US" w:eastAsia="zh-CN"/>
                                </w:rPr>
                                <w:t>硖门村</w:t>
                              </w:r>
                              <w:r>
                                <w:rPr>
                                  <w:rFonts w:hint="eastAsia"/>
                                  <w:color w:val="auto"/>
                                  <w:lang w:val="en-US" w:eastAsia="zh-CN"/>
                                </w:rPr>
                                <w:t>63129m</w:t>
                              </w:r>
                              <w:r>
                                <w:rPr>
                                  <w:rFonts w:hint="eastAsia"/>
                                  <w:color w:val="auto"/>
                                  <w:vertAlign w:val="superscript"/>
                                  <w:lang w:val="en-US" w:eastAsia="zh-CN"/>
                                </w:rPr>
                                <w:t>3</w:t>
                              </w:r>
                            </w:p>
                          </w:txbxContent>
                        </v:textbox>
                      </v:shape>
                      <v:line id="直接连接符 101" o:spid="_x0000_s1026" o:spt="20" style="position:absolute;left:1839595;top:1243965;flip:y;height:635;width:208915;" filled="f" stroked="t" coordsize="21600,21600" o:gfxdata="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5wA5H1QAAAAUBAAAPAAAAAAAAAAEAIAAAACIA&#10;AABkcnMvZG93bnJldi54bWxQSwECFAAUAAAACACHTuJAyJlXkAwCAAD/AwAADgAAAAAAAAABACAA&#10;AAAkAQAAZHJzL2Uyb0RvYy54bWxQSwUGAAAAAAYABgBZAQAAogUAAAAA&#10;">
                        <v:fill on="f" focussize="0,0"/>
                        <v:stroke color="#000000" joinstyle="round"/>
                        <v:imagedata o:title=""/>
                        <o:lock v:ext="edit" aspectratio="f"/>
                      </v:line>
                      <v:line id="直接连接符 102" o:spid="_x0000_s1026" o:spt="20" style="position:absolute;left:2049780;top:1647825;height:1270;width:911225;" filled="f" stroked="t" coordsize="21600,21600" o:gfxdata="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gqKJ1wAAAAUBAAAP&#10;AAAAAAAAAAEAIAAAACIAAABkcnMvZG93bnJldi54bWxQSwECFAAUAAAACACHTuJANin03BkCAAAj&#10;BAAADgAAAAAAAAABACAAAAAmAQAAZHJzL2Uyb0RvYy54bWxQSwUGAAAAAAYABgBZAQAAsQUAAAAA&#10;">
                        <v:fill on="f" focussize="0,0"/>
                        <v:stroke color="#000000" joinstyle="round" endarrow="block"/>
                        <v:imagedata o:title=""/>
                        <o:lock v:ext="edit" aspectratio="f"/>
                      </v:line>
                      <v:line id="直接连接符 103" o:spid="_x0000_s1026" o:spt="20" style="position:absolute;left:2051050;top:474345;height:1583055;width:1270;" filled="f" stroked="t" coordsize="21600,21600" o:gfxdata="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9gHp1QAAAAUBAAAPAAAAAAAAAAEAIAAAACIAAABk&#10;cnMvZG93bnJldi54bWxQSwECFAAUAAAACACHTuJAkYeCXQkCAAD2AwAADgAAAAAAAAABACAAAAAk&#10;AQAAZHJzL2Uyb0RvYy54bWxQSwUGAAAAAAYABgBZAQAAnwUAAAAA&#10;">
                        <v:fill on="f" focussize="0,0"/>
                        <v:stroke color="#000000" joinstyle="round"/>
                        <v:imagedata o:title=""/>
                        <o:lock v:ext="edit" aspectratio="f"/>
                      </v:line>
                      <v:line id="直接连接符 104" o:spid="_x0000_s1026" o:spt="20" style="position:absolute;left:2047240;top:2053590;flip:y;height:5715;width:923290;" filled="f" stroked="t" coordsize="21600,21600" o:gfxdata="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7qN9rWAAAA&#10;BQEAAA8AAAAAAAAAAQAgAAAAIgAAAGRycy9kb3ducmV2LnhtbFBLAQIUABQAAAAIAIdO4kAPRD0A&#10;HwIAAC0EAAAOAAAAAAAAAAEAIAAAACUBAABkcnMvZTJvRG9jLnhtbFBLBQYAAAAABgAGAFkBAAC2&#10;BQAAAAA=&#10;">
                        <v:fill on="f" focussize="0,0"/>
                        <v:stroke color="#000000" joinstyle="round" endarrow="block"/>
                        <v:imagedata o:title=""/>
                        <o:lock v:ext="edit" aspectratio="f"/>
                      </v:line>
                      <v:line id="直接连接符 107" o:spid="_x0000_s1026" o:spt="20" style="position:absolute;left:2049145;top:1059815;flip:y;height:6985;width:918210;" filled="f" stroked="t" coordsize="21600,21600" o:gfxdata="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7qN9rW&#10;AAAABQEAAA8AAAAAAAAAAQAgAAAAIgAAAGRycy9kb3ducmV2LnhtbFBLAQIUABQAAAAIAIdO4kBD&#10;h2EWIgIAAC0EAAAOAAAAAAAAAAEAIAAAACUBAABkcnMvZTJvRG9jLnhtbFBLBQYAAAAABgAGAFkB&#10;AAC5BQAAAAA=&#10;">
                        <v:fill on="f" focussize="0,0"/>
                        <v:stroke color="#000000" joinstyle="round" endarrow="block"/>
                        <v:imagedata o:title=""/>
                        <o:lock v:ext="edit" aspectratio="f"/>
                      </v:line>
                      <v:shape id="文本框 108" o:spid="_x0000_s1026" o:spt="202" type="#_x0000_t202" style="position:absolute;left:2967355;top:733425;height:652780;width:1371600;" fillcolor="#FFFFFF" filled="t" stroked="t" coordsize="21600,21600" o:gfxdata="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D9d8jUAAAABQEAAA8AAAAAAAAAAQAgAAAAIgAAAGRycy9kb3ducmV2LnhtbFBLAQIU&#10;ABQAAAAIAIdO4kDHLdOXMAIAAHEEAAAOAAAAAAAAAAEAIAAAACMBAABkcnMvZTJvRG9jLnhtbFBL&#10;BQYAAAAABgAGAFkBAADFBQAAAAA=&#10;">
                        <v:fill on="t" focussize="0,0"/>
                        <v:stroke color="#000000" joinstyle="miter"/>
                        <v:imagedata o:title=""/>
                        <o:lock v:ext="edit" aspectratio="f"/>
                        <v:textbox inset="0mm,1.27mm,0mm,1.27mm">
                          <w:txbxContent>
                            <w:p>
                              <w:pPr>
                                <w:spacing w:line="240" w:lineRule="auto"/>
                                <w:jc w:val="center"/>
                                <w:rPr>
                                  <w:rFonts w:hint="default" w:eastAsia="宋体"/>
                                  <w:color w:val="auto"/>
                                  <w:lang w:val="en-US" w:eastAsia="zh-CN"/>
                                </w:rPr>
                              </w:pPr>
                              <w:r>
                                <w:rPr>
                                  <w:rFonts w:hint="eastAsia" w:cs="Times New Roman"/>
                                  <w:color w:val="auto"/>
                                  <w:sz w:val="24"/>
                                  <w:szCs w:val="24"/>
                                  <w:lang w:val="en-US" w:eastAsia="zh-CN"/>
                                </w:rPr>
                                <w:t>斗门头文成新村及柏洋工业小区</w:t>
                              </w:r>
                              <w:r>
                                <w:rPr>
                                  <w:rFonts w:hint="eastAsia"/>
                                  <w:color w:val="auto"/>
                                  <w:lang w:val="en-US" w:eastAsia="zh-CN"/>
                                </w:rPr>
                                <w:t>23066m</w:t>
                              </w:r>
                              <w:r>
                                <w:rPr>
                                  <w:rFonts w:hint="eastAsia"/>
                                  <w:color w:val="auto"/>
                                  <w:vertAlign w:val="superscript"/>
                                  <w:lang w:val="en-US" w:eastAsia="zh-CN"/>
                                </w:rPr>
                                <w:t>3</w:t>
                              </w:r>
                            </w:p>
                          </w:txbxContent>
                        </v:textbox>
                      </v:shape>
                      <v:line id="直接连接符 112" o:spid="_x0000_s1026" o:spt="20" style="position:absolute;left:1838325;top:551180;flip:x;height:708660;width:5080;" filled="f" stroked="t" coordsize="21600,21600" o:gfxdata="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AOR9UAAAAFAQAADwAAAAAAAAABACAAAAAi&#10;AAAAZHJzL2Rvd25yZXYueG1sUEsBAhQAFAAAAAgAh07iQLghHVQNAgAA/wMAAA4AAAAAAAAAAQAg&#10;AAAAJAEAAGRycy9lMm9Eb2MueG1sUEsFBgAAAAAGAAYAWQEAAKMFAAAAAA==&#10;">
                        <v:fill on="f" focussize="0,0"/>
                        <v:stroke color="#000000" joinstyle="round"/>
                        <v:imagedata o:title=""/>
                        <o:lock v:ext="edit" aspectratio="f"/>
                      </v:line>
                      <v:line id="直接连接符 110" o:spid="_x0000_s1026" o:spt="20" style="position:absolute;left:1463040;top:552450;height:0;width:381000;" filled="f" stroked="t" coordsize="21600,21600" o:gfxdata="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2AenVAAAABQEAAA8AAAAAAAAAAQAgAAAAIgAAAGRycy9kb3du&#10;cmV2LnhtbFBLAQIUABQAAAAIAIdO4kB/2iboAgIAAPIDAAAOAAAAAAAAAAEAIAAAACQBAABkcnMv&#10;ZTJvRG9jLnhtbFBLBQYAAAAABgAGAFkBAACYBQAAAAA=&#10;">
                        <v:fill on="f" focussize="0,0"/>
                        <v:stroke color="#000000" joinstyle="round"/>
                        <v:imagedata o:title=""/>
                        <o:lock v:ext="edit" aspectratio="f"/>
                      </v:line>
                      <v:line id="直接连接符 111" o:spid="_x0000_s1026" o:spt="20" style="position:absolute;left:1446530;top:1818005;height:0;width:381000;" filled="f" stroked="t" coordsize="21600,21600" o:gfxdata="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9gHp1QAAAAUBAAAPAAAAAAAAAAEAIAAAACIAAABkcnMvZG93&#10;bnJldi54bWxQSwECFAAUAAAACACHTuJAWn/HYgMCAADzAwAADgAAAAAAAAABACAAAAAkAQAAZHJz&#10;L2Uyb0RvYy54bWxQSwUGAAAAAAYABgBZAQAAmQUAAAAA&#10;">
                        <v:fill on="f" focussize="0,0"/>
                        <v:stroke color="#000000" joinstyle="round"/>
                        <v:imagedata o:title=""/>
                        <o:lock v:ext="edit" aspectratio="f"/>
                      </v:line>
                      <v:shape id="文本框 96" o:spid="_x0000_s1026" o:spt="202" type="#_x0000_t202" style="position:absolute;left:2970530;top:247015;height:458470;width:1371600;" fillcolor="#FFFFFF" filled="t" stroked="t" coordsize="21600,21600" o:gfxdata="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D9d8jUAAAABQEAAA8AAAAAAAAAAQAgAAAAIgAAAGRycy9kb3ducmV2LnhtbFBLAQIUABQAAAAI&#10;AIdO4kDeGvFMKgIAAHAEAAAOAAAAAAAAAAEAIAAAACMBAABkcnMvZTJvRG9jLnhtbFBLBQYAAAAA&#10;BgAGAFkBAAC/BQAAAAA=&#10;">
                        <v:fill on="t" focussize="0,0"/>
                        <v:stroke color="#000000" joinstyle="miter"/>
                        <v:imagedata o:title=""/>
                        <o:lock v:ext="edit" aspectratio="f"/>
                        <v:textbox inset="0mm,1.27mm,0mm,1.27mm">
                          <w:txbxContent>
                            <w:p>
                              <w:pPr>
                                <w:spacing w:line="240" w:lineRule="auto"/>
                                <w:jc w:val="center"/>
                                <w:rPr>
                                  <w:rFonts w:hint="default" w:eastAsia="宋体"/>
                                  <w:color w:val="auto"/>
                                  <w:lang w:val="en-US" w:eastAsia="zh-CN"/>
                                </w:rPr>
                              </w:pPr>
                              <w:r>
                                <w:rPr>
                                  <w:rFonts w:hint="eastAsia"/>
                                  <w:color w:val="auto"/>
                                  <w:lang w:val="en-US" w:eastAsia="zh-CN"/>
                                </w:rPr>
                                <w:t>项目利用土方23394m</w:t>
                              </w:r>
                              <w:r>
                                <w:rPr>
                                  <w:rFonts w:hint="eastAsia"/>
                                  <w:color w:val="auto"/>
                                  <w:vertAlign w:val="superscript"/>
                                  <w:lang w:val="en-US" w:eastAsia="zh-CN"/>
                                </w:rPr>
                                <w:t>3</w:t>
                              </w:r>
                            </w:p>
                          </w:txbxContent>
                        </v:textbox>
                      </v:shape>
                      <v:line id="直接连接符 112" o:spid="_x0000_s1026" o:spt="20" style="position:absolute;left:1835150;top:1115060;flip:x;height:708660;width:5080;" filled="f" stroked="t" coordsize="21600,21600" o:gfxdata="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5wA5H1QAAAAUBAAAPAAAAAAAAAAEAIAAAACIA&#10;AABkcnMvZG93bnJldi54bWxQSwECFAAUAAAACACHTuJAbCLPUgwCAAAABAAADgAAAAAAAAABACAA&#10;AAAkAQAAZHJzL2Uyb0RvYy54bWxQSwUGAAAAAAYABgBZAQAAogUAAAAA&#10;">
                        <v:fill on="f" focussize="0,0"/>
                        <v:stroke color="#000000" joinstyle="round"/>
                        <v:imagedata o:title=""/>
                        <o:lock v:ext="edit" aspectratio="f"/>
                      </v:line>
                      <v:line id="直接连接符 104" o:spid="_x0000_s1026" o:spt="20" style="position:absolute;left:2052320;top:476250;flip:y;height:3175;width:918210;" filled="f" stroked="t" coordsize="21600,21600" o:gfxdata="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uo32tYA&#10;AAAFAQAADwAAAAAAAAABACAAAAAiAAAAZHJzL2Rvd25yZXYueG1sUEsBAhQAFAAAAAgAh07iQL2i&#10;G1khAgAAKwQAAA4AAAAAAAAAAQAgAAAAJQEAAGRycy9lMm9Eb2MueG1sUEsFBgAAAAAGAAYAWQEA&#10;ALgFAAAAAA==&#10;">
                        <v:fill on="f" focussize="0,0"/>
                        <v:stroke color="#000000" joinstyle="round" endarrow="block"/>
                        <v:imagedata o:title=""/>
                        <o:lock v:ext="edit" aspectratio="f"/>
                      </v:line>
                      <v:shape id="_x0000_s1026" o:spid="_x0000_s1026" o:spt="202" type="#_x0000_t202" style="position:absolute;left:2049780;top:1363980;height:323850;width:988695;" filled="f" stroked="f" coordsize="21600,21600" o:gfxdata="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XPoY1wAAAAUBAAAPAAAAAAAAAAEAIAAA&#10;ACIAAABkcnMvZG93bnJldi54bWxQSwECFAAUAAAACACHTuJAri8Fy0YCAAB1BAAADgAAAAAAAAAB&#10;ACAAAAAmAQAAZHJzL2Uyb0RvYy54bWxQSwUGAAAAAAYABgBZAQAA3gUAAAAA&#10;">
                        <v:fill on="f" focussize="0,0"/>
                        <v:stroke on="f" weight="0.5pt"/>
                        <v:imagedata o:title=""/>
                        <o:lock v:ext="edit" aspectratio="f"/>
                        <v:textbox>
                          <w:txbxContent>
                            <w:p>
                              <w:pPr>
                                <w:rPr>
                                  <w:rFonts w:hint="eastAsia" w:eastAsia="宋体"/>
                                  <w:lang w:val="en-US" w:eastAsia="zh-CN"/>
                                </w:rPr>
                              </w:pPr>
                              <w:r>
                                <w:rPr>
                                  <w:rFonts w:hint="eastAsia"/>
                                  <w:lang w:val="en-US" w:eastAsia="zh-CN"/>
                                </w:rPr>
                                <w:t>石方利用</w:t>
                              </w:r>
                            </w:p>
                          </w:txbxContent>
                        </v:textbox>
                      </v:shape>
                      <v:shape id="_x0000_s1026" o:spid="_x0000_s1026" o:spt="202" type="#_x0000_t202" style="position:absolute;left:2042795;top:226060;height:323850;width:938530;" filled="f" stroked="f" coordsize="21600,21600" o:gfxdata="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c+hjXAAAABQEAAA8AAAAAAAAAAQAgAAAA&#10;IgAAAGRycy9kb3ducmV2LnhtbFBLAQIUABQAAAAIAIdO4kCimm35RQIAAHQEAAAOAAAAAAAAAAEA&#10;IAAAACYBAABkcnMvZTJvRG9jLnhtbFBLBQYAAAAABgAGAFkBAADdBQAAAAA=&#10;">
                        <v:fill on="f" focussize="0,0"/>
                        <v:stroke on="f" weight="0.5pt"/>
                        <v:imagedata o:title=""/>
                        <o:lock v:ext="edit" aspectratio="f"/>
                        <v:textbox>
                          <w:txbxContent>
                            <w:p>
                              <w:pPr>
                                <w:rPr>
                                  <w:rFonts w:hint="eastAsia" w:eastAsia="宋体"/>
                                  <w:lang w:val="en-US" w:eastAsia="zh-CN"/>
                                </w:rPr>
                              </w:pPr>
                              <w:r>
                                <w:rPr>
                                  <w:rFonts w:hint="eastAsia"/>
                                  <w:lang w:val="en-US" w:eastAsia="zh-CN"/>
                                </w:rPr>
                                <w:t>土方利用</w:t>
                              </w:r>
                            </w:p>
                          </w:txbxContent>
                        </v:textbox>
                      </v:shape>
                      <v:shape id="_x0000_s1026" o:spid="_x0000_s1026" o:spt="202" type="#_x0000_t202" style="position:absolute;left:2030730;top:1802130;height:323850;width:951230;" filled="f" stroked="f" coordsize="21600,21600" o:gfxdata="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c+hjXAAAABQEAAA8AAAAAAAAAAQAgAAAA&#10;IgAAAGRycy9kb3ducmV2LnhtbFBLAQIUABQAAAAIAIdO4kBjwl4ORQIAAHUEAAAOAAAAAAAAAAEA&#10;IAAAACY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石方去向</w:t>
                              </w:r>
                            </w:p>
                          </w:txbxContent>
                        </v:textbox>
                      </v:shape>
                      <v:shape id="_x0000_s1026" o:spid="_x0000_s1026" o:spt="202" type="#_x0000_t202" style="position:absolute;left:2056765;top:814070;height:323850;width:905510;" filled="f" stroked="f" coordsize="21600,21600" o:gfxdata="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XPoY1wAAAAUBAAAPAAAAAAAAAAEAIAAA&#10;ACIAAABkcnMvZG93bnJldi54bWxQSwECFAAUAAAACACHTuJAbgmZpUYCAAB0BAAADgAAAAAAAAAB&#10;ACAAAAAm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土方去向</w:t>
                              </w:r>
                            </w:p>
                          </w:txbxContent>
                        </v:textbox>
                      </v:shape>
                      <w10:wrap type="none"/>
                      <w10:anchorlock/>
                    </v:group>
                  </w:pict>
                </mc:Fallback>
              </mc:AlternateContent>
            </w:r>
          </w:p>
          <w:p>
            <w:pPr>
              <w:pStyle w:val="39"/>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图4-1 土石方平衡及流向图</w:t>
            </w:r>
          </w:p>
          <w:p>
            <w:pPr>
              <w:pStyle w:val="39"/>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生活垃圾</w:t>
            </w:r>
          </w:p>
          <w:p>
            <w:pPr>
              <w:keepNext w:val="0"/>
              <w:keepLines w:val="0"/>
              <w:pageBreakBefore w:val="0"/>
              <w:widowControl/>
              <w:suppressLineNumbers w:val="0"/>
              <w:kinsoku/>
              <w:wordWrap/>
              <w:overflowPunct/>
              <w:topLinePunct w:val="0"/>
              <w:autoSpaceDE/>
              <w:autoSpaceDN/>
              <w:bidi w:val="0"/>
              <w:spacing w:line="360" w:lineRule="auto"/>
              <w:ind w:firstLine="560" w:firstLineChars="0"/>
              <w:jc w:val="left"/>
              <w:textAlignment w:val="auto"/>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根据施工总进度安排，本工程平均施工人数为197人，高峰施工人数为256人。</w:t>
            </w:r>
            <w:r>
              <w:rPr>
                <w:rFonts w:hint="default" w:ascii="Times New Roman" w:hAnsi="Times New Roman" w:cs="Times New Roman"/>
                <w:color w:val="000000" w:themeColor="text1"/>
                <w:sz w:val="24"/>
                <w:szCs w:val="24"/>
                <w:lang w:val="en-US" w:eastAsia="zh-CN"/>
                <w14:textFill>
                  <w14:solidFill>
                    <w14:schemeClr w14:val="tx1"/>
                  </w14:solidFill>
                </w14:textFill>
              </w:rPr>
              <w:t>所以</w:t>
            </w:r>
            <w:r>
              <w:rPr>
                <w:rFonts w:hint="default" w:ascii="Times New Roman" w:hAnsi="Times New Roman" w:cs="Times New Roman"/>
                <w:color w:val="000000" w:themeColor="text1"/>
                <w:sz w:val="24"/>
                <w:szCs w:val="24"/>
                <w:lang w:eastAsia="zh-CN"/>
                <w14:textFill>
                  <w14:solidFill>
                    <w14:schemeClr w14:val="tx1"/>
                  </w14:solidFill>
                </w14:textFill>
              </w:rPr>
              <w:t>本工程施工期施工人员产生的生活垃圾约为</w:t>
            </w:r>
            <w:r>
              <w:rPr>
                <w:rFonts w:hint="default" w:ascii="Times New Roman" w:hAnsi="Times New Roman" w:cs="Times New Roman"/>
                <w:color w:val="000000" w:themeColor="text1"/>
                <w:sz w:val="24"/>
                <w:szCs w:val="24"/>
                <w:lang w:val="en-US" w:eastAsia="zh-CN"/>
                <w14:textFill>
                  <w14:solidFill>
                    <w14:schemeClr w14:val="tx1"/>
                  </w14:solidFill>
                </w14:textFill>
              </w:rPr>
              <w:t>197kg/d，</w:t>
            </w:r>
            <w:r>
              <w:rPr>
                <w:rFonts w:hint="default" w:ascii="Times New Roman" w:hAnsi="Times New Roman" w:eastAsia="宋" w:cs="Times New Roman"/>
                <w:color w:val="000000" w:themeColor="text1"/>
                <w:kern w:val="0"/>
                <w:sz w:val="24"/>
                <w:szCs w:val="24"/>
                <w:lang w:val="en-US" w:eastAsia="zh-CN" w:bidi="ar"/>
                <w14:textFill>
                  <w14:solidFill>
                    <w14:schemeClr w14:val="tx1"/>
                  </w14:solidFill>
                </w14:textFill>
              </w:rPr>
              <w:t>生活垃圾若不妥善处理，散乱堆放，将孽生细菌，传播疾病，对施工生活区环境卫生及景观带来不利影响；雨季垃圾受冲刷进入水体和土壤，对水体水质将造成污染。施工期需对生活垃</w:t>
            </w:r>
            <w:r>
              <w:rPr>
                <w:rFonts w:hint="default" w:ascii="宋" w:hAnsi="宋" w:eastAsia="宋" w:cs="宋"/>
                <w:color w:val="000000" w:themeColor="text1"/>
                <w:kern w:val="0"/>
                <w:sz w:val="24"/>
                <w:szCs w:val="24"/>
                <w:lang w:val="en-US" w:eastAsia="zh-CN" w:bidi="ar"/>
                <w14:textFill>
                  <w14:solidFill>
                    <w14:schemeClr w14:val="tx1"/>
                  </w14:solidFill>
                </w14:textFill>
              </w:rPr>
              <w:t>圾妥善处理</w:t>
            </w:r>
            <w:r>
              <w:rPr>
                <w:rFonts w:hint="eastAsia" w:ascii="宋" w:hAnsi="宋" w:eastAsia="宋" w:cs="宋"/>
                <w:color w:val="000000" w:themeColor="text1"/>
                <w:kern w:val="0"/>
                <w:sz w:val="24"/>
                <w:szCs w:val="24"/>
                <w:lang w:val="en-US" w:eastAsia="zh-CN" w:bidi="ar"/>
                <w14:textFill>
                  <w14:solidFill>
                    <w14:schemeClr w14:val="tx1"/>
                  </w14:solidFill>
                </w14:textFill>
              </w:rPr>
              <w:t>，设置</w:t>
            </w:r>
            <w:r>
              <w:rPr>
                <w:rFonts w:hint="default" w:ascii="宋" w:hAnsi="宋" w:eastAsia="宋" w:cs="宋"/>
                <w:color w:val="000000" w:themeColor="text1"/>
                <w:kern w:val="0"/>
                <w:sz w:val="24"/>
                <w:szCs w:val="24"/>
                <w:lang w:val="en-US" w:eastAsia="zh-CN" w:bidi="ar"/>
                <w14:textFill>
                  <w14:solidFill>
                    <w14:schemeClr w14:val="tx1"/>
                  </w14:solidFill>
                </w14:textFill>
              </w:rPr>
              <w:t>垃圾桶收集</w:t>
            </w:r>
            <w:r>
              <w:rPr>
                <w:rFonts w:hint="eastAsia" w:ascii="宋" w:hAnsi="宋" w:eastAsia="宋" w:cs="宋"/>
                <w:color w:val="000000" w:themeColor="text1"/>
                <w:kern w:val="0"/>
                <w:sz w:val="24"/>
                <w:szCs w:val="24"/>
                <w:lang w:val="en-US" w:eastAsia="zh-CN" w:bidi="ar"/>
                <w14:textFill>
                  <w14:solidFill>
                    <w14:schemeClr w14:val="tx1"/>
                  </w14:solidFill>
                </w14:textFill>
              </w:rPr>
              <w:t>生活垃圾</w:t>
            </w:r>
            <w:r>
              <w:rPr>
                <w:rFonts w:hint="default" w:ascii="宋" w:hAnsi="宋" w:eastAsia="宋" w:cs="宋"/>
                <w:color w:val="000000" w:themeColor="text1"/>
                <w:kern w:val="0"/>
                <w:sz w:val="24"/>
                <w:szCs w:val="24"/>
                <w:lang w:val="en-US" w:eastAsia="zh-CN" w:bidi="ar"/>
                <w14:textFill>
                  <w14:solidFill>
                    <w14:schemeClr w14:val="tx1"/>
                  </w14:solidFill>
                </w14:textFill>
              </w:rPr>
              <w:t>，定期运至附近乡镇生活垃圾收集系统处置。</w:t>
            </w:r>
          </w:p>
          <w:p>
            <w:pPr>
              <w:pStyle w:val="39"/>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 w:hAnsi="宋" w:eastAsia="宋" w:cs="宋"/>
                <w:b w:val="0"/>
                <w:bCs w:val="0"/>
                <w:color w:val="000000" w:themeColor="text1"/>
                <w:kern w:val="0"/>
                <w:sz w:val="24"/>
                <w:szCs w:val="24"/>
                <w:lang w:val="en-US" w:eastAsia="zh-CN" w:bidi="ar"/>
                <w14:textFill>
                  <w14:solidFill>
                    <w14:schemeClr w14:val="tx1"/>
                  </w14:solidFill>
                </w14:textFill>
              </w:rPr>
            </w:pPr>
            <w:r>
              <w:rPr>
                <w:rFonts w:ascii="宋" w:hAnsi="宋" w:eastAsia="宋" w:cs="宋"/>
                <w:b w:val="0"/>
                <w:bCs w:val="0"/>
                <w:color w:val="000000" w:themeColor="text1"/>
                <w:kern w:val="0"/>
                <w:sz w:val="24"/>
                <w:szCs w:val="24"/>
                <w:lang w:val="en-US" w:eastAsia="zh-CN" w:bidi="ar"/>
                <w14:textFill>
                  <w14:solidFill>
                    <w14:schemeClr w14:val="tx1"/>
                  </w14:solidFill>
                </w14:textFill>
              </w:rPr>
              <w:t>综上，施工期固废采取上述措施后，区域环境可接受。</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5.生态</w:t>
            </w:r>
            <w:r>
              <w:rPr>
                <w:rFonts w:hint="default"/>
                <w:color w:val="000000" w:themeColor="text1"/>
                <w:lang w:val="en-US" w:eastAsia="zh-CN"/>
                <w14:textFill>
                  <w14:solidFill>
                    <w14:schemeClr w14:val="tx1"/>
                  </w14:solidFill>
                </w14:textFill>
              </w:rPr>
              <w:t>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本项目为</w:t>
            </w:r>
            <w:r>
              <w:rPr>
                <w:rFonts w:hint="eastAsia" w:cs="Times New Roman"/>
                <w:color w:val="000000" w:themeColor="text1"/>
                <w:sz w:val="24"/>
                <w:szCs w:val="21"/>
                <w:highlight w:val="none"/>
                <w:lang w:val="en-US" w:eastAsia="zh-CN"/>
                <w14:textFill>
                  <w14:solidFill>
                    <w14:schemeClr w14:val="tx1"/>
                  </w14:solidFill>
                </w14:textFill>
              </w:rPr>
              <w:t>防洪排涝</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工程，对植被的影响主要在施工期，运营期对植被不产生影响，施工期对植被的影响主要体现在以下几个方面：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eastAsia" w:eastAsia="宋体" w:cs="Times New Roman"/>
                <w:color w:val="000000" w:themeColor="text1"/>
                <w:sz w:val="24"/>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对陆生植物多样性影响分析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拟建项目的建设首先造成永久占地范围用地性质的改变，部分植被将受地表挖填影响而消失，这种占用是无法恢复的，会直接导致永久占地区植被种类和数量的损失。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根据现场调查结果，永久占地范围内的植物物种主要是毛竹林、芒草丛、油茶等植被。这些植物都是当地普通的、常见的植物，未发现特有种以及濒危保护野生植物的分布，项目的建设对区域植物多样性的影响小。施工结束后，利用当地树种对沿线的裸地进行绿化建设及植被的恢复，可弥补植物物种多样性的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eastAsia" w:cs="Times New Roman"/>
                <w:color w:val="000000" w:themeColor="text1"/>
                <w:sz w:val="24"/>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施工活动对植被的影响分析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施工过程中，特别是大开挖施工对植被破坏严重，甚至导致其消失，造成植被群落的层次缺失，使林地群落的结构发生较大改变，群落的稳定性下降，施工阶段应严格控制施工作业带，减少施工活动范围，减轻对项目沿线植被的破坏。</w:t>
            </w:r>
          </w:p>
          <w:p>
            <w:pPr>
              <w:pStyle w:val="39"/>
              <w:keepNext w:val="0"/>
              <w:keepLines w:val="0"/>
              <w:pageBreakBefore w:val="0"/>
              <w:widowControl/>
              <w:numPr>
                <w:ilvl w:val="0"/>
                <w:numId w:val="0"/>
              </w:numPr>
              <w:kinsoku/>
              <w:wordWrap/>
              <w:overflowPunct/>
              <w:topLinePunct w:val="0"/>
              <w:autoSpaceDE/>
              <w:autoSpaceDN/>
              <w:bidi w:val="0"/>
              <w:adjustRightInd w:val="0"/>
              <w:snapToGrid w:val="0"/>
              <w:ind w:leftChars="0" w:firstLine="480" w:firstLineChars="200"/>
              <w:jc w:val="left"/>
              <w:textAlignment w:val="auto"/>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项目工程区域内</w:t>
            </w:r>
            <w:r>
              <w:rPr>
                <w:rFonts w:hint="default" w:ascii="Times New Roman" w:hAnsi="Times New Roman" w:cs="Times New Roman"/>
                <w:b w:val="0"/>
                <w:bCs w:val="0"/>
                <w:color w:val="000000" w:themeColor="text1"/>
                <w:sz w:val="24"/>
                <w:szCs w:val="24"/>
                <w:highlight w:val="none"/>
                <w14:textFill>
                  <w14:solidFill>
                    <w14:schemeClr w14:val="tx1"/>
                  </w14:solidFill>
                </w14:textFill>
              </w:rPr>
              <w:t>陆生植被主要为城镇次生植被、城镇绿化植被、农作物，为人工植被及次生植被，工程施工建设期间将对其生物量、分布格局及生物多样性均造成一定程度的影响。工程结束后通过人工种植绿化树种可以有效地弥补工程建设对区域植被的影响，工程建设对区域陆生植被总体影响较小。</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6.声</w:t>
            </w:r>
            <w:r>
              <w:rPr>
                <w:rFonts w:hint="default"/>
                <w:color w:val="000000" w:themeColor="text1"/>
                <w:lang w:val="en-US" w:eastAsia="zh-CN"/>
                <w14:textFill>
                  <w14:solidFill>
                    <w14:schemeClr w14:val="tx1"/>
                  </w14:solidFill>
                </w14:textFill>
              </w:rPr>
              <w:t>环境影响分</w:t>
            </w:r>
            <w:r>
              <w:rPr>
                <w:rFonts w:hint="eastAsia"/>
                <w:color w:val="000000" w:themeColor="text1"/>
                <w:lang w:val="en-US" w:eastAsia="zh-CN"/>
                <w14:textFill>
                  <w14:solidFill>
                    <w14:schemeClr w14:val="tx1"/>
                  </w14:solidFill>
                </w14:textFill>
              </w:rPr>
              <w:t>析</w:t>
            </w:r>
          </w:p>
          <w:p>
            <w:pPr>
              <w:pStyle w:val="39"/>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（1）施工机械噪声影响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4"/>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t>①施工机械噪声源强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t>施工期的噪声源主要为各种施工机械的施工噪声和运输车辆的辐射噪声，其中混凝土搅拌、浇注持续时间比较长，噪声比较大，对环境的影响也比较大，此外，装载机、挖掘机作业、车辆装卸作业时噪声也比较大，都可能对周围的环境产生不利影响。根据有关资料，施工机械满负荷运转时最大噪声测试值见表4-1。</w:t>
            </w:r>
          </w:p>
          <w:p>
            <w:pPr>
              <w:widowControl w:val="0"/>
              <w:spacing w:line="360" w:lineRule="auto"/>
              <w:jc w:val="center"/>
              <w:rPr>
                <w:rFonts w:ascii="Times New Roman" w:hAnsi="Times New Roman" w:eastAsia="宋体" w:cs="Times New Roman"/>
                <w:b/>
                <w:color w:val="000000" w:themeColor="text1"/>
                <w:kern w:val="0"/>
                <w:sz w:val="24"/>
                <w:szCs w:val="24"/>
                <w:lang w:val="en-US" w:eastAsia="zh-CN" w:bidi="ar-SA"/>
                <w14:textFill>
                  <w14:solidFill>
                    <w14:schemeClr w14:val="tx1"/>
                  </w14:solidFill>
                </w14:textFill>
              </w:rPr>
            </w:pPr>
            <w:r>
              <w:rPr>
                <w:rFonts w:ascii="Times New Roman" w:hAnsi="Times New Roman" w:eastAsia="宋体" w:cs="Times New Roman"/>
                <w:b/>
                <w:color w:val="000000" w:themeColor="text1"/>
                <w:kern w:val="0"/>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0"/>
                <w:sz w:val="24"/>
                <w:szCs w:val="24"/>
                <w:lang w:val="en-US" w:eastAsia="zh-CN" w:bidi="ar-SA"/>
                <w14:textFill>
                  <w14:solidFill>
                    <w14:schemeClr w14:val="tx1"/>
                  </w14:solidFill>
                </w14:textFill>
              </w:rPr>
              <w:t>4-1</w:t>
            </w:r>
            <w:r>
              <w:rPr>
                <w:rFonts w:ascii="Times New Roman" w:hAnsi="Times New Roman" w:eastAsia="宋体" w:cs="Times New Roman"/>
                <w:b/>
                <w:color w:val="000000" w:themeColor="text1"/>
                <w:kern w:val="0"/>
                <w:sz w:val="24"/>
                <w:szCs w:val="24"/>
                <w:lang w:val="en-US" w:eastAsia="zh-CN" w:bidi="ar-SA"/>
                <w14:textFill>
                  <w14:solidFill>
                    <w14:schemeClr w14:val="tx1"/>
                  </w14:solidFill>
                </w14:textFill>
              </w:rPr>
              <w:t>工程施工机械噪声测试值</w:t>
            </w:r>
          </w:p>
          <w:tbl>
            <w:tblPr>
              <w:tblStyle w:val="18"/>
              <w:tblW w:w="8846"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108" w:type="dxa"/>
                <w:bottom w:w="0" w:type="dxa"/>
                <w:right w:w="108" w:type="dxa"/>
              </w:tblCellMar>
            </w:tblPr>
            <w:tblGrid>
              <w:gridCol w:w="3475"/>
              <w:gridCol w:w="3031"/>
              <w:gridCol w:w="234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机械类型</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测点距机械距离（m）</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最大声级（dB）</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推土机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手风钻和支架风钻</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81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水泵</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76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皮带机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拌和机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87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自卸汽车</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载重汽车</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9</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混凝土泵</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动力翻斗车</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2</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84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汽车起重机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灌浆机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9</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砼喷射机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jc w:val="center"/>
              </w:trPr>
              <w:tc>
                <w:tcPr>
                  <w:tcW w:w="347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电焊机</w:t>
                  </w:r>
                </w:p>
              </w:tc>
              <w:tc>
                <w:tcPr>
                  <w:tcW w:w="30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83</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4"/>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t>②施工噪声预测</w:t>
            </w:r>
          </w:p>
          <w:p>
            <w:pPr>
              <w:keepNext w:val="0"/>
              <w:keepLines w:val="0"/>
              <w:pageBreakBefore w:val="0"/>
              <w:tabs>
                <w:tab w:val="left" w:pos="1980"/>
                <w:tab w:val="left" w:pos="3825"/>
                <w:tab w:val="left" w:pos="4680"/>
              </w:tabs>
              <w:kinsoku/>
              <w:wordWrap/>
              <w:overflowPunct/>
              <w:topLinePunct w:val="0"/>
              <w:autoSpaceDE/>
              <w:autoSpaceDN/>
              <w:bidi w:val="0"/>
              <w:spacing w:line="36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在一般情况下，施工设备噪声源均按点声源计算，其噪声预测模式为：</w:t>
            </w:r>
          </w:p>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line="360" w:lineRule="auto"/>
              <w:ind w:firstLine="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114300" distR="114300">
                  <wp:extent cx="1571625" cy="485775"/>
                  <wp:effectExtent l="0" t="0" r="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5"/>
                          <a:stretch>
                            <a:fillRect/>
                          </a:stretch>
                        </pic:blipFill>
                        <pic:spPr>
                          <a:xfrm>
                            <a:off x="0" y="0"/>
                            <a:ext cx="1571625" cy="485775"/>
                          </a:xfrm>
                          <a:prstGeom prst="rect">
                            <a:avLst/>
                          </a:prstGeom>
                          <a:noFill/>
                          <a:ln>
                            <a:noFill/>
                          </a:ln>
                        </pic:spPr>
                      </pic:pic>
                    </a:graphicData>
                  </a:graphic>
                </wp:inline>
              </w:drawing>
            </w:r>
          </w:p>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line="360" w:lineRule="auto"/>
              <w:ind w:firstLine="482"/>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color w:val="000000" w:themeColor="text1"/>
                <w:sz w:val="24"/>
                <w:szCs w:val="24"/>
                <w14:textFill>
                  <w14:solidFill>
                    <w14:schemeClr w14:val="tx1"/>
                  </w14:solidFill>
                </w14:textFill>
              </w:rPr>
              <w:t>L</w:t>
            </w:r>
            <w:r>
              <w:rPr>
                <w:rFonts w:ascii="Times New Roman" w:hAnsi="Times New Roman" w:cs="Times New Roman"/>
                <w:color w:val="000000" w:themeColor="text1"/>
                <w:sz w:val="24"/>
                <w:szCs w:val="24"/>
                <w:vertAlign w:val="subscript"/>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距声源</w:t>
            </w:r>
            <w:r>
              <w:rPr>
                <w:rFonts w:ascii="Times New Roman" w:hAnsi="Times New Roman" w:cs="Times New Roman"/>
                <w:color w:val="000000" w:themeColor="text1"/>
                <w:sz w:val="24"/>
                <w:szCs w:val="24"/>
                <w14:textFill>
                  <w14:solidFill>
                    <w14:schemeClr w14:val="tx1"/>
                  </w14:solidFill>
                </w14:textFill>
              </w:rPr>
              <w:t>r</w:t>
            </w:r>
            <w:r>
              <w:rPr>
                <w:rFonts w:ascii="Times New Roman" w:hAnsi="Times New Roman" w:cs="Times New Roman"/>
                <w:color w:val="000000" w:themeColor="text1"/>
                <w:sz w:val="24"/>
                <w:szCs w:val="24"/>
                <w:vertAlign w:val="subscript"/>
                <w14:textFill>
                  <w14:solidFill>
                    <w14:schemeClr w14:val="tx1"/>
                  </w14:solidFill>
                </w14:textFill>
              </w:rPr>
              <w:t>i</w:t>
            </w:r>
            <w:r>
              <w:rPr>
                <w:rFonts w:hint="eastAsia" w:ascii="Times New Roman" w:hAnsi="Times New Roman" w:cs="Times New Roman"/>
                <w:color w:val="000000" w:themeColor="text1"/>
                <w:sz w:val="24"/>
                <w:szCs w:val="24"/>
                <w14:textFill>
                  <w14:solidFill>
                    <w14:schemeClr w14:val="tx1"/>
                  </w14:solidFill>
                </w14:textFill>
              </w:rPr>
              <w:t>处的声级</w:t>
            </w:r>
            <w:r>
              <w:rPr>
                <w:rFonts w:ascii="Times New Roman" w:hAnsi="Times New Roman" w:cs="Times New Roman"/>
                <w:color w:val="000000" w:themeColor="text1"/>
                <w:sz w:val="24"/>
                <w:szCs w:val="24"/>
                <w14:textFill>
                  <w14:solidFill>
                    <w14:schemeClr w14:val="tx1"/>
                  </w14:solidFill>
                </w14:textFill>
              </w:rPr>
              <w:t>dB(A)</w:t>
            </w:r>
            <w:r>
              <w:rPr>
                <w:rFonts w:hint="eastAsia"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line="360" w:lineRule="auto"/>
              <w:ind w:firstLine="482"/>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w:t>
            </w:r>
            <w:r>
              <w:rPr>
                <w:rFonts w:ascii="Times New Roman" w:hAnsi="Times New Roman" w:cs="Times New Roman"/>
                <w:color w:val="000000" w:themeColor="text1"/>
                <w:sz w:val="24"/>
                <w:szCs w:val="24"/>
                <w:vertAlign w:val="subscript"/>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距声源</w:t>
            </w:r>
            <w:r>
              <w:rPr>
                <w:rFonts w:ascii="Times New Roman" w:hAnsi="Times New Roman" w:cs="Times New Roman"/>
                <w:color w:val="000000" w:themeColor="text1"/>
                <w:sz w:val="24"/>
                <w:szCs w:val="24"/>
                <w14:textFill>
                  <w14:solidFill>
                    <w14:schemeClr w14:val="tx1"/>
                  </w14:solidFill>
                </w14:textFill>
              </w:rPr>
              <w:t>r</w:t>
            </w:r>
            <w:r>
              <w:rPr>
                <w:rFonts w:ascii="Times New Roman" w:hAnsi="Times New Roman" w:cs="Times New Roman"/>
                <w:color w:val="000000" w:themeColor="text1"/>
                <w:sz w:val="24"/>
                <w:szCs w:val="24"/>
                <w:vertAlign w:val="subscript"/>
                <w14:textFill>
                  <w14:solidFill>
                    <w14:schemeClr w14:val="tx1"/>
                  </w14:solidFill>
                </w14:textFill>
              </w:rPr>
              <w:t>0</w:t>
            </w:r>
            <w:r>
              <w:rPr>
                <w:rFonts w:hint="eastAsia" w:ascii="Times New Roman" w:hAnsi="Times New Roman" w:cs="Times New Roman"/>
                <w:color w:val="000000" w:themeColor="text1"/>
                <w:sz w:val="24"/>
                <w:szCs w:val="24"/>
                <w14:textFill>
                  <w14:solidFill>
                    <w14:schemeClr w14:val="tx1"/>
                  </w14:solidFill>
                </w14:textFill>
              </w:rPr>
              <w:t>处的声级</w:t>
            </w:r>
            <w:r>
              <w:rPr>
                <w:rFonts w:ascii="Times New Roman" w:hAnsi="Times New Roman" w:cs="Times New Roman"/>
                <w:color w:val="000000" w:themeColor="text1"/>
                <w:sz w:val="24"/>
                <w:szCs w:val="24"/>
                <w14:textFill>
                  <w14:solidFill>
                    <w14:schemeClr w14:val="tx1"/>
                  </w14:solidFill>
                </w14:textFill>
              </w:rPr>
              <w:t>dB(A)</w:t>
            </w:r>
            <w:r>
              <w:rPr>
                <w:rFonts w:hint="eastAsia"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line="360" w:lineRule="auto"/>
              <w:ind w:firstLine="482"/>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ΔL——</w:t>
            </w:r>
            <w:r>
              <w:rPr>
                <w:rFonts w:hint="eastAsia" w:ascii="Times New Roman" w:hAnsi="Times New Roman" w:cs="Times New Roman"/>
                <w:color w:val="000000" w:themeColor="text1"/>
                <w:sz w:val="24"/>
                <w:szCs w:val="24"/>
                <w14:textFill>
                  <w14:solidFill>
                    <w14:schemeClr w14:val="tx1"/>
                  </w14:solidFill>
                </w14:textFill>
              </w:rPr>
              <w:t>障碍物、植被、空气等产生的附加衰减量。</w:t>
            </w:r>
          </w:p>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line="360" w:lineRule="auto"/>
              <w:ind w:firstLine="482"/>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对于多台施工机械对某个预测点的影响，应进行声级</w:t>
            </w:r>
            <w:r>
              <w:rPr>
                <w:rFonts w:hint="eastAsia" w:cs="Times New Roman"/>
                <w:color w:val="000000" w:themeColor="text1"/>
                <w:sz w:val="24"/>
                <w:szCs w:val="24"/>
                <w:highlight w:val="none"/>
                <w:lang w:eastAsia="zh-CN"/>
                <w14:textFill>
                  <w14:solidFill>
                    <w14:schemeClr w14:val="tx1"/>
                  </w14:solidFill>
                </w14:textFill>
              </w:rPr>
              <w:t>叠加</w:t>
            </w:r>
            <w:r>
              <w:rPr>
                <w:rFonts w:hint="eastAsia"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line="360" w:lineRule="auto"/>
              <w:ind w:firstLine="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114300" distR="114300">
                  <wp:extent cx="1417955" cy="457835"/>
                  <wp:effectExtent l="0" t="0" r="1079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6"/>
                          <a:stretch>
                            <a:fillRect/>
                          </a:stretch>
                        </pic:blipFill>
                        <pic:spPr>
                          <a:xfrm>
                            <a:off x="0" y="0"/>
                            <a:ext cx="1417955" cy="457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根据前述的预测方法和预测模式，对施工过程中各种设备噪声进行计算，得到施工期主要施工机械满负荷运行时不同距离处的噪声影响预测结果见表</w:t>
            </w:r>
            <w:r>
              <w:rPr>
                <w:rFonts w:hint="eastAsia"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color w:val="000000" w:themeColor="text1"/>
                <w:sz w:val="24"/>
                <w:szCs w:val="24"/>
                <w:highlight w:val="none"/>
                <w14:textFill>
                  <w14:solidFill>
                    <w14:schemeClr w14:val="tx1"/>
                  </w14:solidFill>
                </w14:textFill>
              </w:rPr>
              <w:t>由计算可知，施工机械由于噪声级较高，在无遮挡情况下，在空旷地带传播距离很远，多台机械同</w:t>
            </w:r>
            <w:r>
              <w:rPr>
                <w:rFonts w:hint="eastAsia"/>
                <w:color w:val="000000" w:themeColor="text1"/>
                <w:sz w:val="24"/>
                <w:szCs w:val="24"/>
                <w:highlight w:val="none"/>
                <w:lang w:eastAsia="zh-CN"/>
                <w14:textFill>
                  <w14:solidFill>
                    <w14:schemeClr w14:val="tx1"/>
                  </w14:solidFill>
                </w14:textFill>
              </w:rPr>
              <w:t>时施工</w:t>
            </w:r>
            <w:r>
              <w:rPr>
                <w:rFonts w:hint="eastAsia"/>
                <w:color w:val="000000" w:themeColor="text1"/>
                <w:sz w:val="24"/>
                <w:szCs w:val="24"/>
                <w:highlight w:val="none"/>
                <w14:textFill>
                  <w14:solidFill>
                    <w14:schemeClr w14:val="tx1"/>
                  </w14:solidFill>
                </w14:textFill>
              </w:rPr>
              <w:t>场界噪声无法满足《建筑施工场界环境噪声排放标准》（</w:t>
            </w:r>
            <w:r>
              <w:rPr>
                <w:color w:val="000000" w:themeColor="text1"/>
                <w:sz w:val="24"/>
                <w:szCs w:val="24"/>
                <w:highlight w:val="none"/>
                <w14:textFill>
                  <w14:solidFill>
                    <w14:schemeClr w14:val="tx1"/>
                  </w14:solidFill>
                </w14:textFill>
              </w:rPr>
              <w:t>GB12523-2011</w:t>
            </w:r>
            <w:r>
              <w:rPr>
                <w:rFonts w:hint="eastAsia"/>
                <w:color w:val="000000" w:themeColor="text1"/>
                <w:sz w:val="24"/>
                <w:szCs w:val="24"/>
                <w:highlight w:val="none"/>
                <w14:textFill>
                  <w14:solidFill>
                    <w14:schemeClr w14:val="tx1"/>
                  </w14:solidFill>
                </w14:textFill>
              </w:rPr>
              <w:t>）限值。</w:t>
            </w: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auto"/>
              <w:rPr>
                <w:rFonts w:hint="eastAsia"/>
                <w:b/>
                <w:bCs/>
                <w:color w:val="000000" w:themeColor="text1"/>
                <w:sz w:val="24"/>
                <w:szCs w:val="24"/>
                <w:lang w:val="en-US" w:eastAsia="zh-CN"/>
                <w14:textFill>
                  <w14:solidFill>
                    <w14:schemeClr w14:val="tx1"/>
                  </w14:solidFill>
                </w14:textFill>
              </w:rPr>
            </w:pPr>
          </w:p>
          <w:p>
            <w:pPr>
              <w:pStyle w:val="2"/>
              <w:rPr>
                <w:rFonts w:hint="eastAsia"/>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60" w:lineRule="auto"/>
              <w:jc w:val="center"/>
              <w:textAlignment w:val="auto"/>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表4-2</w:t>
            </w:r>
            <w:r>
              <w:rPr>
                <w:rFonts w:hint="eastAsia"/>
                <w:b/>
                <w:bCs/>
                <w:color w:val="000000" w:themeColor="text1"/>
                <w:sz w:val="24"/>
                <w:szCs w:val="24"/>
                <w14:textFill>
                  <w14:solidFill>
                    <w14:schemeClr w14:val="tx1"/>
                  </w14:solidFill>
                </w14:textFill>
              </w:rPr>
              <w:t>主要施工机械不同距离处的噪声预测结果单位：dB（A）</w:t>
            </w:r>
          </w:p>
          <w:tbl>
            <w:tblPr>
              <w:tblStyle w:val="18"/>
              <w:tblW w:w="88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82"/>
              <w:gridCol w:w="2220"/>
              <w:gridCol w:w="680"/>
              <w:gridCol w:w="682"/>
              <w:gridCol w:w="683"/>
              <w:gridCol w:w="682"/>
              <w:gridCol w:w="683"/>
              <w:gridCol w:w="683"/>
              <w:gridCol w:w="683"/>
              <w:gridCol w:w="683"/>
              <w:gridCol w:w="68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24" w:hRule="atLeast"/>
                <w:jc w:val="center"/>
              </w:trPr>
              <w:tc>
                <w:tcPr>
                  <w:tcW w:w="482"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2220" w:type="dxa"/>
                  <w:tcBorders>
                    <w:tl2br w:val="nil"/>
                    <w:tr2bl w:val="nil"/>
                  </w:tcBorders>
                  <w:vAlign w:val="center"/>
                </w:tcPr>
                <w:p>
                  <w:pPr>
                    <w:pStyle w:val="27"/>
                    <w:jc w:val="right"/>
                    <w:rPr>
                      <w:rFonts w:hint="default" w:ascii="Times New Roman" w:hAnsi="Times New Roman" w:cs="Times New Roman"/>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-635</wp:posOffset>
                            </wp:positionV>
                            <wp:extent cx="1365885" cy="610235"/>
                            <wp:effectExtent l="1905" t="4445" r="3810" b="13970"/>
                            <wp:wrapNone/>
                            <wp:docPr id="13" name="直接连接符 13"/>
                            <wp:cNvGraphicFramePr/>
                            <a:graphic xmlns:a="http://schemas.openxmlformats.org/drawingml/2006/main">
                              <a:graphicData uri="http://schemas.microsoft.com/office/word/2010/wordprocessingShape">
                                <wps:wsp>
                                  <wps:cNvCnPr/>
                                  <wps:spPr>
                                    <a:xfrm>
                                      <a:off x="0" y="0"/>
                                      <a:ext cx="1365885" cy="6102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pt;margin-top:-0.05pt;height:48.05pt;width:107.55pt;z-index:251663360;mso-width-relative:page;mso-height-relative:page;" filled="f" stroked="t" coordsize="21600,21600" o:gfxdata="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xVoJdUAAAAHAQAADwAAAAAAAAABACAAAAAiAAAAZHJzL2Rvd25yZXYueG1sUEsB&#10;AhQAFAAAAAgAh07iQAGhwmf4AQAA6wMAAA4AAAAAAAAAAQAgAAAAJAEAAGRycy9lMm9Eb2MueG1s&#10;UEsFBgAAAAAGAAYAWQEAAI4FAAAAAA==&#10;">
                            <v:fill on="f" focussize="0,0"/>
                            <v:stroke color="#000000" joinstyle="round"/>
                            <v:imagedata o:title=""/>
                            <o:lock v:ext="edit" aspectratio="f"/>
                          </v:line>
                        </w:pict>
                      </mc:Fallback>
                    </mc:AlternateContent>
                  </w:r>
                  <w:r>
                    <w:rPr>
                      <w:rFonts w:hint="eastAsia" w:asci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距施工点距离</w:t>
                  </w:r>
                  <w:r>
                    <w:rPr>
                      <w:rFonts w:hint="eastAsia" w:asci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m)</w:t>
                  </w:r>
                </w:p>
                <w:p>
                  <w:pPr>
                    <w:pStyle w:val="27"/>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机械类型</w:t>
                  </w:r>
                </w:p>
              </w:tc>
              <w:tc>
                <w:tcPr>
                  <w:tcW w:w="680"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682"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683"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682"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683"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683"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683"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683"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684" w:type="dxa"/>
                  <w:tcBorders>
                    <w:tl2br w:val="nil"/>
                    <w:tr2bl w:val="nil"/>
                  </w:tcBorders>
                  <w:vAlign w:val="center"/>
                </w:tcPr>
                <w:p>
                  <w:pPr>
                    <w:pStyle w:val="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推土机</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90</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手风钻和支架风钻</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81</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69</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63</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57</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51</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3</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水泵</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76</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4</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皮带机</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84</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71</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65</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5</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拌和机</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87</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81</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6</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自卸汽车</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rFonts w:hint="eastAsia"/>
                      <w:color w:val="000000" w:themeColor="text1"/>
                      <w:kern w:val="2"/>
                      <w:sz w:val="21"/>
                      <w:szCs w:val="24"/>
                      <w:lang w:val="en-US" w:eastAsia="zh-CN" w:bidi="ar-SA"/>
                      <w14:textFill>
                        <w14:solidFill>
                          <w14:schemeClr w14:val="tx1"/>
                        </w14:solidFill>
                      </w14:textFill>
                    </w:rPr>
                    <w:t>88</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76</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7</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载重汽车</w:t>
                  </w:r>
                </w:p>
              </w:tc>
              <w:tc>
                <w:tcPr>
                  <w:tcW w:w="680" w:type="dxa"/>
                  <w:tcBorders>
                    <w:tl2br w:val="nil"/>
                    <w:tr2bl w:val="nil"/>
                  </w:tcBorders>
                  <w:vAlign w:val="center"/>
                </w:tcPr>
                <w:p>
                  <w:pPr>
                    <w:pStyle w:val="24"/>
                    <w:ind w:firstLine="0" w:firstLineChars="0"/>
                    <w:rPr>
                      <w:rFonts w:hint="eastAsia"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0</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8</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混凝土泵</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79</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73</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67</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63</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9</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动力翻斗车</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84</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71</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65</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cs="Times New Roman"/>
                      <w:color w:val="000000" w:themeColor="text1"/>
                      <w:sz w:val="21"/>
                      <w:szCs w:val="21"/>
                      <w:lang w:val="en-US" w:eastAsia="zh-CN"/>
                      <w14:textFill>
                        <w14:solidFill>
                          <w14:schemeClr w14:val="tx1"/>
                        </w14:solidFill>
                      </w14:textFill>
                    </w:rPr>
                    <w:t>0</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汽车起重机</w:t>
                  </w:r>
                </w:p>
              </w:tc>
              <w:tc>
                <w:tcPr>
                  <w:tcW w:w="680" w:type="dxa"/>
                  <w:tcBorders>
                    <w:tl2br w:val="nil"/>
                    <w:tr2bl w:val="nil"/>
                  </w:tcBorders>
                  <w:vAlign w:val="center"/>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90</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center"/>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cs="Times New Roman"/>
                      <w:color w:val="000000" w:themeColor="text1"/>
                      <w:sz w:val="21"/>
                      <w:szCs w:val="21"/>
                      <w:lang w:val="en-US" w:eastAsia="zh-CN"/>
                      <w14:textFill>
                        <w14:solidFill>
                          <w14:schemeClr w14:val="tx1"/>
                        </w14:solidFill>
                      </w14:textFill>
                    </w:rPr>
                    <w:t>1</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灌浆机</w:t>
                  </w:r>
                </w:p>
              </w:tc>
              <w:tc>
                <w:tcPr>
                  <w:tcW w:w="680" w:type="dxa"/>
                  <w:tcBorders>
                    <w:tl2br w:val="nil"/>
                    <w:tr2bl w:val="nil"/>
                  </w:tcBorders>
                  <w:vAlign w:val="center"/>
                </w:tcPr>
                <w:p>
                  <w:pPr>
                    <w:pStyle w:val="24"/>
                    <w:ind w:firstLine="0" w:firstLineChars="0"/>
                    <w:rPr>
                      <w:rFonts w:hint="eastAsia" w:ascii="Times New Roman" w:hAnsi="Times New Roman" w:eastAsia="宋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0</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w:t>
                  </w:r>
                </w:p>
              </w:tc>
              <w:tc>
                <w:tcPr>
                  <w:tcW w:w="682"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68</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683"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4" w:type="dxa"/>
                  <w:tcBorders>
                    <w:tl2br w:val="nil"/>
                    <w:tr2bl w:val="nil"/>
                  </w:tcBorders>
                  <w:vAlign w:val="center"/>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top"/>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12</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砼喷射机</w:t>
                  </w:r>
                </w:p>
              </w:tc>
              <w:tc>
                <w:tcPr>
                  <w:tcW w:w="680" w:type="dxa"/>
                  <w:tcBorders>
                    <w:tl2br w:val="nil"/>
                    <w:tr2bl w:val="nil"/>
                  </w:tcBorders>
                  <w:vAlign w:val="top"/>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83</w:t>
                  </w:r>
                </w:p>
              </w:tc>
              <w:tc>
                <w:tcPr>
                  <w:tcW w:w="682"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77</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71</w:t>
                  </w:r>
                </w:p>
              </w:tc>
              <w:tc>
                <w:tcPr>
                  <w:tcW w:w="682"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65</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57</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w:t>
                  </w:r>
                </w:p>
              </w:tc>
              <w:tc>
                <w:tcPr>
                  <w:tcW w:w="684"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482" w:type="dxa"/>
                  <w:tcBorders>
                    <w:tl2br w:val="nil"/>
                    <w:tr2bl w:val="nil"/>
                  </w:tcBorders>
                  <w:vAlign w:val="top"/>
                </w:tcPr>
                <w:p>
                  <w:pPr>
                    <w:pStyle w:val="2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13</w:t>
                  </w:r>
                </w:p>
              </w:tc>
              <w:tc>
                <w:tcPr>
                  <w:tcW w:w="2220" w:type="dxa"/>
                  <w:tcBorders>
                    <w:tl2br w:val="nil"/>
                    <w:tr2bl w:val="nil"/>
                  </w:tcBorders>
                  <w:vAlign w:val="center"/>
                </w:tcPr>
                <w:p>
                  <w:pPr>
                    <w:pStyle w:val="12"/>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电焊机</w:t>
                  </w:r>
                </w:p>
              </w:tc>
              <w:tc>
                <w:tcPr>
                  <w:tcW w:w="680" w:type="dxa"/>
                  <w:tcBorders>
                    <w:tl2br w:val="nil"/>
                    <w:tr2bl w:val="nil"/>
                  </w:tcBorders>
                  <w:vAlign w:val="top"/>
                </w:tcPr>
                <w:p>
                  <w:pPr>
                    <w:pStyle w:val="24"/>
                    <w:ind w:firstLine="0" w:firstLineChars="0"/>
                    <w:rPr>
                      <w:rFonts w:hint="default" w:ascii="Times New Roman" w:hAnsi="Times New Roman" w:eastAsia="宋体"/>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83</w:t>
                  </w:r>
                </w:p>
              </w:tc>
              <w:tc>
                <w:tcPr>
                  <w:tcW w:w="682"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77</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71</w:t>
                  </w:r>
                </w:p>
              </w:tc>
              <w:tc>
                <w:tcPr>
                  <w:tcW w:w="682"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65</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57</w:t>
                  </w:r>
                </w:p>
              </w:tc>
              <w:tc>
                <w:tcPr>
                  <w:tcW w:w="683"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w:t>
                  </w:r>
                </w:p>
              </w:tc>
              <w:tc>
                <w:tcPr>
                  <w:tcW w:w="684" w:type="dxa"/>
                  <w:tcBorders>
                    <w:tl2br w:val="nil"/>
                    <w:tr2bl w:val="nil"/>
                  </w:tcBorders>
                  <w:vAlign w:val="top"/>
                </w:tcPr>
                <w:p>
                  <w:pPr>
                    <w:pStyle w:val="27"/>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51</w:t>
                  </w:r>
                </w:p>
              </w:tc>
            </w:tr>
          </w:tbl>
          <w:p>
            <w:pPr>
              <w:pStyle w:val="4"/>
              <w:ind w:firstLine="480" w:firstLineChars="200"/>
              <w:rPr>
                <w:rFonts w:hint="eastAsia" w:eastAsia="宋体"/>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因此，</w:t>
            </w:r>
            <w:r>
              <w:rPr>
                <w:rFonts w:hint="eastAsia"/>
                <w:b w:val="0"/>
                <w:bCs w:val="0"/>
                <w:color w:val="000000" w:themeColor="text1"/>
                <w:sz w:val="24"/>
                <w:szCs w:val="24"/>
                <w:highlight w:val="none"/>
                <w14:textFill>
                  <w14:solidFill>
                    <w14:schemeClr w14:val="tx1"/>
                  </w14:solidFill>
                </w14:textFill>
              </w:rPr>
              <w:t>建设单位应要求施工单位严格遵守《中华人民共和国环境噪声污染防治法》中关于建筑施工噪声污染防治的有关规定和《建筑施工场界环境噪声排放标准》（</w:t>
            </w:r>
            <w:r>
              <w:rPr>
                <w:b w:val="0"/>
                <w:bCs w:val="0"/>
                <w:color w:val="000000" w:themeColor="text1"/>
                <w:sz w:val="24"/>
                <w:szCs w:val="24"/>
                <w:highlight w:val="none"/>
                <w14:textFill>
                  <w14:solidFill>
                    <w14:schemeClr w14:val="tx1"/>
                  </w14:solidFill>
                </w14:textFill>
              </w:rPr>
              <w:t>GB12523-2011</w:t>
            </w:r>
            <w:r>
              <w:rPr>
                <w:rFonts w:hint="eastAsia"/>
                <w:b w:val="0"/>
                <w:bCs w:val="0"/>
                <w:color w:val="000000" w:themeColor="text1"/>
                <w:sz w:val="24"/>
                <w:szCs w:val="24"/>
                <w:highlight w:val="none"/>
                <w14:textFill>
                  <w14:solidFill>
                    <w14:schemeClr w14:val="tx1"/>
                  </w14:solidFill>
                </w14:textFill>
              </w:rPr>
              <w:t>）的要求，采用低噪声施工设备，合理安排施工计划并采取严格的施工管理措施，定期对设备进行维护和检修，保证设备运行良好，对高噪声施工设备进行隔声减震处理。加强施工期环境监理，做到文明施工，清洁施</w:t>
            </w:r>
            <w:r>
              <w:rPr>
                <w:rFonts w:hint="eastAsia"/>
                <w:b w:val="0"/>
                <w:bCs w:val="0"/>
                <w:color w:val="000000" w:themeColor="text1"/>
                <w:sz w:val="24"/>
                <w:szCs w:val="24"/>
                <w:highlight w:val="none"/>
                <w:lang w:val="en-US" w:eastAsia="zh-CN"/>
                <w14:textFill>
                  <w14:solidFill>
                    <w14:schemeClr w14:val="tx1"/>
                  </w14:solidFill>
                </w14:textFill>
              </w:rPr>
              <w:t>工。</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7.水土流失影响分析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default" w:eastAsia="宋体" w:cs="Times New Roman"/>
                <w:color w:val="000000" w:themeColor="text1"/>
                <w:sz w:val="24"/>
                <w:szCs w:val="21"/>
                <w:lang w:val="en-US" w:eastAsia="zh-CN"/>
                <w14:textFill>
                  <w14:solidFill>
                    <w14:schemeClr w14:val="tx1"/>
                  </w14:solidFill>
                </w14:textFill>
              </w:rPr>
              <w:t>本工程建设造成的水土流失主要发生在施工期，因此必须采取相应水土流失防治措施，防止水土流失的发生。项目建设新增土壤流失具有强度大、影响时段集中的特点，如不采取相应的有效措施，将在一定程度上加剧项目区水土流失，由此可能影响项目施工</w:t>
            </w:r>
            <w:r>
              <w:rPr>
                <w:rFonts w:hint="eastAsia" w:cs="Times New Roman"/>
                <w:color w:val="000000" w:themeColor="text1"/>
                <w:sz w:val="24"/>
                <w:szCs w:val="21"/>
                <w:lang w:val="en-US" w:eastAsia="zh-CN"/>
                <w14:textFill>
                  <w14:solidFill>
                    <w14:schemeClr w14:val="tx1"/>
                  </w14:solidFill>
                </w14:textFill>
              </w:rPr>
              <w:t>，在</w:t>
            </w:r>
            <w:r>
              <w:rPr>
                <w:rFonts w:hint="default" w:eastAsia="宋体" w:cs="Times New Roman"/>
                <w:color w:val="000000" w:themeColor="text1"/>
                <w:sz w:val="24"/>
                <w:szCs w:val="21"/>
                <w:lang w:val="en-US" w:eastAsia="zh-CN"/>
                <w14:textFill>
                  <w14:solidFill>
                    <w14:schemeClr w14:val="tx1"/>
                  </w14:solidFill>
                </w14:textFill>
              </w:rPr>
              <w:t>项目建设过程中，如对水土流失不加以控制，流失土进入下方，侵占施工便道及施工场地，造成道路及场地泥泞，将对其产生一定影响，影响项目施工建设</w:t>
            </w:r>
            <w:r>
              <w:rPr>
                <w:rFonts w:hint="eastAsia" w:cs="Times New Roman"/>
                <w:color w:val="000000" w:themeColor="text1"/>
                <w:sz w:val="24"/>
                <w:szCs w:val="21"/>
                <w:lang w:val="en-US" w:eastAsia="zh-CN"/>
                <w14:textFill>
                  <w14:solidFill>
                    <w14:schemeClr w14:val="tx1"/>
                  </w14:solidFill>
                </w14:textFill>
              </w:rPr>
              <w:t>。建设过程中，水土流失会</w:t>
            </w:r>
            <w:r>
              <w:rPr>
                <w:rFonts w:hint="default" w:eastAsia="宋体" w:cs="Times New Roman"/>
                <w:color w:val="000000" w:themeColor="text1"/>
                <w:sz w:val="24"/>
                <w:szCs w:val="21"/>
                <w:lang w:val="en-US" w:eastAsia="zh-CN"/>
                <w14:textFill>
                  <w14:solidFill>
                    <w14:schemeClr w14:val="tx1"/>
                  </w14:solidFill>
                </w14:textFill>
              </w:rPr>
              <w:t>影响周边生态</w:t>
            </w:r>
            <w:r>
              <w:rPr>
                <w:rFonts w:hint="eastAsia" w:cs="Times New Roman"/>
                <w:color w:val="000000" w:themeColor="text1"/>
                <w:sz w:val="24"/>
                <w:szCs w:val="21"/>
                <w:lang w:val="en-US" w:eastAsia="zh-CN"/>
                <w14:textFill>
                  <w14:solidFill>
                    <w14:schemeClr w14:val="tx1"/>
                  </w14:solidFill>
                </w14:textFill>
              </w:rPr>
              <w:t>和</w:t>
            </w:r>
            <w:r>
              <w:rPr>
                <w:rFonts w:hint="default" w:eastAsia="宋体" w:cs="Times New Roman"/>
                <w:color w:val="000000" w:themeColor="text1"/>
                <w:sz w:val="24"/>
                <w:szCs w:val="21"/>
                <w:lang w:val="en-US" w:eastAsia="zh-CN"/>
                <w14:textFill>
                  <w14:solidFill>
                    <w14:schemeClr w14:val="tx1"/>
                  </w14:solidFill>
                </w14:textFill>
              </w:rPr>
              <w:t>影响景观</w:t>
            </w:r>
            <w:r>
              <w:rPr>
                <w:rFonts w:hint="eastAsia" w:cs="Times New Roman"/>
                <w:color w:val="000000" w:themeColor="text1"/>
                <w:sz w:val="24"/>
                <w:szCs w:val="21"/>
                <w:lang w:val="en-US" w:eastAsia="zh-CN"/>
                <w14:textFill>
                  <w14:solidFill>
                    <w14:schemeClr w14:val="tx1"/>
                  </w14:solidFill>
                </w14:textFill>
              </w:rPr>
              <w:t>，</w:t>
            </w:r>
            <w:r>
              <w:rPr>
                <w:rFonts w:hint="default" w:eastAsia="宋体" w:cs="Times New Roman"/>
                <w:color w:val="000000" w:themeColor="text1"/>
                <w:sz w:val="24"/>
                <w:szCs w:val="21"/>
                <w:lang w:val="en-US" w:eastAsia="zh-CN"/>
                <w14:textFill>
                  <w14:solidFill>
                    <w14:schemeClr w14:val="tx1"/>
                  </w14:solidFill>
                </w14:textFill>
              </w:rPr>
              <w:t>建设</w:t>
            </w:r>
            <w:r>
              <w:rPr>
                <w:rFonts w:hint="eastAsia" w:cs="Times New Roman"/>
                <w:color w:val="000000" w:themeColor="text1"/>
                <w:sz w:val="24"/>
                <w:szCs w:val="21"/>
                <w:lang w:val="en-US" w:eastAsia="zh-CN"/>
                <w14:textFill>
                  <w14:solidFill>
                    <w14:schemeClr w14:val="tx1"/>
                  </w14:solidFill>
                </w14:textFill>
              </w:rPr>
              <w:t>时会</w:t>
            </w:r>
            <w:r>
              <w:rPr>
                <w:rFonts w:hint="default" w:eastAsia="宋体" w:cs="Times New Roman"/>
                <w:color w:val="000000" w:themeColor="text1"/>
                <w:sz w:val="24"/>
                <w:szCs w:val="21"/>
                <w:lang w:val="en-US" w:eastAsia="zh-CN"/>
                <w14:textFill>
                  <w14:solidFill>
                    <w14:schemeClr w14:val="tx1"/>
                  </w14:solidFill>
                </w14:textFill>
              </w:rPr>
              <w:t>扰动山体原地形地貌，地表裸露面积增加，土壤保水能力也受到一定影响，进而可能对生态造成一定的负面影响。土方开挖填筑造成地表植被破坏，从而造成地表裸露，影响自然景观视觉。</w:t>
            </w:r>
            <w:r>
              <w:rPr>
                <w:rFonts w:hint="eastAsia" w:cs="Times New Roman"/>
                <w:color w:val="000000" w:themeColor="text1"/>
                <w:sz w:val="24"/>
                <w:szCs w:val="21"/>
                <w:lang w:val="en-US" w:eastAsia="zh-CN"/>
                <w14:textFill>
                  <w14:solidFill>
                    <w14:schemeClr w14:val="tx1"/>
                  </w14:solidFill>
                </w14:textFill>
              </w:rPr>
              <w:t>所以</w:t>
            </w:r>
            <w:r>
              <w:rPr>
                <w:rFonts w:hint="default" w:ascii="Times New Roman" w:hAnsi="Times New Roman" w:cs="Times New Roman"/>
                <w:color w:val="000000" w:themeColor="text1"/>
                <w:sz w:val="24"/>
                <w:szCs w:val="24"/>
                <w14:textFill>
                  <w14:solidFill>
                    <w14:schemeClr w14:val="tx1"/>
                  </w14:solidFill>
                </w14:textFill>
              </w:rPr>
              <w:t>需采取严格的水土保持措施，防止水土流失产生。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426" w:type="dxa"/>
            <w:tcMar>
              <w:left w:w="28" w:type="dxa"/>
              <w:right w:w="28" w:type="dxa"/>
            </w:tcMar>
            <w:vAlign w:val="center"/>
          </w:tcPr>
          <w:p>
            <w:pPr>
              <w:pStyle w:val="15"/>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pacing w:val="10"/>
                <w:kern w:val="2"/>
                <w:sz w:val="21"/>
                <w:szCs w:val="21"/>
                <w14:textFill>
                  <w14:solidFill>
                    <w14:schemeClr w14:val="tx1"/>
                  </w14:solidFill>
                </w14:textFill>
              </w:rPr>
              <w:t>运营期生态环境影响分析</w:t>
            </w:r>
          </w:p>
        </w:tc>
        <w:tc>
          <w:tcPr>
            <w:tcW w:w="9066" w:type="dxa"/>
            <w:vAlign w:val="top"/>
          </w:tcPr>
          <w:p>
            <w:pPr>
              <w:adjustRightInd w:val="0"/>
              <w:snapToGrid w:val="0"/>
              <w:spacing w:line="360" w:lineRule="auto"/>
              <w:ind w:firstLine="480" w:firstLineChars="200"/>
              <w:rPr>
                <w:rFonts w:hint="default" w:ascii="宋体" w:hAnsi="宋体" w:eastAsia="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本项目为防洪排涝工程，由拦河坝及库区和隧洞及箱涵组成。</w:t>
            </w:r>
            <w:r>
              <w:rPr>
                <w:rFonts w:hint="eastAsia"/>
                <w:bCs/>
                <w:color w:val="000000" w:themeColor="text1"/>
                <w:sz w:val="24"/>
                <w:lang w:val="en-US" w:eastAsia="zh-CN"/>
                <w14:textFill>
                  <w14:solidFill>
                    <w14:schemeClr w14:val="tx1"/>
                  </w14:solidFill>
                </w14:textFill>
              </w:rPr>
              <w:t>项目运行过程不涉及废水、废气、噪声、固体废物等</w:t>
            </w: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且本工程全程为地埋式设计，箱涵段深度为</w:t>
            </w:r>
            <w:r>
              <w:rPr>
                <w:rFonts w:hint="eastAsia"/>
                <w:bCs/>
                <w:color w:val="000000" w:themeColor="text1"/>
                <w:sz w:val="24"/>
                <w:highlight w:val="none"/>
                <w:lang w:val="en-US" w:eastAsia="zh-CN"/>
                <w14:textFill>
                  <w14:solidFill>
                    <w14:schemeClr w14:val="tx1"/>
                  </w14:solidFill>
                </w14:textFill>
              </w:rPr>
              <w:t>5.6 m</w:t>
            </w:r>
            <w:r>
              <w:rPr>
                <w:rFonts w:hint="eastAsia"/>
                <w:bCs/>
                <w:color w:val="000000" w:themeColor="text1"/>
                <w:sz w:val="24"/>
                <w:lang w:val="en-US" w:eastAsia="zh-CN"/>
                <w14:textFill>
                  <w14:solidFill>
                    <w14:schemeClr w14:val="tx1"/>
                  </w14:solidFill>
                </w14:textFill>
              </w:rPr>
              <w:t>，运营期对沿线生态的影响不大。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26" w:type="dxa"/>
            <w:vAlign w:val="center"/>
          </w:tcPr>
          <w:p>
            <w:pPr>
              <w:pStyle w:val="15"/>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选址选线环境合理性分析</w:t>
            </w:r>
          </w:p>
        </w:tc>
        <w:tc>
          <w:tcPr>
            <w:tcW w:w="9066" w:type="dxa"/>
            <w:vAlign w:val="center"/>
          </w:tcPr>
          <w:p>
            <w:pPr>
              <w:pStyle w:val="4"/>
              <w:numPr>
                <w:ilvl w:val="0"/>
                <w:numId w:val="0"/>
              </w:numPr>
              <w:ind w:leftChars="0" w:firstLine="480" w:firstLineChars="200"/>
              <w:jc w:val="left"/>
              <w:rPr>
                <w:rFonts w:hint="default"/>
                <w:b w:val="0"/>
                <w:bCs w:val="0"/>
                <w:color w:val="000000" w:themeColor="text1"/>
                <w:sz w:val="24"/>
                <w:szCs w:val="24"/>
                <w:lang w:val="en-US" w:eastAsia="zh-CN"/>
                <w14:textFill>
                  <w14:solidFill>
                    <w14:schemeClr w14:val="tx1"/>
                  </w14:solidFill>
                </w14:textFill>
              </w:rPr>
            </w:pPr>
          </w:p>
          <w:p>
            <w:pPr>
              <w:pStyle w:val="4"/>
              <w:numPr>
                <w:ilvl w:val="0"/>
                <w:numId w:val="0"/>
              </w:numPr>
              <w:ind w:leftChars="0" w:firstLine="480" w:firstLineChars="200"/>
              <w:jc w:val="left"/>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（1）项目位于福鼎市硖门畲族乡，项目选线符合福鼎硖门防洪排涝规划要求</w:t>
            </w:r>
            <w:r>
              <w:rPr>
                <w:rFonts w:hint="eastAsia"/>
                <w:b w:val="0"/>
                <w:bCs w:val="0"/>
                <w:color w:val="000000" w:themeColor="text1"/>
                <w:sz w:val="24"/>
                <w:szCs w:val="24"/>
                <w:lang w:val="en-US" w:eastAsia="zh-CN"/>
                <w14:textFill>
                  <w14:solidFill>
                    <w14:schemeClr w14:val="tx1"/>
                  </w14:solidFill>
                </w14:textFill>
              </w:rPr>
              <w:t>。</w:t>
            </w:r>
          </w:p>
          <w:p>
            <w:pPr>
              <w:pStyle w:val="4"/>
              <w:numPr>
                <w:ilvl w:val="0"/>
                <w:numId w:val="0"/>
              </w:numPr>
              <w:ind w:leftChars="0" w:firstLine="480" w:firstLineChars="200"/>
              <w:jc w:val="left"/>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（2）本次工程选址不涉及自然保护区和文化遗产地，项目区不涉及珍稀植物分布地、野生动物栖息地</w:t>
            </w:r>
            <w:r>
              <w:rPr>
                <w:rFonts w:hint="eastAsia"/>
                <w:b w:val="0"/>
                <w:bCs w:val="0"/>
                <w:color w:val="000000" w:themeColor="text1"/>
                <w:sz w:val="24"/>
                <w:szCs w:val="24"/>
                <w:lang w:val="en-US" w:eastAsia="zh-CN"/>
                <w14:textFill>
                  <w14:solidFill>
                    <w14:schemeClr w14:val="tx1"/>
                  </w14:solidFill>
                </w14:textFill>
              </w:rPr>
              <w:t>。</w:t>
            </w:r>
          </w:p>
          <w:p>
            <w:pPr>
              <w:pStyle w:val="4"/>
              <w:numPr>
                <w:ilvl w:val="0"/>
                <w:numId w:val="0"/>
              </w:numPr>
              <w:ind w:firstLine="480" w:firstLineChars="200"/>
              <w:jc w:val="left"/>
              <w:rPr>
                <w:rFonts w:hint="eastAsia"/>
                <w:color w:val="000000" w:themeColor="text1"/>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（3）</w:t>
            </w:r>
            <w:r>
              <w:rPr>
                <w:rFonts w:hint="eastAsia"/>
                <w:b w:val="0"/>
                <w:bCs w:val="0"/>
                <w:color w:val="000000" w:themeColor="text1"/>
                <w:sz w:val="24"/>
                <w:szCs w:val="24"/>
                <w:lang w:val="en-US" w:eastAsia="zh-CN"/>
                <w14:textFill>
                  <w14:solidFill>
                    <w14:schemeClr w14:val="tx1"/>
                  </w14:solidFill>
                </w14:textFill>
              </w:rPr>
              <w:t>工程实施对评价区植被的影响主要源于工程占地，由于</w:t>
            </w:r>
            <w:r>
              <w:rPr>
                <w:rFonts w:hint="default"/>
                <w:b w:val="0"/>
                <w:bCs w:val="0"/>
                <w:color w:val="000000" w:themeColor="text1"/>
                <w:sz w:val="24"/>
                <w:szCs w:val="24"/>
                <w:lang w:val="en-US" w:eastAsia="zh-CN"/>
                <w14:textFill>
                  <w14:solidFill>
                    <w14:schemeClr w14:val="tx1"/>
                  </w14:solidFill>
                </w14:textFill>
              </w:rPr>
              <w:t>本项目采用隧洞加深埋箱涵的方式，且在施工结束后对箱涵地表</w:t>
            </w:r>
            <w:r>
              <w:rPr>
                <w:rFonts w:hint="eastAsia"/>
                <w:b w:val="0"/>
                <w:bCs w:val="0"/>
                <w:color w:val="000000" w:themeColor="text1"/>
                <w:sz w:val="24"/>
                <w:szCs w:val="24"/>
                <w:lang w:val="en-US" w:eastAsia="zh-CN"/>
                <w14:textFill>
                  <w14:solidFill>
                    <w14:schemeClr w14:val="tx1"/>
                  </w14:solidFill>
                </w14:textFill>
              </w:rPr>
              <w:t>进行平整并播撒草种进行植被恢复， 保证植被覆盖率至少恢复到原有水平</w:t>
            </w:r>
            <w:r>
              <w:rPr>
                <w:rFonts w:hint="default"/>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因此</w:t>
            </w:r>
            <w:r>
              <w:rPr>
                <w:rFonts w:hint="default"/>
                <w:b w:val="0"/>
                <w:bCs w:val="0"/>
                <w:color w:val="000000" w:themeColor="text1"/>
                <w:sz w:val="24"/>
                <w:szCs w:val="24"/>
                <w:lang w:val="en-US" w:eastAsia="zh-CN"/>
                <w14:textFill>
                  <w14:solidFill>
                    <w14:schemeClr w14:val="tx1"/>
                  </w14:solidFill>
                </w14:textFill>
              </w:rPr>
              <w:t>对区域生态系统或区域植被影响较小</w:t>
            </w:r>
            <w:r>
              <w:rPr>
                <w:rFonts w:hint="eastAsia"/>
                <w:b w:val="0"/>
                <w:bCs w:val="0"/>
                <w:color w:val="000000" w:themeColor="text1"/>
                <w:sz w:val="24"/>
                <w:szCs w:val="24"/>
                <w:lang w:val="en-US" w:eastAsia="zh-CN"/>
                <w14:textFill>
                  <w14:solidFill>
                    <w14:schemeClr w14:val="tx1"/>
                  </w14:solidFill>
                </w14:textFill>
              </w:rPr>
              <w:t>。</w:t>
            </w:r>
          </w:p>
          <w:p>
            <w:pPr>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（4）工程段涉及溪流的部分基本无鱼类及水生生物分布，无鱼类产卵场、越冬场及索饵场分布。施工结束后，对水生生态的影响将减缓或消除，整体来说，对区域水生生态影响较小。</w:t>
            </w:r>
          </w:p>
          <w:p>
            <w:pPr>
              <w:pStyle w:val="4"/>
              <w:ind w:firstLine="480" w:firstLineChars="200"/>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综上所述，从环境保护角度而言，本项目选线较为合理。</w:t>
            </w:r>
          </w:p>
          <w:p>
            <w:pPr>
              <w:pStyle w:val="4"/>
              <w:rPr>
                <w:rFonts w:hint="default"/>
                <w:color w:val="000000" w:themeColor="text1"/>
                <w:lang w:val="en-US" w:eastAsia="zh-CN"/>
                <w14:textFill>
                  <w14:solidFill>
                    <w14:schemeClr w14:val="tx1"/>
                  </w14:solidFill>
                </w14:textFill>
              </w:rPr>
            </w:pPr>
          </w:p>
        </w:tc>
      </w:tr>
    </w:tbl>
    <w:p>
      <w:pPr>
        <w:pStyle w:val="15"/>
        <w:jc w:val="center"/>
        <w:rPr>
          <w:rFonts w:ascii="黑体" w:hAnsi="黑体" w:eastAsia="黑体"/>
          <w:snapToGrid w:val="0"/>
          <w:color w:val="000000" w:themeColor="text1"/>
          <w:sz w:val="36"/>
          <w:szCs w:val="36"/>
          <w14:textFill>
            <w14:solidFill>
              <w14:schemeClr w14:val="tx1"/>
            </w14:solidFill>
          </w14:textFill>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五、主要生态环境保护措施</w:t>
      </w:r>
    </w:p>
    <w:tbl>
      <w:tblPr>
        <w:tblStyle w:val="18"/>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rFonts w:ascii="宋体" w:hAnsi="宋体"/>
                <w:bCs/>
                <w:color w:val="000000" w:themeColor="text1"/>
                <w:szCs w:val="21"/>
                <w14:textFill>
                  <w14:solidFill>
                    <w14:schemeClr w14:val="tx1"/>
                  </w14:solidFill>
                </w14:textFill>
              </w:rPr>
            </w:pPr>
            <w:r>
              <w:rPr>
                <w:rFonts w:hint="eastAsia" w:ascii="宋体" w:hAnsi="宋体" w:cs="宋体"/>
                <w:bCs/>
                <w:color w:val="000000" w:themeColor="text1"/>
                <w:spacing w:val="10"/>
                <w:szCs w:val="21"/>
                <w14:textFill>
                  <w14:solidFill>
                    <w14:schemeClr w14:val="tx1"/>
                  </w14:solidFill>
                </w14:textFill>
              </w:rPr>
              <w:t>施工期生态环境保护措施</w:t>
            </w:r>
          </w:p>
        </w:tc>
        <w:tc>
          <w:tcPr>
            <w:tcW w:w="8457" w:type="dxa"/>
            <w:vAlign w:val="top"/>
          </w:tcPr>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1.施工期水污染防治措施</w:t>
            </w:r>
          </w:p>
          <w:p>
            <w:p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施工区的混凝土</w:t>
            </w:r>
            <w:r>
              <w:rPr>
                <w:rFonts w:hint="eastAsia"/>
                <w:color w:val="000000" w:themeColor="text1"/>
                <w:sz w:val="24"/>
                <w:szCs w:val="24"/>
                <w:highlight w:val="none"/>
                <w:lang w:val="en-US" w:eastAsia="zh-CN"/>
                <w14:textFill>
                  <w14:solidFill>
                    <w14:schemeClr w14:val="tx1"/>
                  </w14:solidFill>
                </w14:textFill>
              </w:rPr>
              <w:t>搅拌</w:t>
            </w:r>
            <w:r>
              <w:rPr>
                <w:rFonts w:hint="eastAsia"/>
                <w:color w:val="000000" w:themeColor="text1"/>
                <w:sz w:val="24"/>
                <w:szCs w:val="24"/>
                <w:highlight w:val="none"/>
                <w14:textFill>
                  <w14:solidFill>
                    <w14:schemeClr w14:val="tx1"/>
                  </w14:solidFill>
                </w14:textFill>
              </w:rPr>
              <w:t>系统附近，设置沉淀池，混凝土废水经处理后回用不外排。</w:t>
            </w:r>
          </w:p>
          <w:p>
            <w:p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汽车冲洗废水经隔油沉淀池处理后回用于道路洒水降尘。</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w:t>
            </w:r>
            <w:r>
              <w:rPr>
                <w:rFonts w:hint="eastAsia" w:cs="Times New Roman"/>
                <w:bCs/>
                <w:color w:val="000000" w:themeColor="text1"/>
                <w:spacing w:val="0"/>
                <w:sz w:val="24"/>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）隧洞施工的水环境保护措施</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highlight w:val="none"/>
                <w:lang w:val="en-US" w:eastAsia="zh-CN"/>
                <w14:textFill>
                  <w14:solidFill>
                    <w14:schemeClr w14:val="tx1"/>
                  </w14:solidFill>
                </w14:textFill>
              </w:rPr>
              <w:t>①</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合理安排施工时间，尽量避免在大雨时施工，并加强防护，减少因雨水冲刷，造成的泥沙流失进入溪流。</w:t>
            </w:r>
          </w:p>
          <w:p>
            <w:pPr>
              <w:adjustRightInd w:val="0"/>
              <w:snapToGrid w:val="0"/>
              <w:spacing w:line="360" w:lineRule="auto"/>
              <w:ind w:firstLine="480" w:firstLineChars="200"/>
              <w:rPr>
                <w:rFonts w:hint="eastAsia" w:cs="Times New Roman"/>
                <w:bCs/>
                <w:color w:val="000000" w:themeColor="text1"/>
                <w:spacing w:val="0"/>
                <w:sz w:val="24"/>
                <w:highlight w:val="none"/>
                <w:lang w:val="en-US" w:eastAsia="zh-CN"/>
                <w14:textFill>
                  <w14:solidFill>
                    <w14:schemeClr w14:val="tx1"/>
                  </w14:solidFill>
                </w14:textFill>
              </w:rPr>
            </w:pPr>
            <w:r>
              <w:rPr>
                <w:rFonts w:hint="default" w:ascii="Times New Roman" w:hAnsi="Times New Roman" w:eastAsia="微软雅黑" w:cs="Times New Roman"/>
                <w:bCs/>
                <w:color w:val="000000" w:themeColor="text1"/>
                <w:spacing w:val="0"/>
                <w:sz w:val="24"/>
                <w:highlight w:val="none"/>
                <w:lang w:val="en-US" w:eastAsia="zh-CN"/>
                <w14:textFill>
                  <w14:solidFill>
                    <w14:schemeClr w14:val="tx1"/>
                  </w14:solidFill>
                </w14:textFill>
              </w:rPr>
              <w:t>②</w:t>
            </w:r>
            <w:r>
              <w:rPr>
                <w:rFonts w:hint="eastAsia" w:cs="Times New Roman"/>
                <w:bCs/>
                <w:color w:val="000000" w:themeColor="text1"/>
                <w:spacing w:val="0"/>
                <w:sz w:val="24"/>
                <w:highlight w:val="none"/>
                <w:lang w:val="en-US" w:eastAsia="zh-CN"/>
                <w14:textFill>
                  <w14:solidFill>
                    <w14:schemeClr w14:val="tx1"/>
                  </w14:solidFill>
                </w14:textFill>
              </w:rPr>
              <w:t>加强施工区的管理，严格控制施工区范围。</w:t>
            </w:r>
          </w:p>
          <w:p>
            <w:pPr>
              <w:bidi w:val="0"/>
              <w:spacing w:line="360" w:lineRule="auto"/>
              <w:ind w:firstLine="480" w:firstLineChars="200"/>
              <w:rPr>
                <w:rFonts w:hint="default"/>
                <w:color w:val="000000" w:themeColor="text1"/>
                <w:sz w:val="24"/>
                <w:szCs w:val="24"/>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highlight w:val="none"/>
                <w:lang w:val="en-US" w:eastAsia="zh-CN"/>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隧洞涌水通过临时排水沟排至沉淀池，</w:t>
            </w:r>
            <w:r>
              <w:rPr>
                <w:rFonts w:hint="eastAsia" w:hAnsi="仿宋"/>
                <w:color w:val="000000" w:themeColor="text1"/>
                <w:highlight w:val="none"/>
                <w:lang w:val="en-US" w:eastAsia="zh-CN"/>
                <w14:textFill>
                  <w14:solidFill>
                    <w14:schemeClr w14:val="tx1"/>
                  </w14:solidFill>
                </w14:textFill>
              </w:rPr>
              <w:t>沉淀后汇入南埕山隧道所在公路两边自然沟渠或庙后溪。</w:t>
            </w:r>
            <w:r>
              <w:rPr>
                <w:rFonts w:hint="eastAsia"/>
                <w:color w:val="000000" w:themeColor="text1"/>
                <w:sz w:val="24"/>
                <w:szCs w:val="24"/>
                <w:highlight w:val="none"/>
                <w:lang w:val="en-US" w:eastAsia="zh-CN"/>
                <w14:textFill>
                  <w14:solidFill>
                    <w14:schemeClr w14:val="tx1"/>
                  </w14:solidFill>
                </w14:textFill>
              </w:rPr>
              <w:t>隧洞涌水主要污染物为悬浮物，在沉淀池中悬浮物经重力沉降与水分离，排放时可以达到排放标准。</w:t>
            </w:r>
          </w:p>
          <w:p>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施工期间应加强对常规断面的水质监测，出现任何水质超标现象可及时采取应对措施。</w:t>
            </w:r>
          </w:p>
          <w:p>
            <w:pPr>
              <w:pStyle w:val="4"/>
              <w:bidi w:val="0"/>
              <w:rPr>
                <w:color w:val="000000" w:themeColor="text1"/>
                <w14:textFill>
                  <w14:solidFill>
                    <w14:schemeClr w14:val="tx1"/>
                  </w14:solidFill>
                </w14:textFill>
              </w:rPr>
            </w:pPr>
            <w:r>
              <w:rPr>
                <w:color w:val="000000" w:themeColor="text1"/>
                <w14:textFill>
                  <w14:solidFill>
                    <w14:schemeClr w14:val="tx1"/>
                  </w14:solidFill>
                </w14:textFill>
              </w:rPr>
              <w:t>2.施工期大气污染防治措施</w:t>
            </w:r>
          </w:p>
          <w:p>
            <w:pPr>
              <w:pStyle w:val="6"/>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运输扬尘控制措施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①运输车辆行至人口分布较为集中的路段时，应低速行驶或限速行驶，以减少扬尘产生量，同时对这些路段应定时进行路面洒水。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运输车辆的载重应符合有关规定，防止超载。运送土石方和建筑材料的车辆应按规定配置防洒装备，装载不宜过满，实行密闭运输，装载的物料、渣土高度不得超过车辆槽帮上沿，避免在运输过程中发生遗撒或泄漏。对不慎洒落地面的建筑材料，应及时进行清理。</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14:textFill>
                  <w14:solidFill>
                    <w14:schemeClr w14:val="tx1"/>
                  </w14:solidFill>
                </w14:textFill>
              </w:rPr>
              <w:t>加强施工管理，坚持文明装卸，避免袋装材料散包。合理安排施工车辆行驶路线，尽量避开居民集中区，控制施工车辆行驶速度，路经居民区集中区域应尽量减缓行驶车速。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④设置车辆清洗设施以及配套的排水、泥浆沉淀设施，运输车辆应当在除泥、冲洗干净后方可驶出施工工地；运输车辆卸完货后应清洗车厢，工作车辆及运输车辆在离开施工区时冲洗轮胎，检查装车质量。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（2）施工扬尘控制措施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①工程建设期间，施工场地内车行路径应铺设钢板、混凝土或其他功能相当的材料，出口处硬化路面不小于出口宽度，防止机动车扬尘。</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②施工场内的混凝土拌和站设置须符合卫生要求，并在施工时选择合适的风向。水泥、混凝土等散体建筑材料采用仓库、封闭堆场、储藏罐等形式堆放，避免作业起尘和风蚀起尘。</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③工程开挖土方及时回填，减小扬尘影响时间。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④开挖过程中，洒水作业保持一定的湿度；对施工场地内松散、干涸的表土，也应该经常洒水防治粉尘；回填土方时，在表层土质干燥时应适当洒水，防止粉尘飞扬。</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⑤加强回填土方堆放场的管理，采取土方表面压实、定期喷水、覆盖等措施。不需要的建筑材料等应及时运走，不宜长时间堆积。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=6\*GB3\*MERGEFORMAT</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⑥</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建筑工地主要道路应硬化并保持清洁，出口处应设置冲洗设施，运输车辆驶出现场前应将槽帮和车轮冲洗干净，严禁带尘出场；施工过程应设置密目网，防止和减少物料、渣土和垃圾外溢；物料和垃圾应密闭运输，严禁凌空抛散、野蛮装卸；施工土方和水泥、石灰等易产生扬尘污染的料堆应严密遮盖或在库房内存放；工地应设立临时密闭式垃圾堆，堆放不能及时清运的垃圾、渣土</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现</w:t>
            </w:r>
            <w:r>
              <w:rPr>
                <w:rFonts w:hint="default" w:ascii="Times New Roman" w:hAnsi="Times New Roman" w:eastAsia="宋体" w:cs="Times New Roman"/>
                <w:color w:val="000000" w:themeColor="text1"/>
                <w:sz w:val="24"/>
                <w:szCs w:val="24"/>
                <w:highlight w:val="none"/>
                <w14:textFill>
                  <w14:solidFill>
                    <w14:schemeClr w14:val="tx1"/>
                  </w14:solidFill>
                </w14:textFill>
              </w:rPr>
              <w:t>场搅拌设备应采取有效防尘措施。</w:t>
            </w:r>
          </w:p>
          <w:p>
            <w:pPr>
              <w:pStyle w:val="6"/>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（3）堆场扬尘控制措施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若在工地内露天堆置砂石，应采取覆盖防尘布、防尘网等措施，必要时进行喷淋，防止风蚀起尘。材料仓库和临时材料堆放应尽量不靠近水环境等敏感目标，并防止物料散漏污染。仓库四周应有疏水沟系，防止雨水浸湿，水流引起物料流失。</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施工单位应加强施工区的规划管理，施工材料（水泥、砂石骨料等）的堆场应定点定位，缩小粉尘影响范围。</w:t>
            </w:r>
          </w:p>
          <w:p>
            <w:pPr>
              <w:pStyle w:val="6"/>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（3）其他废气控制措施</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选用环保型施工机械、运输车辆，并选用质量较好的燃油，建议在排放口安装合适的尾气吸收装置，减少燃油废气排放。</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②加强对施工机械、运输车辆的维修保养。禁止不符合国家废气排放标准的机械和车辆进入工区，禁止以柴油为燃料的施工机械超负荷工作，减少烟尘和颗粒物排放。</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③配合有关部门</w:t>
            </w:r>
            <w:r>
              <w:rPr>
                <w:rFonts w:hint="eastAsia" w:cs="Times New Roman"/>
                <w:color w:val="000000" w:themeColor="text1"/>
                <w:sz w:val="24"/>
                <w:szCs w:val="24"/>
                <w:highlight w:val="none"/>
                <w:lang w:eastAsia="zh-CN"/>
                <w14:textFill>
                  <w14:solidFill>
                    <w14:schemeClr w14:val="tx1"/>
                  </w14:solidFill>
                </w14:textFill>
              </w:rPr>
              <w:t>做好</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施工期间周边道路的交通组织，避免因施工而造成交通堵塞，减少因此而产生的怠速废气排放。</w:t>
            </w:r>
          </w:p>
          <w:p>
            <w:pPr>
              <w:pStyle w:val="6"/>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（4）人员防护措施</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粉尘、扬尘、燃油产生的污染物对人体健康有害，对受影响的施工人员应做好劳动保护，如佩戴防尘口罩、面罩。必要时可在施工区周围设立简易隔离围屏，将施工区与外环境隔离，减少施工废气对外环境的不利影响。</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②加强对施工人员的环保教育，提高全体施工人员的环保意识，坚持文明施工、科学施工，减少施工期的空气污染。</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③主要工程施工区在非雨日应进行洒水降尘，缩小粉尘影响时间和范围，保障施工人员及村民的身体健康。</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④其它保护措施。垃圾中可燃物，如废纸、废木料、废包装袋等，禁止就地焚烧处理。</w:t>
            </w:r>
          </w:p>
          <w:p>
            <w:pPr>
              <w:pStyle w:val="4"/>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施工期</w:t>
            </w:r>
            <w:r>
              <w:rPr>
                <w:rFonts w:hint="eastAsia"/>
                <w:color w:val="000000" w:themeColor="text1"/>
                <w14:textFill>
                  <w14:solidFill>
                    <w14:schemeClr w14:val="tx1"/>
                  </w14:solidFill>
                </w14:textFill>
              </w:rPr>
              <w:t>噪声污染防治措施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（1）施工单位应选择低噪声作业机械，从根本上降低噪声源强。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加强施工设备的维护保养，发生故障应及时维修，保持润滑，紧固各部件，减少运行振动噪声；改进施工机械，整体设备应安放稳固，并与地面保持良好接触，有条件的应使用减振机座。加强施工管理、文明施工，杜绝施工机械在运行过程中因维护不当而产生的其他噪声。</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合理安排施工车辆行驶线路和时间，注意限速行驶、禁止高音鸣号，以减小地区交通噪声。施工单位要加强施工作业管理，在噪声敏感地段，禁止上课期间、午休时间及夜间（22：00至次日6：00）进行噪声较大的施工作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4）施工单位应合理安排工作人员轮流操作产生高强噪声的施工机械，减少接触高噪声的时间，或穿插安排高噪声和低噪声的工作。加强对施工人员的个人防护，对高噪声设备附近工作的施工人员，可采取配备、使用耳塞、耳机、防声头盔等防噪用具。</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（5）加强对设备的维护和管理，减少设备非正常运行所产生的噪声对周边环境的影响。同时避免因工作人员操作不当、或者对某些故障的处理不当而导致设备噪声提高。</w:t>
            </w:r>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4.施工期固体废物污染控制措施</w:t>
            </w:r>
          </w:p>
          <w:p>
            <w:pPr>
              <w:adjustRightInd w:val="0"/>
              <w:snapToGrid w:val="0"/>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项目施工的建筑垃圾主要包括废弃土方、建筑弃渣和生活垃圾。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弃土</w:t>
            </w:r>
            <w:r>
              <w:rPr>
                <w:rFonts w:hint="eastAsia" w:cs="Times New Roman"/>
                <w:bCs/>
                <w:color w:val="000000" w:themeColor="text1"/>
                <w:sz w:val="24"/>
                <w:highlight w:val="none"/>
                <w:lang w:val="en-US" w:eastAsia="zh-CN"/>
                <w14:textFill>
                  <w14:solidFill>
                    <w14:schemeClr w14:val="tx1"/>
                  </w14:solidFill>
                </w14:textFill>
              </w:rPr>
              <w:t>石</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方：根据工程分析项目临时挖出的表层土全部用于后期绿化覆土、复垦回填，布设于临时堆土场，新建隧洞产生的弃方堆放在临时转运场内，</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作为</w:t>
            </w:r>
            <w:r>
              <w:rPr>
                <w:rFonts w:hint="eastAsia" w:cs="Times New Roman"/>
                <w:bCs/>
                <w:color w:val="000000" w:themeColor="text1"/>
                <w:sz w:val="24"/>
                <w:highlight w:val="none"/>
                <w:lang w:val="en-US" w:eastAsia="zh-CN"/>
                <w14:textFill>
                  <w14:solidFill>
                    <w14:schemeClr w14:val="tx1"/>
                  </w14:solidFill>
                </w14:textFill>
              </w:rPr>
              <w:t>回填</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原料</w:t>
            </w:r>
            <w:r>
              <w:rPr>
                <w:rFonts w:hint="eastAsia" w:cs="Times New Roman"/>
                <w:bCs/>
                <w:color w:val="000000" w:themeColor="text1"/>
                <w:sz w:val="24"/>
                <w:highlight w:val="none"/>
                <w:lang w:val="en-US" w:eastAsia="zh-CN"/>
                <w14:textFill>
                  <w14:solidFill>
                    <w14:schemeClr w14:val="tx1"/>
                  </w14:solidFill>
                </w14:textFill>
              </w:rPr>
              <w:t>3.4667</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自然方</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。尚余</w:t>
            </w:r>
            <w:r>
              <w:rPr>
                <w:rFonts w:hint="eastAsia" w:cs="Times New Roman"/>
                <w:bCs/>
                <w:color w:val="000000" w:themeColor="text1"/>
                <w:sz w:val="24"/>
                <w:highlight w:val="none"/>
                <w:lang w:val="en-US" w:eastAsia="zh-CN"/>
                <w14:textFill>
                  <w14:solidFill>
                    <w14:schemeClr w14:val="tx1"/>
                  </w14:solidFill>
                </w14:textFill>
              </w:rPr>
              <w:t>8.6159</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土方</w:t>
            </w:r>
            <w:r>
              <w:rPr>
                <w:rFonts w:hint="eastAsia" w:cs="Times New Roman"/>
                <w:bCs/>
                <w:color w:val="000000" w:themeColor="text1"/>
                <w:sz w:val="24"/>
                <w:highlight w:val="none"/>
                <w:lang w:val="en-US" w:eastAsia="zh-CN"/>
                <w14:textFill>
                  <w14:solidFill>
                    <w14:schemeClr w14:val="tx1"/>
                  </w14:solidFill>
                </w14:textFill>
              </w:rPr>
              <w:t>2.3066</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，石方</w:t>
            </w:r>
            <w:r>
              <w:rPr>
                <w:rFonts w:hint="eastAsia" w:cs="Times New Roman"/>
                <w:bCs/>
                <w:color w:val="000000" w:themeColor="text1"/>
                <w:sz w:val="24"/>
                <w:highlight w:val="none"/>
                <w:lang w:val="en-US" w:eastAsia="zh-CN"/>
                <w14:textFill>
                  <w14:solidFill>
                    <w14:schemeClr w14:val="tx1"/>
                  </w14:solidFill>
                </w14:textFill>
              </w:rPr>
              <w:t>6.3129</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Cs/>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自然方</w:t>
            </w:r>
            <w:r>
              <w:rPr>
                <w:rFonts w:hint="eastAsia"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需作为弃渣全部运至</w:t>
            </w:r>
            <w:r>
              <w:rPr>
                <w:rFonts w:hint="eastAsia"/>
                <w:color w:val="000000" w:themeColor="text1"/>
                <w:highlight w:val="none"/>
                <w:lang w:val="en-US" w:eastAsia="zh-CN"/>
                <w14:textFill>
                  <w14:solidFill>
                    <w14:schemeClr w14:val="tx1"/>
                  </w14:solidFill>
                </w14:textFill>
              </w:rPr>
              <w:t>其他项目使用。</w:t>
            </w:r>
            <w:r>
              <w:rPr>
                <w:rFonts w:hint="eastAsia" w:cs="Times New Roman"/>
                <w:color w:val="000000" w:themeColor="text1"/>
                <w:sz w:val="24"/>
                <w:szCs w:val="24"/>
                <w:lang w:val="en-US" w:eastAsia="zh-CN"/>
                <w14:textFill>
                  <w14:solidFill>
                    <w14:schemeClr w14:val="tx1"/>
                  </w14:solidFill>
                </w14:textFill>
              </w:rPr>
              <w:t>其中土方运往斗门头文成新村及柏洋工业小区用于场地平整，石方运往硖门畲族乡硖门村所属码头用于外售综合利用</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运输线路选择就近的现有道路，土方在运往斗门头文成新村时约有180m的路段会经过集中居民点（距居民点约10m），运往</w:t>
            </w:r>
            <w:r>
              <w:rPr>
                <w:rFonts w:hint="eastAsia" w:cs="Times New Roman"/>
                <w:color w:val="000000" w:themeColor="text1"/>
                <w:sz w:val="24"/>
                <w:szCs w:val="24"/>
                <w:lang w:val="en-US" w:eastAsia="zh-CN"/>
                <w14:textFill>
                  <w14:solidFill>
                    <w14:schemeClr w14:val="tx1"/>
                  </w14:solidFill>
                </w14:textFill>
              </w:rPr>
              <w:t>柏洋工业小区的线路上零散分布约9户居民点</w:t>
            </w:r>
            <w:r>
              <w:rPr>
                <w:rFonts w:hint="eastAsia" w:cs="Times New Roman"/>
                <w:bCs/>
                <w:color w:val="000000" w:themeColor="text1"/>
                <w:sz w:val="24"/>
                <w:highlight w:val="none"/>
                <w:lang w:val="en-US" w:eastAsia="zh-CN"/>
                <w14:textFill>
                  <w14:solidFill>
                    <w14:schemeClr w14:val="tx1"/>
                  </w14:solidFill>
                </w14:textFill>
              </w:rPr>
              <w:t>（距居民点约12m）</w:t>
            </w:r>
            <w:r>
              <w:rPr>
                <w:rFonts w:hint="eastAsia" w:cs="Times New Roman"/>
                <w:color w:val="000000" w:themeColor="text1"/>
                <w:sz w:val="24"/>
                <w:szCs w:val="24"/>
                <w:lang w:val="en-US" w:eastAsia="zh-CN"/>
                <w14:textFill>
                  <w14:solidFill>
                    <w14:schemeClr w14:val="tx1"/>
                  </w14:solidFill>
                </w14:textFill>
              </w:rPr>
              <w:t>；石方运输路线约有230m的路段经过一处集中居民点</w:t>
            </w:r>
            <w:r>
              <w:rPr>
                <w:rFonts w:hint="eastAsia" w:cs="Times New Roman"/>
                <w:bCs/>
                <w:color w:val="000000" w:themeColor="text1"/>
                <w:sz w:val="24"/>
                <w:highlight w:val="none"/>
                <w:lang w:val="en-US" w:eastAsia="zh-CN"/>
                <w14:textFill>
                  <w14:solidFill>
                    <w14:schemeClr w14:val="tx1"/>
                  </w14:solidFill>
                </w14:textFill>
              </w:rPr>
              <w:t>（距居民点约70m）</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评价要求</w:t>
            </w:r>
            <w:r>
              <w:rPr>
                <w:rFonts w:hint="eastAsia" w:cs="Times New Roman"/>
                <w:bCs/>
                <w:color w:val="000000" w:themeColor="text1"/>
                <w:sz w:val="24"/>
                <w:highlight w:val="none"/>
                <w:lang w:val="en-US" w:eastAsia="zh-CN"/>
                <w14:textFill>
                  <w14:solidFill>
                    <w14:schemeClr w14:val="tx1"/>
                  </w14:solidFill>
                </w14:textFill>
              </w:rPr>
              <w:t>建设单位</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应规范废</w:t>
            </w:r>
            <w:r>
              <w:rPr>
                <w:rFonts w:hint="eastAsia" w:cs="Times New Roman"/>
                <w:bCs/>
                <w:color w:val="000000" w:themeColor="text1"/>
                <w:sz w:val="24"/>
                <w:highlight w:val="none"/>
                <w:lang w:val="en-US" w:eastAsia="zh-CN"/>
                <w14:textFill>
                  <w14:solidFill>
                    <w14:schemeClr w14:val="tx1"/>
                  </w14:solidFill>
                </w14:textFill>
              </w:rPr>
              <w:t>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石的运输，做好防尘、防逸散措施</w:t>
            </w:r>
            <w:r>
              <w:rPr>
                <w:rFonts w:hint="default" w:ascii="Times New Roman" w:hAnsi="Times New Roman" w:eastAsia="宋体" w:cs="Times New Roman"/>
                <w:color w:val="000000" w:themeColor="text1"/>
                <w:sz w:val="24"/>
                <w:szCs w:val="24"/>
                <w:highlight w:val="none"/>
                <w14:textFill>
                  <w14:solidFill>
                    <w14:schemeClr w14:val="tx1"/>
                  </w14:solidFill>
                </w14:textFill>
              </w:rPr>
              <w:t>车辆应按规定配置防洒装备，装载不宜过满，实行密闭运输，装载的物料、渣土高度不得超过车辆槽帮上沿，避免在运输过程中发生遗撒或泄漏。对不慎洒落地面的建筑材料，应及时进行清理</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因此本项目弃方处理可行。</w:t>
            </w:r>
          </w:p>
          <w:p>
            <w:pPr>
              <w:adjustRightInd w:val="0"/>
              <w:snapToGrid w:val="0"/>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（2）建筑弃渣：建筑弃渣主要为混凝土、砖石、砖混等，项目建筑垃圾尽量作为施工便道填方回填，不能利用的应设专门的堆放场所妥善放置，按当地环保部门的要求运至指定的地方填埋，避免其流入水体。</w:t>
            </w:r>
          </w:p>
          <w:p>
            <w:pPr>
              <w:adjustRightInd w:val="0"/>
              <w:snapToGrid w:val="0"/>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（3）生活垃圾：本项目施工期产生生活垃圾收集后交由项目所在地环卫部门统一处理</w:t>
            </w:r>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5.施工期生态环境保护措施</w:t>
            </w:r>
          </w:p>
          <w:p>
            <w:pPr>
              <w:adjustRightInd w:val="0"/>
              <w:snapToGrid w:val="0"/>
              <w:spacing w:line="360" w:lineRule="auto"/>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（1）陆生</w:t>
            </w:r>
            <w:r>
              <w:rPr>
                <w:rFonts w:hint="eastAsia" w:cs="Times New Roman"/>
                <w:bCs/>
                <w:color w:val="000000" w:themeColor="text1"/>
                <w:sz w:val="24"/>
                <w:highlight w:val="none"/>
                <w:lang w:val="en-US" w:eastAsia="zh-CN"/>
                <w14:textFill>
                  <w14:solidFill>
                    <w14:schemeClr w14:val="tx1"/>
                  </w14:solidFill>
                </w14:textFill>
              </w:rPr>
              <w:t>植物</w:t>
            </w:r>
            <w:r>
              <w:rPr>
                <w:rFonts w:hint="eastAsia" w:ascii="Times New Roman" w:hAnsi="Times New Roman" w:eastAsia="宋体" w:cs="Times New Roman"/>
                <w:bCs/>
                <w:color w:val="000000" w:themeColor="text1"/>
                <w:sz w:val="24"/>
                <w:lang w:val="en-US" w:eastAsia="zh-CN"/>
                <w14:textFill>
                  <w14:solidFill>
                    <w14:schemeClr w14:val="tx1"/>
                  </w14:solidFill>
                </w14:textFill>
              </w:rPr>
              <w:t>和</w:t>
            </w:r>
            <w:r>
              <w:rPr>
                <w:rFonts w:hint="eastAsia" w:cs="Times New Roman"/>
                <w:bCs/>
                <w:color w:val="000000" w:themeColor="text1"/>
                <w:sz w:val="24"/>
                <w:lang w:val="en-US" w:eastAsia="zh-CN"/>
                <w14:textFill>
                  <w14:solidFill>
                    <w14:schemeClr w14:val="tx1"/>
                  </w14:solidFill>
                </w14:textFill>
              </w:rPr>
              <w:t>植被</w:t>
            </w:r>
            <w:r>
              <w:rPr>
                <w:rFonts w:hint="eastAsia" w:ascii="Times New Roman" w:hAnsi="Times New Roman" w:eastAsia="宋体" w:cs="Times New Roman"/>
                <w:bCs/>
                <w:color w:val="000000" w:themeColor="text1"/>
                <w:sz w:val="24"/>
                <w:lang w:val="en-US" w:eastAsia="zh-CN"/>
                <w14:textFill>
                  <w14:solidFill>
                    <w14:schemeClr w14:val="tx1"/>
                  </w14:solidFill>
                </w14:textFill>
              </w:rPr>
              <w:t>的保护与恢复</w:t>
            </w:r>
          </w:p>
          <w:p>
            <w:pPr>
              <w:adjustRightInd w:val="0"/>
              <w:snapToGrid w:val="0"/>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w:t>
            </w:r>
            <w:r>
              <w:rPr>
                <w:rFonts w:hint="default" w:ascii="Times New Roman" w:hAnsi="Times New Roman" w:eastAsia="宋体" w:cs="Times New Roman"/>
                <w:bCs/>
                <w:color w:val="000000" w:themeColor="text1"/>
                <w:sz w:val="24"/>
                <w:lang w:val="en-US" w:eastAsia="zh-CN"/>
                <w14:textFill>
                  <w14:solidFill>
                    <w14:schemeClr w14:val="tx1"/>
                  </w14:solidFill>
                </w14:textFill>
              </w:rPr>
              <w:t>保护与恢复</w:t>
            </w:r>
          </w:p>
          <w:p>
            <w:pPr>
              <w:adjustRightInd w:val="0"/>
              <w:snapToGrid w:val="0"/>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为减免工程施工造成的不利影响，工程施工设计中应尽量减少影响面积，把破坏程度降至最低。同时在施工完成后，利用本地物种，对施工区的植被进行恢复，这是影响区生态恢复的关键。具体表现在：</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a.</w:t>
            </w:r>
            <w:r>
              <w:rPr>
                <w:rFonts w:hint="default" w:ascii="Times New Roman" w:hAnsi="Times New Roman" w:eastAsia="宋体" w:cs="Times New Roman"/>
                <w:bCs/>
                <w:color w:val="000000" w:themeColor="text1"/>
                <w:sz w:val="24"/>
                <w:lang w:val="en-US" w:eastAsia="zh-CN"/>
                <w14:textFill>
                  <w14:solidFill>
                    <w14:schemeClr w14:val="tx1"/>
                  </w14:solidFill>
                </w14:textFill>
              </w:rPr>
              <w:t>实施绿化，恢复植被：在所有永久建筑完工后，应立即进行裸露区的植被恢复，包括开挖的坡面两旁等区域。恢复时根据各地段的实际情况，因地制宜地对各类施工迹地进行绿化恢复，尽量减少工程区内的施工痕迹。如原为灌丛</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植被的应恢复为灌丛，原为森林的应恢复为森林等。</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施工迹地的绿化恢复过程中将尽量采用当地树种、草种，最好是利用原自然植被的建群种进行恢复。建群种在整个植被中盖度最大，生物量最大，占有空间也最大，并在建造群落、改造环境以及物质与能量交换中作用最突出。具体可采取人工栽植幼苗的方式，遵循夹杂混合种植、密度适宜、杜绝纯林的原则。</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pacing w:val="0"/>
                <w:sz w:val="24"/>
                <w:lang w:val="en-US" w:eastAsia="zh-CN"/>
                <w14:textFill>
                  <w14:solidFill>
                    <w14:schemeClr w14:val="tx1"/>
                  </w14:solidFill>
                </w14:textFill>
              </w:rPr>
              <w:t>b.</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临时占地迹地恢复：施工结束后，拆除和封闭与项目建设无关的临时设施，并根据各处原有植被状况和植物立地条件等具体情况予以及时恢复。</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pacing w:val="0"/>
                <w:sz w:val="24"/>
                <w:lang w:val="en-US" w:eastAsia="zh-CN"/>
                <w14:textFill>
                  <w14:solidFill>
                    <w14:schemeClr w14:val="tx1"/>
                  </w14:solidFill>
                </w14:textFill>
              </w:rPr>
              <w:t>c.</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临时占地植被恢复：施工临时设施在建设过程中，应充分考虑综合利用要求，进行建筑物美化设计，工程竣工后，施工临时设施中除部分临时建筑物和临时道路结合当地规划予以保留和改建外，其它与工程建设无关的临时设施和道路将全面拆除，对施工临时建筑物及废弃杂物及时清理，整治施工开挖裸露面，再塑施工迹地。植物恢复措施采取就地取材，选用当地的乔、灌、草本物种种植，然后实现植被的自然恢复。</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②施工设计与管理措施</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pacing w:val="0"/>
                <w:sz w:val="24"/>
                <w:lang w:val="en-US" w:eastAsia="zh-CN"/>
                <w14:textFill>
                  <w14:solidFill>
                    <w14:schemeClr w14:val="tx1"/>
                  </w14:solidFill>
                </w14:textFill>
              </w:rPr>
              <w:t>a.</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划定最小施工工作区域：这是有效降低植被受影响范围的关键环节。在施工过程中应划定最小的施工作业区域，严禁施工人员和器械超出施工区域对工地周边的植被、植物物种造成破坏，这是减少植被破坏的有效途径。在施工区域以内，除永久占地要进行开挖之外，不应有其他破坏植被的施工活动。严禁施工材料乱堆乱放、施工垃圾的随意堆放处置，影响植物物种的生长。</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pacing w:val="0"/>
                <w:sz w:val="24"/>
                <w:lang w:val="en-US" w:eastAsia="zh-CN"/>
                <w14:textFill>
                  <w14:solidFill>
                    <w14:schemeClr w14:val="tx1"/>
                  </w14:solidFill>
                </w14:textFill>
              </w:rPr>
              <w:t>b.</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控制施工粉尘：施工材料运输、地面开挖等施工活动将产生大量粉尘，这些粉尘随风四处扩散，附着于植物叶面，对周围植被生境产生不利影响。施工过程中应采取措施从根本上减少粉尘的污染。如工地应配备洒水车定时洒水，防止粉尘飞扬。</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pacing w:val="0"/>
                <w:sz w:val="24"/>
                <w:lang w:val="en-US" w:eastAsia="zh-CN"/>
                <w14:textFill>
                  <w14:solidFill>
                    <w14:schemeClr w14:val="tx1"/>
                  </w14:solidFill>
                </w14:textFill>
              </w:rPr>
              <w:t>c.</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加固措施：如对裸露面及其上部的植被拉网加固，防止植被移位和裸露面滚石下落。柱框架结构加固措施，防止在雨水冲刷下裸露面水土流失严重，植物难以在表面生长，同时裸露面上方的现存植被也应该进行一定的拉铁丝网加固措施，防止植被发生整体移位。</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③防火</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非施工区严禁烟火。结合工程施工规划，做好施工人员吸烟和其他生活和生产用火的火源管理，加强防火宣传教育，建立施工区森林防火及火警警报系统和管理制度，一旦出现火情，立即向林业主管部门和地方有关主管部门进行通报，同时组织人员协同当地群众积极灭火，以确保施工期内施工区附近区域的森林资源火情安全。</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（2）陆生动物的保护与恢复</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对陆生动物的影响来自几个方面的因素：土地利用格局的改变，污染和偷猎，因此要减免规划管线线路对动物的影响就必须从以下方面入手。</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施工阶段是工程项目的最关键阶段，也是对流域保护动物资源影响最为直接和敏感的阶段。主要是由施工机械和大量人工造成影响，保护对策如下：</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①遵循</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ascii="宋体" w:hAnsi="宋体" w:eastAsia="宋体" w:cs="宋体"/>
                <w:bCs/>
                <w:color w:val="000000" w:themeColor="text1"/>
                <w:spacing w:val="0"/>
                <w:sz w:val="24"/>
                <w:lang w:val="en-US" w:eastAsia="zh-CN"/>
                <w14:textFill>
                  <w14:solidFill>
                    <w14:schemeClr w14:val="tx1"/>
                  </w14:solidFill>
                </w14:textFill>
              </w:rPr>
              <w:t>“预防为主，保护优先”</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的动物资源保护原则，做到施工建设和动物资源保护同步设计、同步施工、同步投产的原则；</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②施工中若遇野生动物，严禁捕捉，并立即安全护送其回归山林；</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③加强对施工人员的环境保护和动物保护意识的宣传教育，指导野生保护动物的简易识别及保护方法的学习和普及，便于对现场情况及时进行抢救、保护或安全转移；</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④实行环保目标责任制，加强施工期间的生态监理和环保检查。建立项目</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监理部门和建设部门的环保专职人员小组，监督施工过程中的生态保护措施和行为，严格规范施工人员的日常生活污水和生活垃圾的丢弃范围，防止捕猎，加强动物检疫和环境监测；</w:t>
            </w:r>
          </w:p>
          <w:p>
            <w:pPr>
              <w:adjustRightInd w:val="0"/>
              <w:snapToGrid w:val="0"/>
              <w:spacing w:line="360" w:lineRule="auto"/>
              <w:ind w:firstLine="480" w:firstLineChars="200"/>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⑤施工作业期间，所有产噪设备均采取消声措施，</w:t>
            </w:r>
            <w:r>
              <w:rPr>
                <w:rFonts w:hint="default" w:ascii="Times New Roman" w:hAnsi="Times New Roman" w:eastAsia="宋体" w:cs="Times New Roman"/>
                <w:bCs/>
                <w:color w:val="000000" w:themeColor="text1"/>
                <w:spacing w:val="0"/>
                <w:sz w:val="24"/>
                <w:highlight w:val="none"/>
                <w:lang w:val="en-US" w:eastAsia="zh-CN"/>
                <w14:textFill>
                  <w14:solidFill>
                    <w14:schemeClr w14:val="tx1"/>
                  </w14:solidFill>
                </w14:textFill>
              </w:rPr>
              <w:t>减小</w:t>
            </w:r>
            <w:r>
              <w:rPr>
                <w:rFonts w:hint="default" w:ascii="Times New Roman" w:hAnsi="Times New Roman" w:eastAsia="宋体" w:cs="Times New Roman"/>
                <w:bCs/>
                <w:color w:val="000000" w:themeColor="text1"/>
                <w:spacing w:val="0"/>
                <w:sz w:val="24"/>
                <w:lang w:val="en-US" w:eastAsia="zh-CN"/>
                <w14:textFill>
                  <w14:solidFill>
                    <w14:schemeClr w14:val="tx1"/>
                  </w14:solidFill>
                </w14:textFill>
              </w:rPr>
              <w:t>机械污油排放，禁止鸣笛，夜间尽量少用强光灯。</w:t>
            </w:r>
          </w:p>
          <w:p>
            <w:pPr>
              <w:adjustRightInd w:val="0"/>
              <w:snapToGrid w:val="0"/>
              <w:spacing w:line="360" w:lineRule="auto"/>
              <w:ind w:firstLine="480" w:firstLineChars="200"/>
              <w:rPr>
                <w:rFonts w:hint="default" w:cs="Times New Roman"/>
                <w:bCs/>
                <w:color w:val="000000" w:themeColor="text1"/>
                <w:spacing w:val="0"/>
                <w:sz w:val="24"/>
                <w:lang w:val="en-US" w:eastAsia="zh-CN"/>
                <w14:textFill>
                  <w14:solidFill>
                    <w14:schemeClr w14:val="tx1"/>
                  </w14:solidFill>
                </w14:textFill>
              </w:rPr>
            </w:pPr>
            <w:r>
              <w:rPr>
                <w:rFonts w:hint="eastAsia" w:cs="Times New Roman"/>
                <w:bCs/>
                <w:color w:val="000000" w:themeColor="text1"/>
                <w:spacing w:val="0"/>
                <w:sz w:val="24"/>
                <w:lang w:val="en-US" w:eastAsia="zh-CN"/>
                <w14:textFill>
                  <w14:solidFill>
                    <w14:schemeClr w14:val="tx1"/>
                  </w14:solidFill>
                </w14:textFill>
              </w:rPr>
              <w:t>（3）其他生态保护措施</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①对管道施工临时用地合理规划，严格控制施工作业带宽度。施工过程中应按照确定的施工范围，使用显著标志</w:t>
            </w:r>
            <w:r>
              <w:rPr>
                <w:rFonts w:hint="eastAsia" w:ascii="宋体" w:hAnsi="宋体" w:cs="宋体"/>
                <w:bCs/>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如彩旗或彩色条带</w:t>
            </w:r>
            <w:r>
              <w:rPr>
                <w:rFonts w:hint="eastAsia" w:ascii="宋体" w:hAnsi="宋体" w:cs="宋体"/>
                <w:bCs/>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加以界定。</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施工中人员和车辆活动应控制在施工作业带范围内，减少土壤扰动和地表植被破坏，减少裸地和土方暴露面积。</w:t>
            </w:r>
          </w:p>
          <w:p>
            <w:pPr>
              <w:adjustRightInd w:val="0"/>
              <w:snapToGrid w:val="0"/>
              <w:spacing w:line="360" w:lineRule="auto"/>
              <w:ind w:firstLine="480" w:firstLineChars="200"/>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②要执行先修道路，后设点作业的原则进行</w:t>
            </w:r>
            <w:r>
              <w:rPr>
                <w:rFonts w:hint="eastAsia" w:cs="Times New Roman"/>
                <w:bCs/>
                <w:color w:val="000000" w:themeColor="text1"/>
                <w:spacing w:val="0"/>
                <w:sz w:val="24"/>
                <w:lang w:val="en-US" w:eastAsia="zh-CN"/>
                <w14:textFill>
                  <w14:solidFill>
                    <w14:schemeClr w14:val="tx1"/>
                  </w14:solidFill>
                </w14:textFill>
              </w:rPr>
              <w:t>，先修好进场道路后再建设施工区</w:t>
            </w: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。杜绝车辆乱碾乱轧的情况发生，不随意开设便道。管线尽量沿公路</w:t>
            </w:r>
            <w:r>
              <w:rPr>
                <w:rFonts w:hint="eastAsia" w:cs="Times New Roman"/>
                <w:bCs/>
                <w:color w:val="000000" w:themeColor="text1"/>
                <w:spacing w:val="0"/>
                <w:sz w:val="24"/>
                <w:highlight w:val="none"/>
                <w:lang w:val="en-US" w:eastAsia="zh-CN"/>
                <w14:textFill>
                  <w14:solidFill>
                    <w14:schemeClr w14:val="tx1"/>
                  </w14:solidFill>
                </w14:textFill>
              </w:rPr>
              <w:t>两侧</w:t>
            </w: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平行布置，便于施工及运营期检修维护，避免修筑专门施工便道。</w:t>
            </w:r>
          </w:p>
          <w:p>
            <w:pPr>
              <w:pStyle w:val="4"/>
              <w:spacing w:line="360" w:lineRule="auto"/>
              <w:ind w:firstLine="480" w:firstLineChars="20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kern w:val="2"/>
                <w:sz w:val="24"/>
                <w:szCs w:val="24"/>
                <w:lang w:val="en-US" w:eastAsia="zh-CN" w:bidi="ar-SA"/>
                <w14:textFill>
                  <w14:solidFill>
                    <w14:schemeClr w14:val="tx1"/>
                  </w14:solidFill>
                </w14:textFill>
              </w:rPr>
              <w:t>③施工作业机械应严格管理，划定活动范围，不得在道路以外的地方行驶和作业，保持路外植被不被破坏。</w:t>
            </w:r>
          </w:p>
          <w:p>
            <w:pPr>
              <w:pStyle w:val="4"/>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6.施工期水土保持措施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水土保持方案技术规范，水土流失防治措施总体布局应遵循“预防为主、保护优先、全面规划、综合治理、因地制宜、突出重点、科学管理、注重效益”的方针，按照预防和治理相结合的原则，坚持局部和整体防治、单项措施与综合防治相协调、兼顾生态效益和经济效益，按水土流失分区进行措施布置</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做好临时用地的绿化恢复工作，将箱涵开挖两侧堆积弃土方进行回填平整并播撒草种进行植被恢复， 保证植被覆盖率至少恢复到原有水平。</w:t>
            </w:r>
            <w:r>
              <w:rPr>
                <w:rFonts w:hint="default" w:ascii="Times New Roman" w:hAnsi="Times New Roman" w:eastAsia="宋体" w:cs="Times New Roman"/>
                <w:color w:val="000000" w:themeColor="text1"/>
                <w:sz w:val="24"/>
                <w:szCs w:val="24"/>
                <w:lang w:eastAsia="zh-CN"/>
                <w14:textFill>
                  <w14:solidFill>
                    <w14:schemeClr w14:val="tx1"/>
                  </w14:solidFill>
                </w14:textFill>
              </w:rPr>
              <w:t>根据水土流失预测、水土保持分区，本工程水土流失防治措施体系框图见图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5-1。</w:t>
            </w:r>
          </w:p>
          <w:p>
            <w:pPr>
              <w:jc w:val="center"/>
              <w:rPr>
                <w:rFonts w:hint="default"/>
                <w:b/>
                <w:bCs/>
                <w:color w:val="000000" w:themeColor="text1"/>
                <w:sz w:val="24"/>
                <w:szCs w:val="24"/>
                <w:lang w:val="en-US" w:eastAsia="zh-CN"/>
                <w14:textFill>
                  <w14:solidFill>
                    <w14:schemeClr w14:val="tx1"/>
                  </w14:solidFill>
                </w14:textFill>
              </w:rPr>
            </w:pPr>
            <w:r>
              <w:rPr>
                <w:b/>
                <w:color w:val="000000" w:themeColor="text1"/>
                <w:sz w:val="16"/>
                <w:szCs w:val="16"/>
                <w14:textFill>
                  <w14:solidFill>
                    <w14:schemeClr w14:val="tx1"/>
                  </w14:solidFill>
                </w14:textFill>
              </w:rPr>
              <w:drawing>
                <wp:anchor distT="0" distB="0" distL="114300" distR="114300" simplePos="0" relativeHeight="251662336" behindDoc="0" locked="0" layoutInCell="1" allowOverlap="1">
                  <wp:simplePos x="0" y="0"/>
                  <wp:positionH relativeFrom="column">
                    <wp:posOffset>-68580</wp:posOffset>
                  </wp:positionH>
                  <wp:positionV relativeFrom="paragraph">
                    <wp:posOffset>41275</wp:posOffset>
                  </wp:positionV>
                  <wp:extent cx="5363210" cy="2764790"/>
                  <wp:effectExtent l="0" t="0" r="8890" b="16510"/>
                  <wp:wrapTopAndBottom/>
                  <wp:docPr id="7" name="图片 48" descr="C:\∞\福鼎市硖门畲族乡庙后溪山洪治理（高水高排）工程\图件\水土.png水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8" descr="C:\∞\福鼎市硖门畲族乡庙后溪山洪治理（高水高排）工程\图件\水土.png水土"/>
                          <pic:cNvPicPr>
                            <a:picLocks noChangeAspect="1"/>
                          </pic:cNvPicPr>
                        </pic:nvPicPr>
                        <pic:blipFill>
                          <a:blip r:embed="rId37"/>
                          <a:srcRect l="3000" t="5796" b="8786"/>
                          <a:stretch>
                            <a:fillRect/>
                          </a:stretch>
                        </pic:blipFill>
                        <pic:spPr>
                          <a:xfrm>
                            <a:off x="0" y="0"/>
                            <a:ext cx="5363210" cy="2764790"/>
                          </a:xfrm>
                          <a:prstGeom prst="rect">
                            <a:avLst/>
                          </a:prstGeom>
                          <a:noFill/>
                          <a:ln>
                            <a:noFill/>
                          </a:ln>
                        </pic:spPr>
                      </pic:pic>
                    </a:graphicData>
                  </a:graphic>
                </wp:anchor>
              </w:drawing>
            </w:r>
            <w:r>
              <w:rPr>
                <w:rFonts w:hint="eastAsia"/>
                <w:b/>
                <w:bCs/>
                <w:color w:val="000000" w:themeColor="text1"/>
                <w:sz w:val="24"/>
                <w:szCs w:val="24"/>
                <w:lang w:val="en-US" w:eastAsia="zh-CN"/>
                <w14:textFill>
                  <w14:solidFill>
                    <w14:schemeClr w14:val="tx1"/>
                  </w14:solidFill>
                </w14:textFill>
              </w:rPr>
              <w:t>图5-1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水土流失防治措施体系框图</w:t>
            </w:r>
          </w:p>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环境监测计划</w:t>
            </w:r>
          </w:p>
          <w:p>
            <w:pPr>
              <w:adjustRightInd w:val="0"/>
              <w:snapToGrid w:val="0"/>
              <w:spacing w:line="360" w:lineRule="auto"/>
              <w:ind w:firstLine="520" w:firstLineChars="200"/>
              <w:outlineLvl w:val="2"/>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本项目环境监测计划具体见表</w:t>
            </w:r>
            <w:r>
              <w:rPr>
                <w:rFonts w:hint="eastAsia"/>
                <w:bCs/>
                <w:color w:val="000000" w:themeColor="text1"/>
                <w:spacing w:val="10"/>
                <w:sz w:val="24"/>
                <w:lang w:val="en-US" w:eastAsia="zh-CN"/>
                <w14:textFill>
                  <w14:solidFill>
                    <w14:schemeClr w14:val="tx1"/>
                  </w14:solidFill>
                </w14:textFill>
              </w:rPr>
              <w:t>5</w:t>
            </w:r>
            <w:r>
              <w:rPr>
                <w:bCs/>
                <w:color w:val="000000" w:themeColor="text1"/>
                <w:spacing w:val="10"/>
                <w:sz w:val="24"/>
                <w14:textFill>
                  <w14:solidFill>
                    <w14:schemeClr w14:val="tx1"/>
                  </w14:solidFill>
                </w14:textFill>
              </w:rPr>
              <w:t>-1。</w:t>
            </w:r>
          </w:p>
          <w:p>
            <w:pPr>
              <w:pStyle w:val="4"/>
              <w:rPr>
                <w:bCs/>
                <w:color w:val="000000" w:themeColor="text1"/>
                <w:spacing w:val="10"/>
                <w:sz w:val="24"/>
                <w14:textFill>
                  <w14:solidFill>
                    <w14:schemeClr w14:val="tx1"/>
                  </w14:solidFill>
                </w14:textFill>
              </w:rPr>
            </w:pPr>
          </w:p>
          <w:p>
            <w:pPr>
              <w:rPr>
                <w:bCs/>
                <w:color w:val="000000" w:themeColor="text1"/>
                <w:spacing w:val="10"/>
                <w:sz w:val="24"/>
                <w14:textFill>
                  <w14:solidFill>
                    <w14:schemeClr w14:val="tx1"/>
                  </w14:solidFill>
                </w14:textFill>
              </w:rPr>
            </w:pPr>
          </w:p>
          <w:p>
            <w:pPr>
              <w:pStyle w:val="4"/>
              <w:rPr>
                <w:bCs/>
                <w:color w:val="000000" w:themeColor="text1"/>
                <w:spacing w:val="10"/>
                <w:sz w:val="24"/>
                <w14:textFill>
                  <w14:solidFill>
                    <w14:schemeClr w14:val="tx1"/>
                  </w14:solidFill>
                </w14:textFill>
              </w:rPr>
            </w:pPr>
          </w:p>
          <w:p>
            <w:pPr>
              <w:rPr>
                <w:bCs/>
                <w:color w:val="000000" w:themeColor="text1"/>
                <w:spacing w:val="10"/>
                <w:sz w:val="24"/>
                <w14:textFill>
                  <w14:solidFill>
                    <w14:schemeClr w14:val="tx1"/>
                  </w14:solidFill>
                </w14:textFill>
              </w:rPr>
            </w:pPr>
          </w:p>
          <w:p>
            <w:pPr>
              <w:pStyle w:val="4"/>
            </w:pPr>
          </w:p>
          <w:p>
            <w:pPr>
              <w:adjustRightInd w:val="0"/>
              <w:snapToGrid w:val="0"/>
              <w:ind w:firstLine="422"/>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表</w:t>
            </w:r>
            <w:r>
              <w:rPr>
                <w:rFonts w:hint="eastAsia"/>
                <w:b/>
                <w:bCs/>
                <w:color w:val="000000" w:themeColor="text1"/>
                <w:kern w:val="0"/>
                <w:sz w:val="24"/>
                <w:szCs w:val="24"/>
                <w:lang w:val="en-US" w:eastAsia="zh-CN"/>
                <w14:textFill>
                  <w14:solidFill>
                    <w14:schemeClr w14:val="tx1"/>
                  </w14:solidFill>
                </w14:textFill>
              </w:rPr>
              <w:t>5</w:t>
            </w:r>
            <w:r>
              <w:rPr>
                <w:b/>
                <w:bCs/>
                <w:color w:val="000000" w:themeColor="text1"/>
                <w:kern w:val="0"/>
                <w:sz w:val="24"/>
                <w:szCs w:val="24"/>
                <w14:textFill>
                  <w14:solidFill>
                    <w14:schemeClr w14:val="tx1"/>
                  </w14:solidFill>
                </w14:textFill>
              </w:rPr>
              <w:t>-1 环境噪监测计划</w:t>
            </w:r>
          </w:p>
          <w:tbl>
            <w:tblPr>
              <w:tblStyle w:val="18"/>
              <w:tblW w:w="82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984"/>
              <w:gridCol w:w="1975"/>
              <w:gridCol w:w="1274"/>
              <w:gridCol w:w="1701"/>
              <w:gridCol w:w="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8" w:type="dxa"/>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阶段</w:t>
                  </w:r>
                </w:p>
              </w:tc>
              <w:tc>
                <w:tcPr>
                  <w:tcW w:w="1984" w:type="dxa"/>
                  <w:vAlign w:val="center"/>
                </w:tcPr>
                <w:p>
                  <w:pPr>
                    <w:pStyle w:val="17"/>
                    <w:snapToGrid w:val="0"/>
                    <w:spacing w:after="0" w:line="240" w:lineRule="auto"/>
                    <w:ind w:left="0" w:lef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监测因子</w:t>
                  </w:r>
                </w:p>
              </w:tc>
              <w:tc>
                <w:tcPr>
                  <w:tcW w:w="1975" w:type="dxa"/>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监测地点</w:t>
                  </w:r>
                </w:p>
              </w:tc>
              <w:tc>
                <w:tcPr>
                  <w:tcW w:w="1274" w:type="dxa"/>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监测频次</w:t>
                  </w:r>
                </w:p>
              </w:tc>
              <w:tc>
                <w:tcPr>
                  <w:tcW w:w="1701" w:type="dxa"/>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实施机构</w:t>
                  </w:r>
                </w:p>
              </w:tc>
              <w:tc>
                <w:tcPr>
                  <w:tcW w:w="699" w:type="dxa"/>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负责机构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608" w:type="dxa"/>
                  <w:vMerge w:val="restart"/>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施工期</w:t>
                  </w:r>
                </w:p>
              </w:tc>
              <w:tc>
                <w:tcPr>
                  <w:tcW w:w="1984" w:type="dxa"/>
                  <w:vAlign w:val="center"/>
                </w:tcPr>
                <w:p>
                  <w:pPr>
                    <w:pStyle w:val="17"/>
                    <w:snapToGrid w:val="0"/>
                    <w:spacing w:after="0" w:line="240" w:lineRule="auto"/>
                    <w:ind w:left="0" w:leftChars="0"/>
                    <w:jc w:val="center"/>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颗粒物</w:t>
                  </w:r>
                </w:p>
              </w:tc>
              <w:tc>
                <w:tcPr>
                  <w:tcW w:w="1975" w:type="dxa"/>
                  <w:vAlign w:val="center"/>
                </w:tcPr>
                <w:p>
                  <w:pPr>
                    <w:pStyle w:val="17"/>
                    <w:snapToGrid w:val="0"/>
                    <w:spacing w:after="0" w:line="240" w:lineRule="auto"/>
                    <w:ind w:left="0" w:lef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施工区域周界均布3个环境空气监测点位</w:t>
                  </w:r>
                </w:p>
              </w:tc>
              <w:tc>
                <w:tcPr>
                  <w:tcW w:w="1274" w:type="dxa"/>
                  <w:vAlign w:val="center"/>
                </w:tcPr>
                <w:p>
                  <w:pPr>
                    <w:pStyle w:val="17"/>
                    <w:snapToGrid w:val="0"/>
                    <w:spacing w:after="0" w:line="240" w:lineRule="auto"/>
                    <w:ind w:left="0" w:leftChars="0"/>
                    <w:jc w:val="center"/>
                    <w:rPr>
                      <w:color w:val="000000" w:themeColor="text1"/>
                      <w:kern w:val="0"/>
                      <w:sz w:val="21"/>
                      <w:szCs w:val="21"/>
                      <w:highlight w:val="none"/>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施工高峰期监测1次</w:t>
                  </w:r>
                </w:p>
              </w:tc>
              <w:tc>
                <w:tcPr>
                  <w:tcW w:w="1701" w:type="dxa"/>
                  <w:vMerge w:val="restart"/>
                  <w:vAlign w:val="center"/>
                </w:tcPr>
                <w:p>
                  <w:pPr>
                    <w:pStyle w:val="17"/>
                    <w:snapToGrid w:val="0"/>
                    <w:spacing w:after="0" w:line="240" w:lineRule="auto"/>
                    <w:ind w:left="0" w:leftChars="0"/>
                    <w:jc w:val="center"/>
                    <w:rPr>
                      <w:color w:val="000000" w:themeColor="text1"/>
                      <w:kern w:val="0"/>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委托有资质环境监测单位进行监测</w:t>
                  </w:r>
                </w:p>
              </w:tc>
              <w:tc>
                <w:tcPr>
                  <w:tcW w:w="699" w:type="dxa"/>
                  <w:vMerge w:val="restart"/>
                  <w:vAlign w:val="center"/>
                </w:tcPr>
                <w:p>
                  <w:pPr>
                    <w:pStyle w:val="17"/>
                    <w:snapToGrid w:val="0"/>
                    <w:spacing w:after="0" w:line="240" w:lineRule="auto"/>
                    <w:ind w:left="0" w:leftChars="0"/>
                    <w:jc w:val="center"/>
                    <w:rPr>
                      <w:color w:val="000000" w:themeColor="text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87" w:hRule="atLeast"/>
                <w:jc w:val="center"/>
              </w:trPr>
              <w:tc>
                <w:tcPr>
                  <w:tcW w:w="608" w:type="dxa"/>
                  <w:vMerge w:val="continue"/>
                  <w:vAlign w:val="center"/>
                </w:tcPr>
                <w:p>
                  <w:pPr>
                    <w:pStyle w:val="17"/>
                    <w:snapToGrid w:val="0"/>
                    <w:spacing w:after="0" w:line="240" w:lineRule="auto"/>
                    <w:ind w:left="0" w:leftChars="0"/>
                    <w:jc w:val="center"/>
                    <w:rPr>
                      <w:color w:val="000000" w:themeColor="text1"/>
                      <w:sz w:val="21"/>
                      <w:szCs w:val="21"/>
                      <w:highlight w:val="none"/>
                      <w14:textFill>
                        <w14:solidFill>
                          <w14:schemeClr w14:val="tx1"/>
                        </w14:solidFill>
                      </w14:textFill>
                    </w:rPr>
                  </w:pPr>
                </w:p>
              </w:tc>
              <w:tc>
                <w:tcPr>
                  <w:tcW w:w="1984" w:type="dxa"/>
                  <w:vAlign w:val="center"/>
                </w:tcPr>
                <w:p>
                  <w:pPr>
                    <w:pStyle w:val="17"/>
                    <w:snapToGrid w:val="0"/>
                    <w:spacing w:after="0" w:line="240" w:lineRule="auto"/>
                    <w:ind w:left="0" w:lef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pH、COD、</w:t>
                  </w:r>
                  <w:r>
                    <w:rPr>
                      <w:rFonts w:hint="eastAsia" w:eastAsia="宋体"/>
                      <w:color w:val="000000" w:themeColor="text1"/>
                      <w:sz w:val="21"/>
                      <w:szCs w:val="21"/>
                      <w:highlight w:val="none"/>
                      <w:lang w:val="en-US" w:eastAsia="zh-CN"/>
                      <w14:textFill>
                        <w14:solidFill>
                          <w14:schemeClr w14:val="tx1"/>
                        </w14:solidFill>
                      </w14:textFill>
                    </w:rPr>
                    <w:t>溶解氧、</w:t>
                  </w:r>
                  <w:r>
                    <w:rPr>
                      <w:rFonts w:hint="eastAsia"/>
                      <w:color w:val="000000" w:themeColor="text1"/>
                      <w:sz w:val="21"/>
                      <w:szCs w:val="21"/>
                      <w:highlight w:val="none"/>
                      <w14:textFill>
                        <w14:solidFill>
                          <w14:schemeClr w14:val="tx1"/>
                        </w14:solidFill>
                      </w14:textFill>
                    </w:rPr>
                    <w:t>氨氮、总磷、</w:t>
                  </w:r>
                </w:p>
              </w:tc>
              <w:tc>
                <w:tcPr>
                  <w:tcW w:w="1975" w:type="dxa"/>
                  <w:vAlign w:val="center"/>
                </w:tcPr>
                <w:p>
                  <w:pPr>
                    <w:pStyle w:val="17"/>
                    <w:snapToGrid w:val="0"/>
                    <w:spacing w:after="0" w:line="240" w:lineRule="auto"/>
                    <w:ind w:left="0" w:lef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庙后溪</w:t>
                  </w:r>
                </w:p>
              </w:tc>
              <w:tc>
                <w:tcPr>
                  <w:tcW w:w="1274" w:type="dxa"/>
                  <w:vAlign w:val="center"/>
                </w:tcPr>
                <w:p>
                  <w:pPr>
                    <w:pStyle w:val="17"/>
                    <w:snapToGrid w:val="0"/>
                    <w:spacing w:after="0" w:line="240" w:lineRule="auto"/>
                    <w:ind w:left="0" w:left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1次/</w:t>
                  </w:r>
                  <w:r>
                    <w:rPr>
                      <w:rFonts w:hint="eastAsia" w:eastAsia="宋体"/>
                      <w:color w:val="000000" w:themeColor="text1"/>
                      <w:sz w:val="21"/>
                      <w:szCs w:val="21"/>
                      <w:highlight w:val="none"/>
                      <w:lang w:val="en-US" w:eastAsia="zh-CN"/>
                      <w14:textFill>
                        <w14:solidFill>
                          <w14:schemeClr w14:val="tx1"/>
                        </w14:solidFill>
                      </w14:textFill>
                    </w:rPr>
                    <w:t>年，</w:t>
                  </w:r>
                  <w:r>
                    <w:rPr>
                      <w:color w:val="000000" w:themeColor="text1"/>
                      <w:sz w:val="21"/>
                      <w:szCs w:val="21"/>
                      <w:highlight w:val="none"/>
                      <w14:textFill>
                        <w14:solidFill>
                          <w14:schemeClr w14:val="tx1"/>
                        </w14:solidFill>
                      </w14:textFill>
                    </w:rPr>
                    <w:t>1天/次</w:t>
                  </w:r>
                </w:p>
              </w:tc>
              <w:tc>
                <w:tcPr>
                  <w:tcW w:w="1701" w:type="dxa"/>
                  <w:vMerge w:val="continue"/>
                  <w:vAlign w:val="center"/>
                </w:tcPr>
                <w:p>
                  <w:pPr>
                    <w:pStyle w:val="17"/>
                    <w:snapToGrid w:val="0"/>
                    <w:spacing w:after="0" w:line="240" w:lineRule="auto"/>
                    <w:jc w:val="center"/>
                    <w:rPr>
                      <w:color w:val="000000" w:themeColor="text1"/>
                      <w:szCs w:val="21"/>
                      <w:highlight w:val="lightGray"/>
                      <w14:textFill>
                        <w14:solidFill>
                          <w14:schemeClr w14:val="tx1"/>
                        </w14:solidFill>
                      </w14:textFill>
                    </w:rPr>
                  </w:pPr>
                </w:p>
              </w:tc>
              <w:tc>
                <w:tcPr>
                  <w:tcW w:w="699" w:type="dxa"/>
                  <w:vMerge w:val="continue"/>
                  <w:vAlign w:val="center"/>
                </w:tcPr>
                <w:p>
                  <w:pPr>
                    <w:pStyle w:val="17"/>
                    <w:snapToGrid w:val="0"/>
                    <w:spacing w:after="0" w:line="240" w:lineRule="auto"/>
                    <w:jc w:val="center"/>
                    <w:rPr>
                      <w:color w:val="000000" w:themeColor="text1"/>
                      <w:szCs w:val="21"/>
                      <w:highlight w:val="lightGray"/>
                      <w14:textFill>
                        <w14:solidFill>
                          <w14:schemeClr w14:val="tx1"/>
                        </w14:solidFill>
                      </w14:textFill>
                    </w:rPr>
                  </w:pPr>
                </w:p>
              </w:tc>
            </w:tr>
          </w:tbl>
          <w:p>
            <w:pPr>
              <w:rPr>
                <w:rFonts w:hint="default"/>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cs="宋体"/>
                <w:bCs/>
                <w:color w:val="000000" w:themeColor="text1"/>
                <w:spacing w:val="10"/>
                <w:szCs w:val="21"/>
                <w14:textFill>
                  <w14:solidFill>
                    <w14:schemeClr w14:val="tx1"/>
                  </w14:solidFill>
                </w14:textFill>
              </w:rPr>
              <w:t>运营期生态环境保护措施</w:t>
            </w:r>
          </w:p>
        </w:tc>
        <w:tc>
          <w:tcPr>
            <w:tcW w:w="8457" w:type="dxa"/>
            <w:vAlign w:val="center"/>
          </w:tcPr>
          <w:p>
            <w:pPr>
              <w:adjustRightInd w:val="0"/>
              <w:snapToGrid w:val="0"/>
              <w:spacing w:line="360" w:lineRule="auto"/>
              <w:ind w:firstLine="480" w:firstLineChars="200"/>
              <w:jc w:val="both"/>
              <w:rPr>
                <w:rFonts w:hint="default"/>
                <w:color w:val="000000" w:themeColor="text1"/>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本项目为</w:t>
            </w:r>
            <w:r>
              <w:rPr>
                <w:rFonts w:hint="eastAsia" w:ascii="宋体" w:hAnsi="宋体" w:cs="宋体"/>
                <w:bCs/>
                <w:color w:val="000000" w:themeColor="text1"/>
                <w:sz w:val="24"/>
                <w:szCs w:val="24"/>
                <w:lang w:val="en-US" w:eastAsia="zh-CN"/>
                <w14:textFill>
                  <w14:solidFill>
                    <w14:schemeClr w14:val="tx1"/>
                  </w14:solidFill>
                </w14:textFill>
              </w:rPr>
              <w:t>防洪排涝工程，由拦河坝及库区和隧洞及箱涵组成。</w:t>
            </w:r>
            <w:r>
              <w:rPr>
                <w:rFonts w:hint="default" w:ascii="Times New Roman" w:hAnsi="Times New Roman" w:cs="Times New Roman"/>
                <w:b w:val="0"/>
                <w:bCs w:val="0"/>
                <w:color w:val="000000" w:themeColor="text1"/>
                <w:spacing w:val="0"/>
                <w:sz w:val="24"/>
                <w:lang w:val="en-US" w:eastAsia="zh-CN"/>
                <w14:textFill>
                  <w14:solidFill>
                    <w14:schemeClr w14:val="tx1"/>
                  </w14:solidFill>
                </w14:textFill>
              </w:rPr>
              <w:t>运行过程不涉及</w:t>
            </w:r>
            <w:r>
              <w:rPr>
                <w:rFonts w:hint="eastAsia" w:ascii="Times New Roman" w:hAnsi="Times New Roman" w:cs="Times New Roman"/>
                <w:b w:val="0"/>
                <w:bCs w:val="0"/>
                <w:color w:val="000000" w:themeColor="text1"/>
                <w:spacing w:val="0"/>
                <w:sz w:val="24"/>
                <w:lang w:val="en-US" w:eastAsia="zh-CN"/>
                <w14:textFill>
                  <w14:solidFill>
                    <w14:schemeClr w14:val="tx1"/>
                  </w14:solidFill>
                </w14:textFill>
              </w:rPr>
              <w:t>废水、固体废物</w:t>
            </w:r>
            <w:r>
              <w:rPr>
                <w:rFonts w:hint="default" w:ascii="Times New Roman" w:hAnsi="Times New Roman" w:cs="Times New Roman"/>
                <w:b w:val="0"/>
                <w:bCs w:val="0"/>
                <w:color w:val="000000" w:themeColor="text1"/>
                <w:spacing w:val="0"/>
                <w:sz w:val="24"/>
                <w:lang w:val="en-US" w:eastAsia="zh-CN"/>
                <w14:textFill>
                  <w14:solidFill>
                    <w14:schemeClr w14:val="tx1"/>
                  </w14:solidFill>
                </w14:textFill>
              </w:rPr>
              <w:t>排放，不涉及产噪设备，项目运行不开采地下水</w:t>
            </w:r>
            <w:r>
              <w:rPr>
                <w:rFonts w:hint="eastAsia" w:cs="Times New Roman"/>
                <w:b w:val="0"/>
                <w:bCs w:val="0"/>
                <w:color w:val="000000" w:themeColor="text1"/>
                <w:spacing w:val="0"/>
                <w:sz w:val="24"/>
                <w:lang w:val="en-US" w:eastAsia="zh-CN"/>
                <w14:textFill>
                  <w14:solidFill>
                    <w14:schemeClr w14:val="tx1"/>
                  </w14:solidFill>
                </w14:textFill>
              </w:rPr>
              <w:t>。</w:t>
            </w:r>
            <w:r>
              <w:rPr>
                <w:rFonts w:hint="default" w:ascii="Times New Roman" w:hAnsi="Times New Roman" w:cs="Times New Roman"/>
                <w:bCs/>
                <w:color w:val="000000" w:themeColor="text1"/>
                <w:spacing w:val="0"/>
                <w:sz w:val="24"/>
                <w:lang w:val="en-US" w:eastAsia="zh-CN"/>
                <w14:textFill>
                  <w14:solidFill>
                    <w14:schemeClr w14:val="tx1"/>
                  </w14:solidFill>
                </w14:textFill>
              </w:rPr>
              <w:t>因此项目运营期不涉及大气、</w:t>
            </w:r>
            <w:r>
              <w:rPr>
                <w:rFonts w:hint="eastAsia" w:ascii="Times New Roman" w:hAnsi="Times New Roman" w:cs="Times New Roman"/>
                <w:bCs/>
                <w:color w:val="000000" w:themeColor="text1"/>
                <w:spacing w:val="0"/>
                <w:sz w:val="24"/>
                <w:lang w:val="en-US" w:eastAsia="zh-CN"/>
                <w14:textFill>
                  <w14:solidFill>
                    <w14:schemeClr w14:val="tx1"/>
                  </w14:solidFill>
                </w14:textFill>
              </w:rPr>
              <w:t>地表水、</w:t>
            </w:r>
            <w:r>
              <w:rPr>
                <w:rFonts w:hint="default" w:ascii="Times New Roman" w:hAnsi="Times New Roman" w:cs="Times New Roman"/>
                <w:bCs/>
                <w:color w:val="000000" w:themeColor="text1"/>
                <w:spacing w:val="0"/>
                <w:sz w:val="24"/>
                <w:lang w:val="en-US" w:eastAsia="zh-CN"/>
                <w14:textFill>
                  <w14:solidFill>
                    <w14:schemeClr w14:val="tx1"/>
                  </w14:solidFill>
                </w14:textFill>
              </w:rPr>
              <w:t>噪声、地下水</w:t>
            </w:r>
            <w:r>
              <w:rPr>
                <w:rFonts w:hint="eastAsia" w:ascii="Times New Roman" w:hAnsi="Times New Roman" w:cs="Times New Roman"/>
                <w:bCs/>
                <w:color w:val="000000" w:themeColor="text1"/>
                <w:spacing w:val="0"/>
                <w:sz w:val="24"/>
                <w:lang w:val="en-US" w:eastAsia="zh-CN"/>
                <w14:textFill>
                  <w14:solidFill>
                    <w14:schemeClr w14:val="tx1"/>
                  </w14:solidFill>
                </w14:textFill>
              </w:rPr>
              <w:t>及固体废物</w:t>
            </w:r>
            <w:r>
              <w:rPr>
                <w:rFonts w:hint="default" w:ascii="Times New Roman" w:hAnsi="Times New Roman" w:cs="Times New Roman"/>
                <w:bCs/>
                <w:color w:val="000000" w:themeColor="text1"/>
                <w:spacing w:val="0"/>
                <w:sz w:val="24"/>
                <w:lang w:val="en-US" w:eastAsia="zh-CN"/>
                <w14:textFill>
                  <w14:solidFill>
                    <w14:schemeClr w14:val="tx1"/>
                  </w14:solidFill>
                </w14:textFill>
              </w:rPr>
              <w:t>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其他</w:t>
            </w:r>
          </w:p>
        </w:tc>
        <w:tc>
          <w:tcPr>
            <w:tcW w:w="8457" w:type="dxa"/>
            <w:vAlign w:val="center"/>
          </w:tcPr>
          <w:p>
            <w:pPr>
              <w:adjustRightInd w:val="0"/>
              <w:snapToGrid w:val="0"/>
              <w:jc w:val="center"/>
              <w:rPr>
                <w:rFonts w:hint="default"/>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环保投资</w:t>
            </w:r>
          </w:p>
        </w:tc>
        <w:tc>
          <w:tcPr>
            <w:tcW w:w="8457" w:type="dxa"/>
            <w:vAlign w:val="top"/>
          </w:tcPr>
          <w:p>
            <w:pPr>
              <w:pStyle w:val="29"/>
              <w:ind w:firstLine="480"/>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p>
          <w:p>
            <w:pPr>
              <w:pStyle w:val="29"/>
              <w:ind w:firstLine="480"/>
              <w:rPr>
                <w:color w:val="000000" w:themeColor="text1"/>
                <w:sz w:val="24"/>
                <w:szCs w:val="24"/>
                <w14:textFill>
                  <w14:solidFill>
                    <w14:schemeClr w14:val="tx1"/>
                  </w14:solidFill>
                </w14:textFill>
              </w:rPr>
            </w:pPr>
            <w:r>
              <w:rPr>
                <w:rFonts w:hint="eastAsia" w:cs="Times New Roman"/>
                <w:b w:val="0"/>
                <w:bCs w:val="0"/>
                <w:color w:val="000000" w:themeColor="text1"/>
                <w:kern w:val="0"/>
                <w:sz w:val="24"/>
                <w:szCs w:val="24"/>
                <w:u w:val="none"/>
                <w:lang w:val="en-US" w:eastAsia="zh-CN" w:bidi="ar"/>
                <w14:textFill>
                  <w14:solidFill>
                    <w14:schemeClr w14:val="tx1"/>
                  </w14:solidFill>
                </w14:textFill>
              </w:rPr>
              <w:t>福鼎市硖门畲族乡庙后溪山洪治理（高水高排）工程</w:t>
            </w:r>
            <w:r>
              <w:rPr>
                <w:color w:val="000000" w:themeColor="text1"/>
                <w:sz w:val="24"/>
                <w:szCs w:val="24"/>
                <w14:textFill>
                  <w14:solidFill>
                    <w14:schemeClr w14:val="tx1"/>
                  </w14:solidFill>
                </w14:textFill>
              </w:rPr>
              <w:t>总投资</w:t>
            </w:r>
            <w:r>
              <w:rPr>
                <w:rFonts w:hint="eastAsia" w:cs="Times New Roman"/>
                <w:color w:val="000000" w:themeColor="text1"/>
                <w:sz w:val="24"/>
                <w:szCs w:val="24"/>
                <w:highlight w:val="none"/>
                <w:lang w:val="en-US" w:eastAsia="zh-CN"/>
                <w14:textFill>
                  <w14:solidFill>
                    <w14:schemeClr w14:val="tx1"/>
                  </w14:solidFill>
                </w14:textFill>
              </w:rPr>
              <w:t>6591.5</w:t>
            </w:r>
            <w:r>
              <w:rPr>
                <w:color w:val="000000" w:themeColor="text1"/>
                <w:sz w:val="24"/>
                <w:szCs w:val="24"/>
                <w14:textFill>
                  <w14:solidFill>
                    <w14:schemeClr w14:val="tx1"/>
                  </w14:solidFill>
                </w14:textFill>
              </w:rPr>
              <w:t>万元，其中环保投资</w:t>
            </w:r>
            <w:r>
              <w:rPr>
                <w:rFonts w:hint="eastAsia"/>
                <w:color w:val="000000" w:themeColor="text1"/>
                <w:sz w:val="24"/>
                <w:szCs w:val="24"/>
                <w:lang w:val="en-US" w:eastAsia="zh-CN"/>
                <w14:textFill>
                  <w14:solidFill>
                    <w14:schemeClr w14:val="tx1"/>
                  </w14:solidFill>
                </w14:textFill>
              </w:rPr>
              <w:t>155.49</w:t>
            </w:r>
            <w:r>
              <w:rPr>
                <w:color w:val="000000" w:themeColor="text1"/>
                <w:sz w:val="24"/>
                <w:szCs w:val="24"/>
                <w14:textFill>
                  <w14:solidFill>
                    <w14:schemeClr w14:val="tx1"/>
                  </w14:solidFill>
                </w14:textFill>
              </w:rPr>
              <w:t>万元，占总投资的</w:t>
            </w:r>
            <w:r>
              <w:rPr>
                <w:rFonts w:hint="eastAsia"/>
                <w:color w:val="000000" w:themeColor="text1"/>
                <w:sz w:val="24"/>
                <w:szCs w:val="24"/>
                <w:lang w:val="en-US" w:eastAsia="zh-CN"/>
                <w14:textFill>
                  <w14:solidFill>
                    <w14:schemeClr w14:val="tx1"/>
                  </w14:solidFill>
                </w14:textFill>
              </w:rPr>
              <w:t>2.35</w:t>
            </w:r>
            <w:r>
              <w:rPr>
                <w:color w:val="000000" w:themeColor="text1"/>
                <w:sz w:val="24"/>
                <w:szCs w:val="24"/>
                <w14:textFill>
                  <w14:solidFill>
                    <w14:schemeClr w14:val="tx1"/>
                  </w14:solidFill>
                </w14:textFill>
              </w:rPr>
              <w:t>%。</w:t>
            </w:r>
          </w:p>
          <w:p>
            <w:pPr>
              <w:pStyle w:val="29"/>
              <w:ind w:firstLine="480"/>
              <w:rPr>
                <w:color w:val="000000" w:themeColor="text1"/>
                <w:sz w:val="24"/>
                <w:szCs w:val="24"/>
                <w14:textFill>
                  <w14:solidFill>
                    <w14:schemeClr w14:val="tx1"/>
                  </w14:solidFill>
                </w14:textFill>
              </w:rPr>
            </w:pPr>
          </w:p>
          <w:p>
            <w:pPr>
              <w:pStyle w:val="29"/>
              <w:ind w:firstLine="480"/>
              <w:rPr>
                <w:color w:val="000000" w:themeColor="text1"/>
                <w:sz w:val="24"/>
                <w:szCs w:val="24"/>
                <w14:textFill>
                  <w14:solidFill>
                    <w14:schemeClr w14:val="tx1"/>
                  </w14:solidFill>
                </w14:textFill>
              </w:rPr>
            </w:pPr>
          </w:p>
          <w:p>
            <w:pPr>
              <w:pStyle w:val="29"/>
              <w:ind w:firstLine="480"/>
              <w:rPr>
                <w:color w:val="000000" w:themeColor="text1"/>
                <w:sz w:val="24"/>
                <w:szCs w:val="24"/>
                <w14:textFill>
                  <w14:solidFill>
                    <w14:schemeClr w14:val="tx1"/>
                  </w14:solidFill>
                </w14:textFill>
              </w:rPr>
            </w:pPr>
          </w:p>
          <w:p>
            <w:pPr>
              <w:pStyle w:val="29"/>
              <w:ind w:firstLine="480"/>
              <w:rPr>
                <w:color w:val="000000" w:themeColor="text1"/>
                <w:sz w:val="24"/>
                <w:szCs w:val="24"/>
                <w14:textFill>
                  <w14:solidFill>
                    <w14:schemeClr w14:val="tx1"/>
                  </w14:solidFill>
                </w14:textFill>
              </w:rPr>
            </w:pPr>
          </w:p>
          <w:p>
            <w:pPr>
              <w:pStyle w:val="29"/>
              <w:ind w:firstLine="480"/>
              <w:rPr>
                <w:color w:val="000000" w:themeColor="text1"/>
                <w:sz w:val="24"/>
                <w:szCs w:val="24"/>
                <w14:textFill>
                  <w14:solidFill>
                    <w14:schemeClr w14:val="tx1"/>
                  </w14:solidFill>
                </w14:textFill>
              </w:rPr>
            </w:pPr>
          </w:p>
          <w:p>
            <w:pPr>
              <w:pStyle w:val="29"/>
              <w:ind w:firstLine="480"/>
              <w:rPr>
                <w:color w:val="000000" w:themeColor="text1"/>
                <w:sz w:val="24"/>
                <w:szCs w:val="24"/>
                <w14:textFill>
                  <w14:solidFill>
                    <w14:schemeClr w14:val="tx1"/>
                  </w14:solidFill>
                </w14:textFill>
              </w:rPr>
            </w:pPr>
          </w:p>
          <w:p>
            <w:pPr>
              <w:pStyle w:val="42"/>
              <w:spacing w:before="120" w:beforeLines="50"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表5-2  环保设施及投资一览表</w:t>
            </w:r>
          </w:p>
          <w:tbl>
            <w:tblPr>
              <w:tblStyle w:val="18"/>
              <w:tblW w:w="81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888"/>
              <w:gridCol w:w="3945"/>
              <w:gridCol w:w="1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240" w:lineRule="auto"/>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时期</w:t>
                  </w:r>
                </w:p>
              </w:tc>
              <w:tc>
                <w:tcPr>
                  <w:tcW w:w="1888"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环保投资名称</w:t>
                  </w:r>
                </w:p>
              </w:tc>
              <w:tc>
                <w:tcPr>
                  <w:tcW w:w="3945"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工程内容</w:t>
                  </w:r>
                </w:p>
              </w:tc>
              <w:tc>
                <w:tcPr>
                  <w:tcW w:w="1692"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restart"/>
                  <w:vAlign w:val="center"/>
                </w:tcPr>
                <w:p>
                  <w:pPr>
                    <w:spacing w:line="240" w:lineRule="auto"/>
                    <w:jc w:val="center"/>
                    <w:rPr>
                      <w:rFonts w:hint="eastAsia" w:eastAsia="宋体"/>
                      <w:bCs/>
                      <w:color w:val="000000" w:themeColor="text1"/>
                      <w:sz w:val="21"/>
                      <w:szCs w:val="21"/>
                      <w:lang w:val="en-US" w:eastAsia="zh-CN"/>
                      <w14:textFill>
                        <w14:solidFill>
                          <w14:schemeClr w14:val="tx1"/>
                        </w14:solidFill>
                      </w14:textFill>
                    </w:rPr>
                  </w:pPr>
                  <w:bookmarkStart w:id="6" w:name="OLE_LINK7" w:colFirst="3" w:colLast="3"/>
                  <w:bookmarkStart w:id="7" w:name="OLE_LINK8" w:colFirst="3" w:colLast="3"/>
                  <w:bookmarkStart w:id="8" w:name="_Hlk520925798"/>
                  <w:bookmarkStart w:id="9" w:name="OLE_LINK15"/>
                  <w:r>
                    <w:rPr>
                      <w:rFonts w:hint="eastAsia"/>
                      <w:bCs/>
                      <w:color w:val="000000" w:themeColor="text1"/>
                      <w:sz w:val="21"/>
                      <w:szCs w:val="21"/>
                      <w:lang w:val="en-US" w:eastAsia="zh-CN"/>
                      <w14:textFill>
                        <w14:solidFill>
                          <w14:schemeClr w14:val="tx1"/>
                        </w14:solidFill>
                      </w14:textFill>
                    </w:rPr>
                    <w:t>施工期</w:t>
                  </w:r>
                </w:p>
              </w:tc>
              <w:tc>
                <w:tcPr>
                  <w:tcW w:w="1888"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废水治理措施</w:t>
                  </w:r>
                </w:p>
              </w:tc>
              <w:tc>
                <w:tcPr>
                  <w:tcW w:w="3945" w:type="dxa"/>
                  <w:vAlign w:val="center"/>
                </w:tcPr>
                <w:p>
                  <w:pPr>
                    <w:spacing w:line="240" w:lineRule="auto"/>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20m</w:t>
                  </w:r>
                  <w:r>
                    <w:rPr>
                      <w:rFonts w:hint="eastAsia"/>
                      <w:bCs/>
                      <w:color w:val="000000" w:themeColor="text1"/>
                      <w:sz w:val="21"/>
                      <w:szCs w:val="21"/>
                      <w:vertAlign w:val="superscript"/>
                      <w:lang w:val="en-US" w:eastAsia="zh-CN"/>
                      <w14:textFill>
                        <w14:solidFill>
                          <w14:schemeClr w14:val="tx1"/>
                        </w14:solidFill>
                      </w14:textFill>
                    </w:rPr>
                    <w:t>3</w:t>
                  </w:r>
                  <w:r>
                    <w:rPr>
                      <w:rFonts w:hint="eastAsia"/>
                      <w:bCs/>
                      <w:color w:val="000000" w:themeColor="text1"/>
                      <w:sz w:val="21"/>
                      <w:szCs w:val="21"/>
                      <w:lang w:val="en-US" w:eastAsia="zh-CN"/>
                      <w14:textFill>
                        <w14:solidFill>
                          <w14:schemeClr w14:val="tx1"/>
                        </w14:solidFill>
                      </w14:textFill>
                    </w:rPr>
                    <w:t>沉淀池4座；</w:t>
                  </w:r>
                </w:p>
                <w:p>
                  <w:pPr>
                    <w:spacing w:line="240" w:lineRule="auto"/>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15m</w:t>
                  </w:r>
                  <w:r>
                    <w:rPr>
                      <w:rFonts w:hint="eastAsia"/>
                      <w:bCs/>
                      <w:color w:val="000000" w:themeColor="text1"/>
                      <w:sz w:val="21"/>
                      <w:szCs w:val="21"/>
                      <w:vertAlign w:val="superscript"/>
                      <w:lang w:val="en-US" w:eastAsia="zh-CN"/>
                      <w14:textFill>
                        <w14:solidFill>
                          <w14:schemeClr w14:val="tx1"/>
                        </w14:solidFill>
                      </w14:textFill>
                    </w:rPr>
                    <w:t>3</w:t>
                  </w:r>
                  <w:r>
                    <w:rPr>
                      <w:rFonts w:hint="eastAsia"/>
                      <w:bCs/>
                      <w:color w:val="000000" w:themeColor="text1"/>
                      <w:sz w:val="21"/>
                      <w:szCs w:val="21"/>
                      <w:vertAlign w:val="baseline"/>
                      <w:lang w:val="en-US" w:eastAsia="zh-CN"/>
                      <w14:textFill>
                        <w14:solidFill>
                          <w14:schemeClr w14:val="tx1"/>
                        </w14:solidFill>
                      </w14:textFill>
                    </w:rPr>
                    <w:t>隔油</w:t>
                  </w:r>
                  <w:r>
                    <w:rPr>
                      <w:rFonts w:hint="eastAsia"/>
                      <w:bCs/>
                      <w:color w:val="000000" w:themeColor="text1"/>
                      <w:sz w:val="21"/>
                      <w:szCs w:val="21"/>
                      <w:lang w:val="en-US" w:eastAsia="zh-CN"/>
                      <w14:textFill>
                        <w14:solidFill>
                          <w14:schemeClr w14:val="tx1"/>
                        </w14:solidFill>
                      </w14:textFill>
                    </w:rPr>
                    <w:t>沉淀池4座</w:t>
                  </w:r>
                </w:p>
              </w:tc>
              <w:tc>
                <w:tcPr>
                  <w:tcW w:w="1692"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6" w:type="dxa"/>
                  <w:vMerge w:val="continue"/>
                  <w:vAlign w:val="center"/>
                </w:tcPr>
                <w:p>
                  <w:pPr>
                    <w:spacing w:line="240" w:lineRule="auto"/>
                    <w:jc w:val="center"/>
                    <w:rPr>
                      <w:rFonts w:hint="eastAsia"/>
                      <w:bCs/>
                      <w:color w:val="000000" w:themeColor="text1"/>
                      <w:sz w:val="21"/>
                      <w:szCs w:val="21"/>
                      <w:lang w:val="en-US" w:eastAsia="zh-CN"/>
                      <w14:textFill>
                        <w14:solidFill>
                          <w14:schemeClr w14:val="tx1"/>
                        </w14:solidFill>
                      </w14:textFill>
                    </w:rPr>
                  </w:pPr>
                </w:p>
              </w:tc>
              <w:tc>
                <w:tcPr>
                  <w:tcW w:w="1888"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w:t>
                  </w:r>
                  <w:r>
                    <w:rPr>
                      <w:rFonts w:hint="eastAsia"/>
                      <w:bCs/>
                      <w:color w:val="000000" w:themeColor="text1"/>
                      <w:sz w:val="21"/>
                      <w:szCs w:val="21"/>
                      <w:lang w:val="en-US" w:eastAsia="zh-CN"/>
                      <w14:textFill>
                        <w14:solidFill>
                          <w14:schemeClr w14:val="tx1"/>
                        </w14:solidFill>
                      </w14:textFill>
                    </w:rPr>
                    <w:t>气</w:t>
                  </w:r>
                  <w:r>
                    <w:rPr>
                      <w:bCs/>
                      <w:color w:val="000000" w:themeColor="text1"/>
                      <w:sz w:val="21"/>
                      <w:szCs w:val="21"/>
                      <w14:textFill>
                        <w14:solidFill>
                          <w14:schemeClr w14:val="tx1"/>
                        </w14:solidFill>
                      </w14:textFill>
                    </w:rPr>
                    <w:t>治理措施</w:t>
                  </w:r>
                </w:p>
              </w:tc>
              <w:tc>
                <w:tcPr>
                  <w:tcW w:w="3945" w:type="dxa"/>
                  <w:vAlign w:val="center"/>
                </w:tcPr>
                <w:p>
                  <w:pPr>
                    <w:spacing w:line="240" w:lineRule="auto"/>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袋式除尘器4个；施工围挡</w:t>
                  </w:r>
                </w:p>
              </w:tc>
              <w:tc>
                <w:tcPr>
                  <w:tcW w:w="1692" w:type="dxa"/>
                  <w:vAlign w:val="center"/>
                </w:tcPr>
                <w:p>
                  <w:pPr>
                    <w:spacing w:line="240" w:lineRule="auto"/>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continue"/>
                  <w:vAlign w:val="center"/>
                </w:tcPr>
                <w:p>
                  <w:pPr>
                    <w:spacing w:line="240" w:lineRule="auto"/>
                    <w:jc w:val="center"/>
                    <w:rPr>
                      <w:bCs/>
                      <w:color w:val="000000" w:themeColor="text1"/>
                      <w:sz w:val="21"/>
                      <w:szCs w:val="21"/>
                      <w14:textFill>
                        <w14:solidFill>
                          <w14:schemeClr w14:val="tx1"/>
                        </w14:solidFill>
                      </w14:textFill>
                    </w:rPr>
                  </w:pPr>
                </w:p>
              </w:tc>
              <w:tc>
                <w:tcPr>
                  <w:tcW w:w="1888"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噪声防护</w:t>
                  </w:r>
                </w:p>
              </w:tc>
              <w:tc>
                <w:tcPr>
                  <w:tcW w:w="3945"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选用低噪声设备</w:t>
                  </w:r>
                </w:p>
              </w:tc>
              <w:tc>
                <w:tcPr>
                  <w:tcW w:w="1692"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continue"/>
                  <w:vAlign w:val="center"/>
                </w:tcPr>
                <w:p>
                  <w:pPr>
                    <w:spacing w:line="240" w:lineRule="auto"/>
                    <w:jc w:val="center"/>
                    <w:rPr>
                      <w:bCs/>
                      <w:color w:val="000000" w:themeColor="text1"/>
                      <w:sz w:val="21"/>
                      <w:szCs w:val="21"/>
                      <w14:textFill>
                        <w14:solidFill>
                          <w14:schemeClr w14:val="tx1"/>
                        </w14:solidFill>
                      </w14:textFill>
                    </w:rPr>
                  </w:pPr>
                </w:p>
              </w:tc>
              <w:tc>
                <w:tcPr>
                  <w:tcW w:w="1888"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固体废物</w:t>
                  </w:r>
                </w:p>
              </w:tc>
              <w:tc>
                <w:tcPr>
                  <w:tcW w:w="3945"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垃圾桶（若干）、临时堆场（4座）</w:t>
                  </w:r>
                </w:p>
              </w:tc>
              <w:tc>
                <w:tcPr>
                  <w:tcW w:w="1692"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continue"/>
                  <w:vAlign w:val="center"/>
                </w:tcPr>
                <w:p>
                  <w:pPr>
                    <w:spacing w:line="240" w:lineRule="auto"/>
                    <w:jc w:val="center"/>
                    <w:rPr>
                      <w:bCs/>
                      <w:color w:val="000000" w:themeColor="text1"/>
                      <w:sz w:val="21"/>
                      <w:szCs w:val="21"/>
                      <w14:textFill>
                        <w14:solidFill>
                          <w14:schemeClr w14:val="tx1"/>
                        </w14:solidFill>
                      </w14:textFill>
                    </w:rPr>
                  </w:pPr>
                </w:p>
              </w:tc>
              <w:tc>
                <w:tcPr>
                  <w:tcW w:w="1888" w:type="dxa"/>
                  <w:vAlign w:val="center"/>
                </w:tcPr>
                <w:p>
                  <w:pPr>
                    <w:spacing w:line="240" w:lineRule="auto"/>
                    <w:jc w:val="center"/>
                    <w:rPr>
                      <w:bCs/>
                      <w:color w:val="000000" w:themeColor="text1"/>
                      <w:kern w:val="2"/>
                      <w:sz w:val="21"/>
                      <w:szCs w:val="21"/>
                      <w:lang w:val="en-US" w:eastAsia="zh-CN" w:bidi="ar-SA"/>
                      <w14:textFill>
                        <w14:solidFill>
                          <w14:schemeClr w14:val="tx1"/>
                        </w14:solidFill>
                      </w14:textFill>
                    </w:rPr>
                  </w:pPr>
                  <w:r>
                    <w:rPr>
                      <w:bCs/>
                      <w:color w:val="000000" w:themeColor="text1"/>
                      <w:sz w:val="21"/>
                      <w:szCs w:val="21"/>
                      <w14:textFill>
                        <w14:solidFill>
                          <w14:schemeClr w14:val="tx1"/>
                        </w14:solidFill>
                      </w14:textFill>
                    </w:rPr>
                    <w:t>生态保护措施</w:t>
                  </w:r>
                </w:p>
              </w:tc>
              <w:tc>
                <w:tcPr>
                  <w:tcW w:w="3945" w:type="dxa"/>
                  <w:vAlign w:val="center"/>
                </w:tcPr>
                <w:p>
                  <w:pPr>
                    <w:keepNext w:val="0"/>
                    <w:keepLines w:val="0"/>
                    <w:widowControl/>
                    <w:suppressLineNumbers w:val="0"/>
                    <w:spacing w:line="240" w:lineRule="auto"/>
                    <w:jc w:val="left"/>
                    <w:rPr>
                      <w:rFonts w:hint="eastAsia"/>
                      <w:bCs/>
                      <w:color w:val="000000" w:themeColor="text1"/>
                      <w:kern w:val="2"/>
                      <w:sz w:val="21"/>
                      <w:szCs w:val="21"/>
                      <w:lang w:val="en-US" w:eastAsia="zh-CN" w:bidi="ar-SA"/>
                      <w14:textFill>
                        <w14:solidFill>
                          <w14:schemeClr w14:val="tx1"/>
                        </w14:solidFill>
                      </w14:textFill>
                    </w:rPr>
                  </w:pPr>
                  <w:r>
                    <w:rPr>
                      <w:rFonts w:ascii="宋" w:hAnsi="宋" w:eastAsia="宋" w:cs="宋"/>
                      <w:color w:val="000000" w:themeColor="text1"/>
                      <w:kern w:val="0"/>
                      <w:sz w:val="21"/>
                      <w:szCs w:val="21"/>
                      <w:lang w:val="en-US" w:eastAsia="zh-CN" w:bidi="ar"/>
                      <w14:textFill>
                        <w14:solidFill>
                          <w14:schemeClr w14:val="tx1"/>
                        </w14:solidFill>
                      </w14:textFill>
                    </w:rPr>
                    <w:t>植被恢复、迹地恢复，缩小施工作业区，减少植被</w:t>
                  </w:r>
                  <w:r>
                    <w:rPr>
                      <w:rFonts w:hint="default" w:ascii="宋" w:hAnsi="宋" w:eastAsia="宋" w:cs="宋"/>
                      <w:color w:val="000000" w:themeColor="text1"/>
                      <w:kern w:val="0"/>
                      <w:sz w:val="21"/>
                      <w:szCs w:val="21"/>
                      <w:lang w:val="en-US" w:eastAsia="zh-CN" w:bidi="ar"/>
                      <w14:textFill>
                        <w14:solidFill>
                          <w14:schemeClr w14:val="tx1"/>
                        </w14:solidFill>
                      </w14:textFill>
                    </w:rPr>
                    <w:t xml:space="preserve">破坏，保护动植物栖息地等 </w:t>
                  </w:r>
                </w:p>
              </w:tc>
              <w:tc>
                <w:tcPr>
                  <w:tcW w:w="1692" w:type="dxa"/>
                  <w:vAlign w:val="center"/>
                </w:tcPr>
                <w:p>
                  <w:pPr>
                    <w:spacing w:line="240" w:lineRule="auto"/>
                    <w:jc w:val="center"/>
                    <w:rPr>
                      <w:rFonts w:hint="default"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pPr>
                    <w:spacing w:line="240" w:lineRule="auto"/>
                    <w:jc w:val="center"/>
                    <w:rPr>
                      <w:bCs/>
                      <w:color w:val="000000" w:themeColor="text1"/>
                      <w:sz w:val="21"/>
                      <w:szCs w:val="21"/>
                      <w14:textFill>
                        <w14:solidFill>
                          <w14:schemeClr w14:val="tx1"/>
                        </w14:solidFill>
                      </w14:textFill>
                    </w:rPr>
                  </w:pPr>
                </w:p>
              </w:tc>
              <w:tc>
                <w:tcPr>
                  <w:tcW w:w="1888"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环境监测</w:t>
                  </w:r>
                </w:p>
              </w:tc>
              <w:tc>
                <w:tcPr>
                  <w:tcW w:w="3945" w:type="dxa"/>
                  <w:vAlign w:val="center"/>
                </w:tcPr>
                <w:p>
                  <w:pPr>
                    <w:keepNext w:val="0"/>
                    <w:keepLines w:val="0"/>
                    <w:widowControl/>
                    <w:suppressLineNumbers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噪声、大气、水质和生态监测</w:t>
                  </w:r>
                </w:p>
              </w:tc>
              <w:tc>
                <w:tcPr>
                  <w:tcW w:w="1692"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pPr>
                    <w:spacing w:line="240" w:lineRule="auto"/>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t>
                  </w:r>
                </w:p>
              </w:tc>
              <w:tc>
                <w:tcPr>
                  <w:tcW w:w="1888" w:type="dxa"/>
                  <w:vAlign w:val="center"/>
                </w:tcPr>
                <w:p>
                  <w:pPr>
                    <w:spacing w:line="240" w:lineRule="auto"/>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其他</w:t>
                  </w:r>
                </w:p>
              </w:tc>
              <w:tc>
                <w:tcPr>
                  <w:tcW w:w="3945" w:type="dxa"/>
                  <w:vAlign w:val="center"/>
                </w:tcPr>
                <w:p>
                  <w:pPr>
                    <w:keepNext w:val="0"/>
                    <w:keepLines w:val="0"/>
                    <w:widowControl/>
                    <w:suppressLineNumbers w:val="0"/>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环评、验收、勘探等技术咨询费用；配套水质保护、生态环境恢复等</w:t>
                  </w:r>
                </w:p>
              </w:tc>
              <w:tc>
                <w:tcPr>
                  <w:tcW w:w="1692" w:type="dxa"/>
                  <w:vAlign w:val="center"/>
                </w:tcPr>
                <w:p>
                  <w:pPr>
                    <w:spacing w:line="240" w:lineRule="auto"/>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21.99</w:t>
                  </w:r>
                </w:p>
              </w:tc>
            </w:tr>
            <w:bookmarkEnd w:id="6"/>
            <w:bookmarkEnd w:id="7"/>
            <w:bookmarkEnd w:id="8"/>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4" w:type="dxa"/>
                  <w:gridSpan w:val="2"/>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总计</w:t>
                  </w:r>
                </w:p>
              </w:tc>
              <w:tc>
                <w:tcPr>
                  <w:tcW w:w="3945" w:type="dxa"/>
                  <w:vAlign w:val="center"/>
                </w:tcPr>
                <w:p>
                  <w:p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1692" w:type="dxa"/>
                  <w:vAlign w:val="center"/>
                </w:tcPr>
                <w:p>
                  <w:pPr>
                    <w:spacing w:line="240" w:lineRule="auto"/>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155.49</w:t>
                  </w:r>
                </w:p>
              </w:tc>
            </w:tr>
            <w:bookmarkEnd w:id="9"/>
          </w:tbl>
          <w:p>
            <w:pPr>
              <w:pStyle w:val="4"/>
              <w:rPr>
                <w:rFonts w:hint="default"/>
                <w:color w:val="000000" w:themeColor="text1"/>
                <w:lang w:val="en-US" w:eastAsia="zh-CN"/>
                <w14:textFill>
                  <w14:solidFill>
                    <w14:schemeClr w14:val="tx1"/>
                  </w14:solidFill>
                </w14:textFill>
              </w:rPr>
            </w:pPr>
          </w:p>
        </w:tc>
      </w:tr>
    </w:tbl>
    <w:p>
      <w:pPr>
        <w:rPr>
          <w:color w:val="000000" w:themeColor="text1"/>
          <w14:textFill>
            <w14:solidFill>
              <w14:schemeClr w14:val="tx1"/>
            </w14:solidFill>
          </w14:textFill>
        </w:rPr>
        <w:sectPr>
          <w:pgSz w:w="11907" w:h="16840"/>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3"/>
        <w:bidi w:val="0"/>
        <w:rPr>
          <w:color w:val="000000" w:themeColor="text1"/>
          <w14:textFill>
            <w14:solidFill>
              <w14:schemeClr w14:val="tx1"/>
            </w14:solidFill>
          </w14:textFill>
        </w:rPr>
      </w:pPr>
      <w:bookmarkStart w:id="10" w:name="_Toc29065_WPSOffice_Level1"/>
      <w:bookmarkStart w:id="11" w:name="_Toc25098"/>
      <w:r>
        <w:rPr>
          <w:color w:val="000000" w:themeColor="text1"/>
          <w14:textFill>
            <w14:solidFill>
              <w14:schemeClr w14:val="tx1"/>
            </w14:solidFill>
          </w14:textFill>
        </w:rPr>
        <w:t>六、生态环境保护措施监督检查清单</w:t>
      </w:r>
      <w:bookmarkEnd w:id="10"/>
      <w:bookmarkEnd w:id="11"/>
    </w:p>
    <w:tbl>
      <w:tblPr>
        <w:tblStyle w:val="18"/>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6"/>
        <w:gridCol w:w="4114"/>
        <w:gridCol w:w="3296"/>
        <w:gridCol w:w="695"/>
        <w:gridCol w:w="5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dxa"/>
            <w:vMerge w:val="restart"/>
            <w:tcBorders>
              <w:tl2br w:val="single" w:color="auto" w:sz="4" w:space="0"/>
            </w:tcBorders>
            <w:vAlign w:val="top"/>
          </w:tcPr>
          <w:p>
            <w:pPr>
              <w:pStyle w:val="15"/>
              <w:adjustRightInd w:val="0"/>
              <w:snapToGrid w:val="0"/>
              <w:spacing w:before="72" w:beforeLines="3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12" w:name="_Toc11605"/>
            <w:bookmarkStart w:id="13" w:name="_Toc6744"/>
            <w:bookmarkStart w:id="14" w:name="_Toc21515"/>
            <w:bookmarkStart w:id="15" w:name="_Toc3450"/>
            <w:bookmarkStart w:id="16" w:name="_Toc14270"/>
            <w:bookmarkStart w:id="17" w:name="_Toc79765420"/>
            <w:r>
              <w:rPr>
                <w:rFonts w:ascii="Times New Roman" w:hAnsi="Times New Roman"/>
                <w:color w:val="000000" w:themeColor="text1"/>
                <w:kern w:val="2"/>
                <w:sz w:val="21"/>
                <w:szCs w:val="21"/>
                <w14:textFill>
                  <w14:solidFill>
                    <w14:schemeClr w14:val="tx1"/>
                  </w14:solidFill>
                </w14:textFill>
              </w:rPr>
              <w:t>内容</w:t>
            </w:r>
            <w:bookmarkEnd w:id="12"/>
            <w:bookmarkEnd w:id="13"/>
            <w:bookmarkEnd w:id="14"/>
            <w:bookmarkEnd w:id="15"/>
            <w:bookmarkEnd w:id="16"/>
            <w:bookmarkEnd w:id="17"/>
          </w:p>
          <w:p>
            <w:pPr>
              <w:pStyle w:val="15"/>
              <w:adjustRightInd w:val="0"/>
              <w:snapToGrid w:val="0"/>
              <w:spacing w:before="0" w:beforeAutospacing="0" w:after="0" w:afterAutospacing="0" w:line="240" w:lineRule="auto"/>
              <w:outlineLvl w:val="9"/>
              <w:rPr>
                <w:rFonts w:ascii="Times New Roman" w:hAnsi="Times New Roman"/>
                <w:color w:val="000000" w:themeColor="text1"/>
                <w:kern w:val="2"/>
                <w:sz w:val="21"/>
                <w:szCs w:val="21"/>
                <w14:textFill>
                  <w14:solidFill>
                    <w14:schemeClr w14:val="tx1"/>
                  </w14:solidFill>
                </w14:textFill>
              </w:rPr>
            </w:pPr>
          </w:p>
          <w:p>
            <w:pPr>
              <w:pStyle w:val="15"/>
              <w:adjustRightInd w:val="0"/>
              <w:snapToGrid w:val="0"/>
              <w:spacing w:before="0" w:beforeAutospacing="0" w:after="0" w:afterAutospacing="0" w:line="240" w:lineRule="auto"/>
              <w:outlineLvl w:val="0"/>
              <w:rPr>
                <w:rFonts w:ascii="Times New Roman" w:hAnsi="Times New Roman"/>
                <w:color w:val="000000" w:themeColor="text1"/>
                <w:kern w:val="2"/>
                <w:sz w:val="21"/>
                <w:szCs w:val="21"/>
                <w14:textFill>
                  <w14:solidFill>
                    <w14:schemeClr w14:val="tx1"/>
                  </w14:solidFill>
                </w14:textFill>
              </w:rPr>
            </w:pPr>
            <w:bookmarkStart w:id="18" w:name="_Toc29119"/>
            <w:bookmarkStart w:id="19" w:name="_Toc79765421"/>
            <w:bookmarkStart w:id="20" w:name="_Toc14573"/>
            <w:bookmarkStart w:id="21" w:name="_Toc2114"/>
            <w:bookmarkStart w:id="22" w:name="_Toc11394"/>
            <w:bookmarkStart w:id="23" w:name="_Toc8611"/>
            <w:r>
              <w:rPr>
                <w:rFonts w:ascii="Times New Roman" w:hAnsi="Times New Roman"/>
                <w:color w:val="000000" w:themeColor="text1"/>
                <w:kern w:val="2"/>
                <w:sz w:val="21"/>
                <w:szCs w:val="21"/>
                <w14:textFill>
                  <w14:solidFill>
                    <w14:schemeClr w14:val="tx1"/>
                  </w14:solidFill>
                </w14:textFill>
              </w:rPr>
              <w:t>要素</w:t>
            </w:r>
            <w:bookmarkEnd w:id="18"/>
            <w:bookmarkEnd w:id="19"/>
            <w:bookmarkEnd w:id="20"/>
            <w:bookmarkEnd w:id="21"/>
            <w:bookmarkEnd w:id="22"/>
            <w:bookmarkEnd w:id="23"/>
          </w:p>
        </w:tc>
        <w:tc>
          <w:tcPr>
            <w:tcW w:w="7410" w:type="dxa"/>
            <w:gridSpan w:val="2"/>
            <w:vAlign w:val="center"/>
          </w:tcPr>
          <w:p>
            <w:pPr>
              <w:pStyle w:val="15"/>
              <w:adjustRightInd w:val="0"/>
              <w:snapToGrid w:val="0"/>
              <w:spacing w:before="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24" w:name="_Toc12049"/>
            <w:bookmarkStart w:id="25" w:name="_Toc10169"/>
            <w:bookmarkStart w:id="26" w:name="_Toc18435"/>
            <w:bookmarkStart w:id="27" w:name="_Toc14846"/>
            <w:bookmarkStart w:id="28" w:name="_Toc79765422"/>
            <w:bookmarkStart w:id="29" w:name="_Toc10206"/>
            <w:r>
              <w:rPr>
                <w:rFonts w:ascii="Times New Roman" w:hAnsi="Times New Roman"/>
                <w:color w:val="000000" w:themeColor="text1"/>
                <w:kern w:val="2"/>
                <w:sz w:val="21"/>
                <w:szCs w:val="21"/>
                <w14:textFill>
                  <w14:solidFill>
                    <w14:schemeClr w14:val="tx1"/>
                  </w14:solidFill>
                </w14:textFill>
              </w:rPr>
              <w:t>施工期</w:t>
            </w:r>
            <w:bookmarkEnd w:id="24"/>
            <w:bookmarkEnd w:id="25"/>
            <w:bookmarkEnd w:id="26"/>
            <w:bookmarkEnd w:id="27"/>
            <w:bookmarkEnd w:id="28"/>
            <w:bookmarkEnd w:id="29"/>
          </w:p>
        </w:tc>
        <w:tc>
          <w:tcPr>
            <w:tcW w:w="1252" w:type="dxa"/>
            <w:gridSpan w:val="2"/>
            <w:vAlign w:val="center"/>
          </w:tcPr>
          <w:p>
            <w:pPr>
              <w:pStyle w:val="15"/>
              <w:adjustRightInd w:val="0"/>
              <w:snapToGrid w:val="0"/>
              <w:spacing w:before="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30" w:name="_Toc31782"/>
            <w:bookmarkStart w:id="31" w:name="_Toc14284"/>
            <w:bookmarkStart w:id="32" w:name="_Toc79765423"/>
            <w:bookmarkStart w:id="33" w:name="_Toc11076"/>
            <w:bookmarkStart w:id="34" w:name="_Toc167"/>
            <w:bookmarkStart w:id="35" w:name="_Toc17267"/>
            <w:r>
              <w:rPr>
                <w:rFonts w:ascii="Times New Roman" w:hAnsi="Times New Roman"/>
                <w:color w:val="000000" w:themeColor="text1"/>
                <w:kern w:val="2"/>
                <w:sz w:val="21"/>
                <w:szCs w:val="21"/>
                <w14:textFill>
                  <w14:solidFill>
                    <w14:schemeClr w14:val="tx1"/>
                  </w14:solidFill>
                </w14:textFill>
              </w:rPr>
              <w:t>运营期</w:t>
            </w:r>
            <w:bookmarkEnd w:id="30"/>
            <w:bookmarkEnd w:id="31"/>
            <w:bookmarkEnd w:id="32"/>
            <w:bookmarkEnd w:id="33"/>
            <w:bookmarkEnd w:id="34"/>
            <w:bookmarkEnd w:id="3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26" w:type="dxa"/>
            <w:vMerge w:val="continue"/>
            <w:vAlign w:val="top"/>
          </w:tcPr>
          <w:p>
            <w:pPr>
              <w:pStyle w:val="15"/>
              <w:adjustRightInd w:val="0"/>
              <w:snapToGrid w:val="0"/>
              <w:spacing w:before="0" w:beforeAutospacing="0" w:after="0" w:afterAutospacing="0" w:line="240" w:lineRule="auto"/>
              <w:ind w:firstLine="840"/>
              <w:jc w:val="center"/>
              <w:outlineLvl w:val="9"/>
              <w:rPr>
                <w:rFonts w:ascii="Times New Roman" w:hAnsi="Times New Roman"/>
                <w:color w:val="000000" w:themeColor="text1"/>
                <w:kern w:val="2"/>
                <w:sz w:val="21"/>
                <w:szCs w:val="21"/>
                <w14:textFill>
                  <w14:solidFill>
                    <w14:schemeClr w14:val="tx1"/>
                  </w14:solidFill>
                </w14:textFill>
              </w:rPr>
            </w:pPr>
          </w:p>
        </w:tc>
        <w:tc>
          <w:tcPr>
            <w:tcW w:w="4114" w:type="dxa"/>
            <w:vAlign w:val="center"/>
          </w:tcPr>
          <w:p>
            <w:pPr>
              <w:pStyle w:val="15"/>
              <w:adjustRightInd w:val="0"/>
              <w:snapToGrid w:val="0"/>
              <w:spacing w:before="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36" w:name="_Toc24036"/>
            <w:bookmarkStart w:id="37" w:name="_Toc32412"/>
            <w:bookmarkStart w:id="38" w:name="_Toc5750"/>
            <w:bookmarkStart w:id="39" w:name="_Toc79765424"/>
            <w:bookmarkStart w:id="40" w:name="_Toc11248"/>
            <w:bookmarkStart w:id="41" w:name="_Toc13288"/>
            <w:r>
              <w:rPr>
                <w:rFonts w:ascii="Times New Roman" w:hAnsi="Times New Roman"/>
                <w:color w:val="000000" w:themeColor="text1"/>
                <w:kern w:val="2"/>
                <w:sz w:val="21"/>
                <w:szCs w:val="21"/>
                <w14:textFill>
                  <w14:solidFill>
                    <w14:schemeClr w14:val="tx1"/>
                  </w14:solidFill>
                </w14:textFill>
              </w:rPr>
              <w:t>环境保护措施</w:t>
            </w:r>
            <w:bookmarkEnd w:id="36"/>
            <w:bookmarkEnd w:id="37"/>
            <w:bookmarkEnd w:id="38"/>
            <w:bookmarkEnd w:id="39"/>
            <w:bookmarkEnd w:id="40"/>
            <w:bookmarkEnd w:id="41"/>
          </w:p>
        </w:tc>
        <w:tc>
          <w:tcPr>
            <w:tcW w:w="3296" w:type="dxa"/>
            <w:vAlign w:val="center"/>
          </w:tcPr>
          <w:p>
            <w:pPr>
              <w:pStyle w:val="15"/>
              <w:adjustRightInd w:val="0"/>
              <w:snapToGrid w:val="0"/>
              <w:spacing w:before="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42" w:name="_Toc79765425"/>
            <w:bookmarkStart w:id="43" w:name="_Toc12869"/>
            <w:bookmarkStart w:id="44" w:name="_Toc16801"/>
            <w:bookmarkStart w:id="45" w:name="_Toc9471"/>
            <w:bookmarkStart w:id="46" w:name="_Toc24519"/>
            <w:bookmarkStart w:id="47" w:name="_Toc21069"/>
            <w:r>
              <w:rPr>
                <w:rFonts w:ascii="Times New Roman" w:hAnsi="Times New Roman"/>
                <w:color w:val="000000" w:themeColor="text1"/>
                <w:kern w:val="2"/>
                <w:sz w:val="21"/>
                <w:szCs w:val="21"/>
                <w14:textFill>
                  <w14:solidFill>
                    <w14:schemeClr w14:val="tx1"/>
                  </w14:solidFill>
                </w14:textFill>
              </w:rPr>
              <w:t>验收要求</w:t>
            </w:r>
            <w:bookmarkEnd w:id="42"/>
            <w:bookmarkEnd w:id="43"/>
            <w:bookmarkEnd w:id="44"/>
            <w:bookmarkEnd w:id="45"/>
            <w:bookmarkEnd w:id="46"/>
            <w:bookmarkEnd w:id="47"/>
          </w:p>
        </w:tc>
        <w:tc>
          <w:tcPr>
            <w:tcW w:w="695" w:type="dxa"/>
            <w:vAlign w:val="center"/>
          </w:tcPr>
          <w:p>
            <w:pPr>
              <w:pStyle w:val="15"/>
              <w:adjustRightInd w:val="0"/>
              <w:snapToGrid w:val="0"/>
              <w:spacing w:before="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48" w:name="_Toc7933"/>
            <w:bookmarkStart w:id="49" w:name="_Toc79765426"/>
            <w:bookmarkStart w:id="50" w:name="_Toc2914"/>
            <w:bookmarkStart w:id="51" w:name="_Toc16667"/>
            <w:bookmarkStart w:id="52" w:name="_Toc2664"/>
            <w:bookmarkStart w:id="53" w:name="_Toc12757"/>
            <w:r>
              <w:rPr>
                <w:rFonts w:ascii="Times New Roman" w:hAnsi="Times New Roman"/>
                <w:color w:val="000000" w:themeColor="text1"/>
                <w:kern w:val="2"/>
                <w:sz w:val="21"/>
                <w:szCs w:val="21"/>
                <w14:textFill>
                  <w14:solidFill>
                    <w14:schemeClr w14:val="tx1"/>
                  </w14:solidFill>
                </w14:textFill>
              </w:rPr>
              <w:t>环境保护措施</w:t>
            </w:r>
            <w:bookmarkEnd w:id="48"/>
            <w:bookmarkEnd w:id="49"/>
            <w:bookmarkEnd w:id="50"/>
            <w:bookmarkEnd w:id="51"/>
            <w:bookmarkEnd w:id="52"/>
            <w:bookmarkEnd w:id="53"/>
          </w:p>
        </w:tc>
        <w:tc>
          <w:tcPr>
            <w:tcW w:w="557" w:type="dxa"/>
            <w:vAlign w:val="center"/>
          </w:tcPr>
          <w:p>
            <w:pPr>
              <w:pStyle w:val="15"/>
              <w:adjustRightInd w:val="0"/>
              <w:snapToGrid w:val="0"/>
              <w:spacing w:before="0" w:beforeAutospacing="0" w:after="0" w:afterAutospacing="0" w:line="240" w:lineRule="auto"/>
              <w:jc w:val="center"/>
              <w:outlineLvl w:val="0"/>
              <w:rPr>
                <w:rFonts w:ascii="Times New Roman" w:hAnsi="Times New Roman"/>
                <w:color w:val="000000" w:themeColor="text1"/>
                <w:kern w:val="2"/>
                <w:sz w:val="21"/>
                <w:szCs w:val="21"/>
                <w14:textFill>
                  <w14:solidFill>
                    <w14:schemeClr w14:val="tx1"/>
                  </w14:solidFill>
                </w14:textFill>
              </w:rPr>
            </w:pPr>
            <w:bookmarkStart w:id="54" w:name="_Toc17975"/>
            <w:bookmarkStart w:id="55" w:name="_Toc79765427"/>
            <w:bookmarkStart w:id="56" w:name="_Toc14061"/>
            <w:bookmarkStart w:id="57" w:name="_Toc14872"/>
            <w:bookmarkStart w:id="58" w:name="_Toc13189"/>
            <w:bookmarkStart w:id="59" w:name="_Toc2918"/>
            <w:r>
              <w:rPr>
                <w:rFonts w:ascii="Times New Roman" w:hAnsi="Times New Roman"/>
                <w:color w:val="000000" w:themeColor="text1"/>
                <w:kern w:val="2"/>
                <w:sz w:val="21"/>
                <w:szCs w:val="21"/>
                <w14:textFill>
                  <w14:solidFill>
                    <w14:schemeClr w14:val="tx1"/>
                  </w14:solidFill>
                </w14:textFill>
              </w:rPr>
              <w:t>验收要求</w:t>
            </w:r>
            <w:bookmarkEnd w:id="54"/>
            <w:bookmarkEnd w:id="55"/>
            <w:bookmarkEnd w:id="56"/>
            <w:bookmarkEnd w:id="57"/>
            <w:bookmarkEnd w:id="58"/>
            <w:bookmarkEnd w:id="5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陆生生态</w:t>
            </w:r>
          </w:p>
        </w:tc>
        <w:tc>
          <w:tcPr>
            <w:tcW w:w="4114"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①控制占地，优先避让；②占地区表土剥离，单独存放。恢复植被；③栽种的植物应是国家与准栽种的宜土宜种植物。 </w:t>
            </w:r>
          </w:p>
        </w:tc>
        <w:tc>
          <w:tcPr>
            <w:tcW w:w="3296"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植被恢复</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水生生态</w:t>
            </w:r>
          </w:p>
        </w:tc>
        <w:tc>
          <w:tcPr>
            <w:tcW w:w="411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①加强对施工人员自然保护教育；②施工前必须对可能影响到的河段进行认真调查；③加强施工期 “三废”的管理；</w:t>
            </w:r>
          </w:p>
        </w:tc>
        <w:tc>
          <w:tcPr>
            <w:tcW w:w="3296" w:type="dxa"/>
            <w:vAlign w:val="center"/>
          </w:tcPr>
          <w:p>
            <w:pPr>
              <w:adjustRightInd w:val="0"/>
              <w:snapToGrid w:val="0"/>
              <w:spacing w:line="240" w:lineRule="auto"/>
              <w:jc w:val="center"/>
              <w:rPr>
                <w:rFonts w:hint="default"/>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减少对</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涉及溪流的影响</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w:t>
            </w:r>
          </w:p>
        </w:tc>
        <w:tc>
          <w:tcPr>
            <w:tcW w:w="4114"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①施工生活污水排入已建有的污水系统；②施工废水经隔油沉淀处理后全部回用；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③</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隧道涌水通过临时排水沟排入沉淀池</w:t>
            </w:r>
          </w:p>
        </w:tc>
        <w:tc>
          <w:tcPr>
            <w:tcW w:w="3296"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施工废水沉淀处理后回用，不外排；</w:t>
            </w:r>
            <w:r>
              <w:rPr>
                <w:rFonts w:hint="eastAsia"/>
                <w:color w:val="000000" w:themeColor="text1"/>
                <w:sz w:val="21"/>
                <w:szCs w:val="21"/>
                <w:lang w:val="en-US" w:eastAsia="zh-CN"/>
                <w14:textFill>
                  <w14:solidFill>
                    <w14:schemeClr w14:val="tx1"/>
                  </w14:solidFill>
                </w14:textFill>
              </w:rPr>
              <w:t>施工废水处理后回用于生产或降尘；隧洞涌水经处理后排放至</w:t>
            </w:r>
            <w:r>
              <w:rPr>
                <w:rFonts w:hint="eastAsia" w:hAnsi="仿宋"/>
                <w:color w:val="000000" w:themeColor="text1"/>
                <w:sz w:val="21"/>
                <w:szCs w:val="21"/>
                <w:highlight w:val="none"/>
                <w:lang w:val="en-US" w:eastAsia="zh-CN"/>
                <w14:textFill>
                  <w14:solidFill>
                    <w14:schemeClr w14:val="tx1"/>
                  </w14:solidFill>
                </w14:textFill>
              </w:rPr>
              <w:t>南埕山隧道所在公路两边自然沟渠或庙后溪</w:t>
            </w:r>
            <w:r>
              <w:rPr>
                <w:rFonts w:hint="eastAsia"/>
                <w:color w:val="000000" w:themeColor="text1"/>
                <w:sz w:val="21"/>
                <w:szCs w:val="21"/>
                <w:lang w:val="en-US" w:eastAsia="zh-CN"/>
                <w14:textFill>
                  <w14:solidFill>
                    <w14:schemeClr w14:val="tx1"/>
                  </w14:solidFill>
                </w14:textFill>
              </w:rPr>
              <w:t>；</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地下水及土壤环境</w:t>
            </w:r>
          </w:p>
        </w:tc>
        <w:tc>
          <w:tcPr>
            <w:tcW w:w="411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29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4114" w:type="dxa"/>
            <w:vAlign w:val="center"/>
          </w:tcPr>
          <w:p>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选用低噪声设备</w:t>
            </w:r>
          </w:p>
        </w:tc>
        <w:tc>
          <w:tcPr>
            <w:tcW w:w="3296" w:type="dxa"/>
            <w:vAlign w:val="center"/>
          </w:tcPr>
          <w:p>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噪声达标排放</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振动</w:t>
            </w:r>
          </w:p>
        </w:tc>
        <w:tc>
          <w:tcPr>
            <w:tcW w:w="411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29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4114" w:type="dxa"/>
            <w:vAlign w:val="center"/>
          </w:tcPr>
          <w:p>
            <w:pPr>
              <w:adjustRightInd w:val="0"/>
              <w:snapToGrid w:val="0"/>
              <w:spacing w:line="240" w:lineRule="auto"/>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土石方运输应向有关行政主管部门申请运输路线，车辆应当按照批准的路线和时间进行土石方的运输。②建设单位在施工期间，应设置施工标志牌。施工标志牌应当标明工程项目名称、建设单位、设计单位、施工单位、监理单位名称，项目经理姓名、联系电话，开工和计划竣工日期，施工许可证批准文号以及监督电话、当地环境保护主管部门的污染举报电话等。③对于裸露施工区地表压实处理并洒水。④施工单位必须选用符合国家卫生防护标准的施工机械设备和运输工具，确保其废气排放符合国家有关标准。</w:t>
            </w:r>
          </w:p>
        </w:tc>
        <w:tc>
          <w:tcPr>
            <w:tcW w:w="3296"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施工扬尘排放执行《大气污染物综合排放标准》（GB16297-1996）中无组织排放监控浓度限值：颗粒物周界外浓度最高点≤1.0mg/m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4114"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弃方及建筑垃圾合理处置，施工垃圾临时堆放时，要选择适当地点，堆放有序；施工人员的生活垃圾、施工物料垃圾等分类收集，废弃物应在施工中回收利用；其余垃圾分类集中堆放，联系环卫部门及时清运。</w:t>
            </w:r>
          </w:p>
        </w:tc>
        <w:tc>
          <w:tcPr>
            <w:tcW w:w="3296" w:type="dxa"/>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均得到合理处置</w:t>
            </w:r>
          </w:p>
        </w:tc>
        <w:tc>
          <w:tcPr>
            <w:tcW w:w="695"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7" w:type="dxa"/>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电磁环境</w:t>
            </w:r>
          </w:p>
        </w:tc>
        <w:tc>
          <w:tcPr>
            <w:tcW w:w="411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29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95"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57"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环境监测</w:t>
            </w:r>
          </w:p>
        </w:tc>
        <w:tc>
          <w:tcPr>
            <w:tcW w:w="411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按本报告中监测计划开展</w:t>
            </w:r>
          </w:p>
        </w:tc>
        <w:tc>
          <w:tcPr>
            <w:tcW w:w="329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按计划开展</w:t>
            </w:r>
          </w:p>
        </w:tc>
        <w:tc>
          <w:tcPr>
            <w:tcW w:w="695" w:type="dxa"/>
            <w:vAlign w:val="center"/>
          </w:tcPr>
          <w:p>
            <w:pPr>
              <w:adjustRightInd w:val="0"/>
              <w:snapToGrid w:val="0"/>
              <w:spacing w:line="240" w:lineRule="auto"/>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按本报告中监测计划开展</w:t>
            </w:r>
          </w:p>
        </w:tc>
        <w:tc>
          <w:tcPr>
            <w:tcW w:w="557" w:type="dxa"/>
            <w:vAlign w:val="center"/>
          </w:tcPr>
          <w:p>
            <w:pPr>
              <w:adjustRightInd w:val="0"/>
              <w:snapToGrid w:val="0"/>
              <w:spacing w:line="240" w:lineRule="auto"/>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按计划开展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26"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w:t>
            </w:r>
          </w:p>
        </w:tc>
        <w:tc>
          <w:tcPr>
            <w:tcW w:w="4114" w:type="dxa"/>
            <w:vAlign w:val="center"/>
          </w:tcPr>
          <w:p>
            <w:pPr>
              <w:spacing w:line="240" w:lineRule="auto"/>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按水土保持方案认真组织实施。</w:t>
            </w:r>
          </w:p>
        </w:tc>
        <w:tc>
          <w:tcPr>
            <w:tcW w:w="3296" w:type="dxa"/>
            <w:vAlign w:val="center"/>
          </w:tcPr>
          <w:p>
            <w:pPr>
              <w:adjustRightInd w:val="0"/>
              <w:snapToGrid w:val="0"/>
              <w:spacing w:line="240" w:lineRule="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符合“水保法”的要求。“三同时”要求并与景观环境相协调。</w:t>
            </w:r>
          </w:p>
        </w:tc>
        <w:tc>
          <w:tcPr>
            <w:tcW w:w="1252" w:type="dxa"/>
            <w:gridSpan w:val="2"/>
            <w:vAlign w:val="center"/>
          </w:tcPr>
          <w:p>
            <w:pPr>
              <w:spacing w:line="240" w:lineRule="auto"/>
              <w:jc w:val="center"/>
              <w:rPr>
                <w:color w:val="000000" w:themeColor="text1"/>
                <w:sz w:val="21"/>
                <w:szCs w:val="21"/>
                <w14:textFill>
                  <w14:solidFill>
                    <w14:schemeClr w14:val="tx1"/>
                  </w14:solidFill>
                </w14:textFill>
              </w:rPr>
            </w:pPr>
          </w:p>
        </w:tc>
      </w:tr>
    </w:tbl>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p>
      <w:pPr>
        <w:pStyle w:val="3"/>
        <w:bidi w:val="0"/>
        <w:rPr>
          <w:color w:val="000000" w:themeColor="text1"/>
          <w14:textFill>
            <w14:solidFill>
              <w14:schemeClr w14:val="tx1"/>
            </w14:solidFill>
          </w14:textFill>
        </w:rPr>
      </w:pPr>
      <w:bookmarkStart w:id="60" w:name="_Toc28202"/>
      <w:bookmarkStart w:id="61" w:name="_Toc9599_WPSOffice_Level1"/>
      <w:r>
        <w:rPr>
          <w:color w:val="000000" w:themeColor="text1"/>
          <w14:textFill>
            <w14:solidFill>
              <w14:schemeClr w14:val="tx1"/>
            </w14:solidFill>
          </w14:textFill>
        </w:rPr>
        <w:t>七、结论</w:t>
      </w:r>
      <w:bookmarkEnd w:id="60"/>
      <w:bookmarkEnd w:id="61"/>
    </w:p>
    <w:tbl>
      <w:tblPr>
        <w:tblStyle w:val="18"/>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top"/>
          </w:tcPr>
          <w:p>
            <w:pPr>
              <w:spacing w:line="360" w:lineRule="auto"/>
              <w:ind w:firstLine="480"/>
              <w:rPr>
                <w:rFonts w:hint="eastAsia" w:hAnsi="仿宋"/>
                <w:color w:val="000000" w:themeColor="text1"/>
                <w:sz w:val="24"/>
                <w:szCs w:val="24"/>
                <w:highlight w:val="none"/>
                <w:lang w:val="en-US" w:eastAsia="zh-CN"/>
                <w14:textFill>
                  <w14:solidFill>
                    <w14:schemeClr w14:val="tx1"/>
                  </w14:solidFill>
                </w14:textFill>
              </w:rPr>
            </w:pPr>
            <w:r>
              <w:rPr>
                <w:rFonts w:hint="eastAsia" w:hAnsi="仿宋"/>
                <w:color w:val="000000" w:themeColor="text1"/>
                <w:sz w:val="24"/>
                <w:szCs w:val="24"/>
                <w:highlight w:val="none"/>
                <w:lang w:val="en-US" w:eastAsia="zh-CN"/>
                <w14:textFill>
                  <w14:solidFill>
                    <w14:schemeClr w14:val="tx1"/>
                  </w14:solidFill>
                </w14:textFill>
              </w:rPr>
              <w:t>本项目属于防洪排涝工程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建成后具有良好的社会效益。</w:t>
            </w:r>
            <w:r>
              <w:rPr>
                <w:rFonts w:hint="eastAsia" w:cs="Times New Roman"/>
                <w:color w:val="000000" w:themeColor="text1"/>
                <w:sz w:val="24"/>
                <w:szCs w:val="24"/>
                <w:highlight w:val="none"/>
                <w:lang w:val="en-US" w:eastAsia="zh-CN"/>
                <w14:textFill>
                  <w14:solidFill>
                    <w14:schemeClr w14:val="tx1"/>
                  </w14:solidFill>
                </w14:textFill>
              </w:rPr>
              <w:t>项目选址选线基本合理，</w:t>
            </w:r>
            <w:r>
              <w:rPr>
                <w:color w:val="000000" w:themeColor="text1"/>
                <w:sz w:val="24"/>
                <w:highlight w:val="none"/>
                <w14:textFill>
                  <w14:solidFill>
                    <w14:schemeClr w14:val="tx1"/>
                  </w14:solidFill>
                </w14:textFill>
              </w:rPr>
              <w:t>符合国家相关产业政策</w:t>
            </w:r>
            <w:r>
              <w:rPr>
                <w:rFonts w:hint="eastAsia"/>
                <w:color w:val="000000" w:themeColor="text1"/>
                <w:sz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highlight w:val="none"/>
                <w14:textFill>
                  <w14:solidFill>
                    <w14:schemeClr w14:val="tx1"/>
                  </w14:solidFill>
                </w14:textFill>
              </w:rPr>
              <w:t>福鼎市城乡总体规划</w:t>
            </w:r>
            <w:r>
              <w:rPr>
                <w:rFonts w:hint="eastAsia" w:cs="Times New Roman"/>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福鼎硖门防洪排涝规划</w:t>
            </w:r>
            <w:r>
              <w:rPr>
                <w:rFonts w:hint="eastAsia" w:cs="Times New Roman"/>
                <w:color w:val="000000" w:themeColor="text1"/>
                <w:sz w:val="24"/>
                <w:szCs w:val="24"/>
                <w:highlight w:val="none"/>
                <w:lang w:val="en-US" w:eastAsia="zh-CN"/>
                <w14:textFill>
                  <w14:solidFill>
                    <w14:schemeClr w14:val="tx1"/>
                  </w14:solidFill>
                </w14:textFill>
              </w:rPr>
              <w:t>要求，符合</w:t>
            </w:r>
            <w:r>
              <w:rPr>
                <w:rFonts w:hint="eastAsia" w:ascii="宋体" w:hAnsi="宋体" w:eastAsia="宋体" w:cs="宋体"/>
                <w:color w:val="000000" w:themeColor="text1"/>
                <w:sz w:val="24"/>
                <w:highlight w:val="none"/>
                <w14:textFill>
                  <w14:solidFill>
                    <w14:schemeClr w14:val="tx1"/>
                  </w14:solidFill>
                </w14:textFill>
              </w:rPr>
              <w:t>“三线一单”</w:t>
            </w:r>
            <w:r>
              <w:rPr>
                <w:color w:val="000000" w:themeColor="text1"/>
                <w:sz w:val="24"/>
                <w:highlight w:val="none"/>
                <w14:textFill>
                  <w14:solidFill>
                    <w14:schemeClr w14:val="tx1"/>
                  </w14:solidFill>
                </w14:textFill>
              </w:rPr>
              <w:t>控制要求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项目建设期</w:t>
            </w:r>
            <w:r>
              <w:rPr>
                <w:rFonts w:hint="eastAsia" w:cs="Times New Roman"/>
                <w:color w:val="000000" w:themeColor="text1"/>
                <w:kern w:val="0"/>
                <w:sz w:val="24"/>
                <w:highlight w:val="none"/>
                <w:lang w:val="en-US" w:eastAsia="zh-CN"/>
                <w14:textFill>
                  <w14:solidFill>
                    <w14:schemeClr w14:val="tx1"/>
                  </w14:solidFill>
                </w14:textFill>
              </w:rPr>
              <w:t>对区域环境将产生一定的不利环境</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影响，</w:t>
            </w:r>
            <w:r>
              <w:rPr>
                <w:rFonts w:hint="eastAsia" w:cs="Times New Roman"/>
                <w:color w:val="000000" w:themeColor="text1"/>
                <w:kern w:val="0"/>
                <w:sz w:val="24"/>
                <w:highlight w:val="none"/>
                <w:lang w:val="en-US" w:eastAsia="zh-CN"/>
                <w14:textFill>
                  <w14:solidFill>
                    <w14:schemeClr w14:val="tx1"/>
                  </w14:solidFill>
                </w14:textFill>
              </w:rPr>
              <w:t>在</w:t>
            </w:r>
            <w:r>
              <w:rPr>
                <w:rFonts w:hint="eastAsia" w:cs="Times New Roman"/>
                <w:color w:val="000000" w:themeColor="text1"/>
                <w:highlight w:val="none"/>
                <w:lang w:val="en-US" w:eastAsia="zh-CN"/>
                <w14:textFill>
                  <w14:solidFill>
                    <w14:schemeClr w14:val="tx1"/>
                  </w14:solidFill>
                </w14:textFill>
              </w:rPr>
              <w:t>设计、施工及运行过程中，建设单位及施工单位要加强管理，认真落实本报告中提出的各项污染防治措施及生态环境保护和恢复措施，将工程对环境的影响降到最低程度</w:t>
            </w:r>
            <w:r>
              <w:rPr>
                <w:rFonts w:hint="eastAsia" w:hAnsi="仿宋"/>
                <w:color w:val="000000" w:themeColor="text1"/>
                <w:sz w:val="24"/>
                <w:szCs w:val="24"/>
                <w:highlight w:val="none"/>
                <w:lang w:val="en-US" w:eastAsia="zh-CN"/>
                <w14:textFill>
                  <w14:solidFill>
                    <w14:schemeClr w14:val="tx1"/>
                  </w14:solidFill>
                </w14:textFill>
              </w:rPr>
              <w:t>；通过本项目的建设，可提高项目区防洪减灾能力、完善防洪排涝体系、保障地区社会经济发展，能有效减轻下游硖门畲族乡集镇的防洪排涝压力，且此有利影响是长期的。</w:t>
            </w:r>
            <w:r>
              <w:rPr>
                <w:color w:val="000000" w:themeColor="text1"/>
                <w:sz w:val="24"/>
                <w:highlight w:val="none"/>
                <w14:textFill>
                  <w14:solidFill>
                    <w14:schemeClr w14:val="tx1"/>
                  </w14:solidFill>
                </w14:textFill>
              </w:rPr>
              <w:t>从环境保护角度分析论证，本项目建设可行</w:t>
            </w:r>
            <w:r>
              <w:rPr>
                <w:rFonts w:hint="eastAsia" w:cs="Times New Roman"/>
                <w:color w:val="000000" w:themeColor="text1"/>
                <w:highlight w:val="none"/>
                <w:lang w:val="en-US" w:eastAsia="zh-CN"/>
                <w14:textFill>
                  <w14:solidFill>
                    <w14:schemeClr w14:val="tx1"/>
                  </w14:solidFill>
                </w14:textFill>
              </w:rPr>
              <w:t>。</w:t>
            </w:r>
          </w:p>
          <w:p>
            <w:pPr>
              <w:pStyle w:val="3"/>
              <w:numPr>
                <w:ilvl w:val="0"/>
                <w:numId w:val="0"/>
              </w:numPr>
              <w:ind w:leftChars="0"/>
              <w:rPr>
                <w:rFonts w:hint="eastAsia"/>
                <w:color w:val="000000" w:themeColor="text1"/>
                <w:lang w:val="en-US" w:eastAsia="zh-CN"/>
                <w14:textFill>
                  <w14:solidFill>
                    <w14:schemeClr w14:val="tx1"/>
                  </w14:solidFill>
                </w14:textFill>
              </w:rPr>
            </w:pPr>
          </w:p>
          <w:p>
            <w:pPr>
              <w:pageBreakBefore w:val="0"/>
              <w:widowControl w:val="0"/>
              <w:kinsoku/>
              <w:overflowPunct/>
              <w:topLinePunct w:val="0"/>
              <w:autoSpaceDE/>
              <w:autoSpaceDN/>
              <w:bidi w:val="0"/>
              <w:adjustRightInd/>
              <w:snapToGrid/>
              <w:spacing w:line="480" w:lineRule="auto"/>
              <w:jc w:val="right"/>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福建省闽创环保科技有限公司</w:t>
            </w:r>
          </w:p>
          <w:p>
            <w:pPr>
              <w:pStyle w:val="4"/>
              <w:wordWrap w:val="0"/>
              <w:adjustRightInd/>
              <w:snapToGrid/>
              <w:spacing w:line="480" w:lineRule="auto"/>
              <w:jc w:val="right"/>
              <w:rPr>
                <w:color w:val="000000" w:themeColor="text1"/>
                <w:szCs w:val="2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2022年6月</w:t>
            </w:r>
          </w:p>
        </w:tc>
      </w:tr>
    </w:tbl>
    <w:p>
      <w:pPr>
        <w:rPr>
          <w:rFonts w:hint="default"/>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附图1 建设项目地理位置图</w:t>
      </w:r>
    </w:p>
    <w:p>
      <w:pPr>
        <w:jc w:val="center"/>
        <w:rPr>
          <w:rFonts w:hint="default"/>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outlineLvl w:val="3"/>
        <w:rPr>
          <w:rFonts w:hint="default"/>
          <w:color w:val="000000" w:themeColor="text1"/>
          <w:sz w:val="24"/>
          <w:szCs w:val="24"/>
          <w:lang w:val="en-US" w:eastAsia="zh-CN"/>
          <w14:textFill>
            <w14:solidFill>
              <w14:schemeClr w14:val="tx1"/>
            </w14:solidFill>
          </w14:textFill>
        </w:rPr>
      </w:pPr>
      <w:r>
        <w:rPr>
          <w:rStyle w:val="44"/>
          <w:rFonts w:hint="eastAsia"/>
          <w:b/>
          <w:bCs/>
          <w:color w:val="000000" w:themeColor="text1"/>
          <w:lang w:val="en-US" w:eastAsia="zh-CN"/>
          <w14:textFill>
            <w14:solidFill>
              <w14:schemeClr w14:val="tx1"/>
            </w14:solidFill>
          </w14:textFill>
        </w:rPr>
        <w:t>附图2 总平面布置图</w:t>
      </w:r>
    </w:p>
    <w:p>
      <w:pPr>
        <w:pStyle w:val="4"/>
        <w:rPr>
          <w:rFonts w:hint="eastAsia" w:eastAsia="宋体"/>
          <w:color w:val="000000" w:themeColor="text1"/>
          <w:lang w:val="en-US" w:eastAsia="zh-CN"/>
          <w14:textFill>
            <w14:solidFill>
              <w14:schemeClr w14:val="tx1"/>
            </w14:solidFill>
          </w14:textFill>
        </w:rPr>
        <w:sectPr>
          <w:pgSz w:w="23811" w:h="16838"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12216765</wp:posOffset>
            </wp:positionH>
            <wp:positionV relativeFrom="paragraph">
              <wp:posOffset>191135</wp:posOffset>
            </wp:positionV>
            <wp:extent cx="581025" cy="774700"/>
            <wp:effectExtent l="0" t="0" r="9525" b="635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8"/>
                    <a:stretch>
                      <a:fillRect/>
                    </a:stretch>
                  </pic:blipFill>
                  <pic:spPr>
                    <a:xfrm>
                      <a:off x="0" y="0"/>
                      <a:ext cx="581025" cy="774700"/>
                    </a:xfrm>
                    <a:prstGeom prst="rect">
                      <a:avLst/>
                    </a:prstGeom>
                    <a:noFill/>
                    <a:ln>
                      <a:noFill/>
                    </a:ln>
                  </pic:spPr>
                </pic:pic>
              </a:graphicData>
            </a:graphic>
          </wp:anchor>
        </w:drawing>
      </w:r>
    </w:p>
    <w:p>
      <w:pPr>
        <w:pStyle w:val="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附图3 硖门溪水系图</w:t>
      </w:r>
    </w:p>
    <w:p>
      <w:pPr>
        <w:jc w:val="center"/>
        <w:rPr>
          <w:rFonts w:hint="default"/>
          <w:b/>
          <w:bCs/>
          <w:color w:val="000000" w:themeColor="text1"/>
          <w:sz w:val="24"/>
          <w:szCs w:val="24"/>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附图4 生态保护红线图叠图</w:t>
      </w:r>
    </w:p>
    <w:p>
      <w:pPr>
        <w:jc w:val="center"/>
        <w:rPr>
          <w:rFonts w:hint="default"/>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附图5 生态环境保护目标分布及位置关系图</w:t>
      </w:r>
    </w:p>
    <w:p>
      <w:pPr>
        <w:pStyle w:val="3"/>
        <w:numPr>
          <w:ilvl w:val="0"/>
          <w:numId w:val="0"/>
        </w:numPr>
        <w:ind w:leftChars="0"/>
        <w:jc w:val="center"/>
        <w:rPr>
          <w:rFonts w:hint="eastAsia"/>
          <w:b/>
          <w:bCs/>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附件1 委托书</w:t>
      </w:r>
    </w:p>
    <w:p>
      <w:pPr>
        <w:pStyle w:val="3"/>
        <w:numPr>
          <w:ilvl w:val="0"/>
          <w:numId w:val="0"/>
        </w:numPr>
        <w:ind w:leftChars="0"/>
        <w:rPr>
          <w:rFonts w:hint="default"/>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eastAsia"/>
          <w:b/>
          <w:bCs/>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附件2 营业执照</w:t>
      </w:r>
    </w:p>
    <w:p>
      <w:pPr>
        <w:bidi w:val="0"/>
        <w:jc w:val="center"/>
        <w:rPr>
          <w:rFonts w:hint="default"/>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附件3 可研批复</w:t>
      </w:r>
    </w:p>
    <w:p>
      <w:pPr>
        <w:numPr>
          <w:ilvl w:val="0"/>
          <w:numId w:val="0"/>
        </w:numPr>
        <w:tabs>
          <w:tab w:val="left" w:pos="0"/>
        </w:tabs>
        <w:ind w:leftChars="0"/>
        <w:jc w:val="center"/>
        <w:outlineLvl w:val="9"/>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jc w:val="center"/>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p>
      <w:pPr>
        <w:outlineLvl w:val="3"/>
        <w:rPr>
          <w:rStyle w:val="44"/>
          <w:rFonts w:hint="default"/>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Style w:val="44"/>
          <w:rFonts w:hint="eastAsia"/>
          <w:color w:val="000000" w:themeColor="text1"/>
          <w:lang w:val="en-US" w:eastAsia="zh-CN"/>
          <w14:textFill>
            <w14:solidFill>
              <w14:schemeClr w14:val="tx1"/>
            </w14:solidFill>
          </w14:textFill>
        </w:rPr>
        <w:t>附件4 福鼎市发展和改革局关于福鼎市硖门庙后溪山洪治理（高水高排）工程变更项目名称及项目业主的批复</w:t>
      </w:r>
    </w:p>
    <w:p>
      <w:pPr>
        <w:outlineLvl w:val="3"/>
        <w:rPr>
          <w:rFonts w:hint="default"/>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Style w:val="44"/>
          <w:rFonts w:hint="eastAsia"/>
          <w:color w:val="000000" w:themeColor="text1"/>
          <w:lang w:val="en-US" w:eastAsia="zh-CN"/>
          <w14:textFill>
            <w14:solidFill>
              <w14:schemeClr w14:val="tx1"/>
            </w14:solidFill>
          </w14:textFill>
        </w:rPr>
        <w:t>附件5 土石方接收说明函</w:t>
      </w:r>
    </w:p>
    <w:p>
      <w:pPr>
        <w:pStyle w:val="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附件6 搬迁人员安置说明</w:t>
      </w:r>
    </w:p>
    <w:p>
      <w:pPr>
        <w:bidi w:val="0"/>
        <w:jc w:val="center"/>
        <w:rPr>
          <w:rFonts w:hint="default"/>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bidi w:val="0"/>
        <w:rPr>
          <w:rFonts w:hint="eastAsia"/>
          <w:b/>
          <w:bCs/>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附件7 选址意见书</w:t>
      </w:r>
    </w:p>
    <w:p>
      <w:pPr>
        <w:bidi w:val="0"/>
        <w:jc w:val="center"/>
        <w:rPr>
          <w:rFonts w:hint="default"/>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48"/>
        <w:shd w:val="clear"/>
        <w:bidi w:val="0"/>
        <w:outlineLvl w:val="3"/>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附件8 </w:t>
      </w:r>
      <w:r>
        <w:rPr>
          <w:rFonts w:hint="eastAsia"/>
          <w:color w:val="000000" w:themeColor="text1"/>
          <w:highlight w:val="none"/>
          <w:lang w:val="en-US" w:eastAsia="zh-CN"/>
          <w14:textFill>
            <w14:solidFill>
              <w14:schemeClr w14:val="tx1"/>
            </w14:solidFill>
          </w14:textFill>
        </w:rPr>
        <w:t>建设单位承诺书</w:t>
      </w:r>
    </w:p>
    <w:p>
      <w:pPr>
        <w:rPr>
          <w:rFonts w:hint="eastAsia"/>
          <w:lang w:val="en-US" w:eastAsia="zh-CN"/>
        </w:rPr>
      </w:pPr>
    </w:p>
    <w:p>
      <w:pPr>
        <w:pStyle w:val="2"/>
        <w:jc w:val="both"/>
        <w:rPr>
          <w:rFonts w:hint="default"/>
          <w:lang w:val="en-US" w:eastAsia="zh-CN"/>
        </w:rPr>
      </w:pP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宋">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1"/>
      </w:rPr>
    </w:pPr>
    <w:r>
      <w:fldChar w:fldCharType="begin"/>
    </w:r>
    <w:r>
      <w:rPr>
        <w:rStyle w:val="21"/>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jc w:val="center"/>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szCs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8</w:t>
                          </w:r>
                          <w:r>
                            <w:rPr>
                              <w:rFonts w:ascii="宋体" w:hAnsi="宋体"/>
                              <w:sz w:val="26"/>
                              <w:szCs w:val="26"/>
                            </w:rPr>
                            <w:fldChar w:fldCharType="end"/>
                          </w:r>
                          <w:r>
                            <w:rPr>
                              <w:rStyle w:val="21"/>
                              <w:rFonts w:hint="eastAsia" w:ascii="宋体" w:hAnsi="宋体"/>
                              <w:sz w:val="20"/>
                              <w:szCs w:val="20"/>
                            </w:rPr>
                            <w:t xml:space="preserve">  </w:t>
                          </w:r>
                          <w:r>
                            <w:rPr>
                              <w:rStyle w:val="21"/>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3"/>
                      <w:jc w:val="center"/>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szCs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8</w:t>
                    </w:r>
                    <w:r>
                      <w:rPr>
                        <w:rFonts w:ascii="宋体" w:hAnsi="宋体"/>
                        <w:sz w:val="26"/>
                        <w:szCs w:val="26"/>
                      </w:rPr>
                      <w:fldChar w:fldCharType="end"/>
                    </w:r>
                    <w:r>
                      <w:rPr>
                        <w:rStyle w:val="21"/>
                        <w:rFonts w:hint="eastAsia" w:ascii="宋体" w:hAnsi="宋体"/>
                        <w:sz w:val="20"/>
                        <w:szCs w:val="20"/>
                      </w:rPr>
                      <w:t xml:space="preserve">  </w:t>
                    </w:r>
                    <w:r>
                      <w:rPr>
                        <w:rStyle w:val="2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szCs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8</w:t>
                          </w:r>
                          <w:r>
                            <w:rPr>
                              <w:rFonts w:ascii="宋体" w:hAnsi="宋体"/>
                              <w:sz w:val="26"/>
                              <w:szCs w:val="26"/>
                            </w:rPr>
                            <w:fldChar w:fldCharType="end"/>
                          </w:r>
                          <w:r>
                            <w:rPr>
                              <w:rStyle w:val="21"/>
                              <w:rFonts w:hint="eastAsia" w:ascii="宋体" w:hAnsi="宋体"/>
                              <w:sz w:val="20"/>
                              <w:szCs w:val="20"/>
                            </w:rPr>
                            <w:t xml:space="preserve">  </w:t>
                          </w:r>
                          <w:r>
                            <w:rPr>
                              <w:rStyle w:val="21"/>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3"/>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szCs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8</w:t>
                    </w:r>
                    <w:r>
                      <w:rPr>
                        <w:rFonts w:ascii="宋体" w:hAnsi="宋体"/>
                        <w:sz w:val="26"/>
                        <w:szCs w:val="26"/>
                      </w:rPr>
                      <w:fldChar w:fldCharType="end"/>
                    </w:r>
                    <w:r>
                      <w:rPr>
                        <w:rStyle w:val="21"/>
                        <w:rFonts w:hint="eastAsia" w:ascii="宋体" w:hAnsi="宋体"/>
                        <w:sz w:val="20"/>
                        <w:szCs w:val="20"/>
                      </w:rPr>
                      <w:t xml:space="preserve">  </w:t>
                    </w:r>
                    <w:r>
                      <w:rPr>
                        <w:rStyle w:val="21"/>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4B16E"/>
    <w:multiLevelType w:val="multilevel"/>
    <w:tmpl w:val="8104B16E"/>
    <w:lvl w:ilvl="0" w:tentative="0">
      <w:start w:val="1"/>
      <w:numFmt w:val="decimal"/>
      <w:suff w:val="nothing"/>
      <w:lvlText w:val="%1、"/>
      <w:lvlJc w:val="left"/>
      <w:pPr>
        <w:tabs>
          <w:tab w:val="left" w:pos="0"/>
        </w:tabs>
        <w:ind w:left="432" w:hanging="432"/>
      </w:pPr>
      <w:rPr>
        <w:rFonts w:hint="default" w:ascii="宋体" w:hAnsi="宋体" w:eastAsia="宋体" w:cs="宋体"/>
        <w:b w:val="0"/>
        <w:bCs w:val="0"/>
        <w:sz w:val="30"/>
        <w:szCs w:val="32"/>
      </w:rPr>
    </w:lvl>
    <w:lvl w:ilvl="1" w:tentative="0">
      <w:start w:val="1"/>
      <w:numFmt w:val="decimal"/>
      <w:isLgl/>
      <w:suff w:val="space"/>
      <w:lvlText w:val="%2"/>
      <w:lvlJc w:val="left"/>
      <w:pPr>
        <w:tabs>
          <w:tab w:val="left" w:pos="420"/>
        </w:tabs>
        <w:ind w:left="1050" w:firstLine="0"/>
      </w:pPr>
      <w:rPr>
        <w:rFonts w:hint="default" w:ascii="宋体" w:hAnsi="宋体" w:eastAsia="宋体" w:cs="宋体"/>
        <w:b/>
        <w:bCs/>
        <w:sz w:val="28"/>
        <w:szCs w:val="30"/>
      </w:rPr>
    </w:lvl>
    <w:lvl w:ilvl="2" w:tentative="0">
      <w:start w:val="1"/>
      <w:numFmt w:val="decimal"/>
      <w:isLgl/>
      <w:suff w:val="space"/>
      <w:lvlText w:val="%2.%3"/>
      <w:lvlJc w:val="left"/>
      <w:pPr>
        <w:tabs>
          <w:tab w:val="left" w:pos="0"/>
        </w:tabs>
        <w:ind w:left="1560" w:hanging="720"/>
      </w:pPr>
      <w:rPr>
        <w:rFonts w:hint="default" w:ascii="宋体" w:hAnsi="宋体" w:eastAsia="宋体" w:cs="宋体"/>
        <w:b/>
        <w:bCs w:val="0"/>
        <w:i w:val="0"/>
        <w:sz w:val="28"/>
        <w:szCs w:val="28"/>
      </w:rPr>
    </w:lvl>
    <w:lvl w:ilvl="3" w:tentative="0">
      <w:start w:val="1"/>
      <w:numFmt w:val="decimal"/>
      <w:isLgl/>
      <w:suff w:val="space"/>
      <w:lvlText w:val="%2.%3.%4"/>
      <w:lvlJc w:val="left"/>
      <w:pPr>
        <w:tabs>
          <w:tab w:val="left" w:pos="0"/>
        </w:tabs>
        <w:ind w:left="3174" w:hanging="864"/>
      </w:pPr>
      <w:rPr>
        <w:rFonts w:hint="default" w:ascii="宋体" w:hAnsi="宋体" w:eastAsia="宋体" w:cs="宋体"/>
        <w:sz w:val="24"/>
        <w:szCs w:val="24"/>
      </w:rPr>
    </w:lvl>
    <w:lvl w:ilvl="4" w:tentative="0">
      <w:start w:val="1"/>
      <w:numFmt w:val="decimal"/>
      <w:isLgl/>
      <w:suff w:val="nothing"/>
      <w:lvlText w:val="   （%5）"/>
      <w:lvlJc w:val="left"/>
      <w:pPr>
        <w:tabs>
          <w:tab w:val="left" w:pos="420"/>
        </w:tabs>
        <w:ind w:left="0" w:firstLine="0"/>
      </w:pPr>
      <w:rPr>
        <w:rFonts w:hint="default"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left"/>
      <w:pPr>
        <w:tabs>
          <w:tab w:val="left" w:pos="420"/>
        </w:tabs>
        <w:ind w:left="1296" w:hanging="1296"/>
      </w:pPr>
      <w:rPr>
        <w:rFonts w:hint="default" w:ascii="宋体" w:hAnsi="宋体" w:eastAsia="宋体" w:cs="宋体"/>
      </w:rPr>
    </w:lvl>
    <w:lvl w:ilvl="7" w:tentative="0">
      <w:start w:val="1"/>
      <w:numFmt w:val="decimal"/>
      <w:lvlRestart w:val="0"/>
      <w:pStyle w:val="23"/>
      <w:suff w:val="space"/>
      <w:lvlText w:val="表%8"/>
      <w:lvlJc w:val="left"/>
      <w:pPr>
        <w:tabs>
          <w:tab w:val="left" w:pos="420"/>
        </w:tabs>
        <w:ind w:left="1440" w:hanging="1440"/>
      </w:pPr>
      <w:rPr>
        <w:rFonts w:hint="default" w:ascii="Times New Roman" w:hAnsi="Times New Roman" w:eastAsia="宋体" w:cs="Times New Roman"/>
      </w:rPr>
    </w:lvl>
    <w:lvl w:ilvl="8" w:tentative="0">
      <w:start w:val="1"/>
      <w:numFmt w:val="decimal"/>
      <w:lvlRestart w:val="0"/>
      <w:isLgl/>
      <w:suff w:val="space"/>
      <w:lvlText w:val="图%9"/>
      <w:lvlJc w:val="left"/>
      <w:pPr>
        <w:tabs>
          <w:tab w:val="left" w:pos="0"/>
        </w:tabs>
        <w:ind w:left="1583" w:hanging="1583"/>
      </w:pPr>
      <w:rPr>
        <w:rFonts w:hint="eastAsia" w:ascii="Times New Roman" w:hAnsi="Times New Roman" w:eastAsia="宋体" w:cs="Arial"/>
        <w:sz w:val="24"/>
        <w:szCs w:val="24"/>
      </w:rPr>
    </w:lvl>
  </w:abstractNum>
  <w:abstractNum w:abstractNumId="1">
    <w:nsid w:val="D6B2C3A2"/>
    <w:multiLevelType w:val="singleLevel"/>
    <w:tmpl w:val="D6B2C3A2"/>
    <w:lvl w:ilvl="0" w:tentative="0">
      <w:start w:val="3"/>
      <w:numFmt w:val="decimal"/>
      <w:suff w:val="nothing"/>
      <w:lvlText w:val="（%1）"/>
      <w:lvlJc w:val="left"/>
      <w:pPr>
        <w:ind w:left="240" w:leftChars="0" w:firstLine="0" w:firstLineChars="0"/>
      </w:pPr>
    </w:lvl>
  </w:abstractNum>
  <w:abstractNum w:abstractNumId="2">
    <w:nsid w:val="59AD16C4"/>
    <w:multiLevelType w:val="singleLevel"/>
    <w:tmpl w:val="59AD16C4"/>
    <w:lvl w:ilvl="0" w:tentative="0">
      <w:start w:val="5"/>
      <w:numFmt w:val="decimal"/>
      <w:suff w:val="nothing"/>
      <w:lvlText w:val="（%1）"/>
      <w:lvlJc w:val="left"/>
      <w:rPr>
        <w:rFonts w:hint="default" w:ascii="Times New Roman" w:hAnsi="Times New Roman" w:cs="Times New Roman"/>
        <w:sz w:val="24"/>
        <w:szCs w:val="24"/>
      </w:rPr>
    </w:lvl>
  </w:abstractNum>
  <w:abstractNum w:abstractNumId="3">
    <w:nsid w:val="6F701116"/>
    <w:multiLevelType w:val="singleLevel"/>
    <w:tmpl w:val="6F701116"/>
    <w:lvl w:ilvl="0" w:tentative="0">
      <w:start w:val="2"/>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MDllYTAzYWU3MjFmMzBjMjk5MDBjMThjNTM2MjQifQ=="/>
  </w:docVars>
  <w:rsids>
    <w:rsidRoot w:val="00172A27"/>
    <w:rsid w:val="000F5645"/>
    <w:rsid w:val="001A64C4"/>
    <w:rsid w:val="001F45A8"/>
    <w:rsid w:val="003577A2"/>
    <w:rsid w:val="003A4DB8"/>
    <w:rsid w:val="003F23CE"/>
    <w:rsid w:val="00533142"/>
    <w:rsid w:val="00667D17"/>
    <w:rsid w:val="00816BCF"/>
    <w:rsid w:val="00A07C07"/>
    <w:rsid w:val="00CA7EEA"/>
    <w:rsid w:val="00EB1C0E"/>
    <w:rsid w:val="00FE1942"/>
    <w:rsid w:val="011253C0"/>
    <w:rsid w:val="011E0236"/>
    <w:rsid w:val="012A2737"/>
    <w:rsid w:val="012A4E2C"/>
    <w:rsid w:val="01323CE1"/>
    <w:rsid w:val="01487061"/>
    <w:rsid w:val="014A102B"/>
    <w:rsid w:val="014B71D2"/>
    <w:rsid w:val="01527ACD"/>
    <w:rsid w:val="018362EB"/>
    <w:rsid w:val="018E6BE8"/>
    <w:rsid w:val="01A82395"/>
    <w:rsid w:val="01B446F6"/>
    <w:rsid w:val="01C0753F"/>
    <w:rsid w:val="01CE57B8"/>
    <w:rsid w:val="01DF25A3"/>
    <w:rsid w:val="01EA5B8B"/>
    <w:rsid w:val="01FF3BC3"/>
    <w:rsid w:val="020F7B7E"/>
    <w:rsid w:val="021D04ED"/>
    <w:rsid w:val="021F7DC1"/>
    <w:rsid w:val="02222781"/>
    <w:rsid w:val="02247ACE"/>
    <w:rsid w:val="022655F4"/>
    <w:rsid w:val="022E44A8"/>
    <w:rsid w:val="02337D11"/>
    <w:rsid w:val="02355837"/>
    <w:rsid w:val="023F0464"/>
    <w:rsid w:val="024B6E08"/>
    <w:rsid w:val="024C2B81"/>
    <w:rsid w:val="02557C87"/>
    <w:rsid w:val="026003DA"/>
    <w:rsid w:val="026E6F9B"/>
    <w:rsid w:val="0297204E"/>
    <w:rsid w:val="02C32E43"/>
    <w:rsid w:val="02C646E1"/>
    <w:rsid w:val="02CB1CF7"/>
    <w:rsid w:val="02DC2D63"/>
    <w:rsid w:val="02E817AA"/>
    <w:rsid w:val="030F4BFC"/>
    <w:rsid w:val="034026E5"/>
    <w:rsid w:val="0363183E"/>
    <w:rsid w:val="03631E97"/>
    <w:rsid w:val="0381685A"/>
    <w:rsid w:val="03936CB9"/>
    <w:rsid w:val="03A013D6"/>
    <w:rsid w:val="03A32C74"/>
    <w:rsid w:val="03A37CB8"/>
    <w:rsid w:val="03B92E20"/>
    <w:rsid w:val="03BA7FBF"/>
    <w:rsid w:val="03CF3A69"/>
    <w:rsid w:val="040A4AA1"/>
    <w:rsid w:val="04180F6C"/>
    <w:rsid w:val="043861CB"/>
    <w:rsid w:val="043B10FF"/>
    <w:rsid w:val="04406715"/>
    <w:rsid w:val="048D195A"/>
    <w:rsid w:val="048F499B"/>
    <w:rsid w:val="04910D1F"/>
    <w:rsid w:val="04912ACD"/>
    <w:rsid w:val="04AC7B1C"/>
    <w:rsid w:val="04B2197C"/>
    <w:rsid w:val="04B52C5F"/>
    <w:rsid w:val="04DF4628"/>
    <w:rsid w:val="04E6106A"/>
    <w:rsid w:val="04E84D2D"/>
    <w:rsid w:val="04ED5A4E"/>
    <w:rsid w:val="051161D8"/>
    <w:rsid w:val="051C4A8C"/>
    <w:rsid w:val="05257DE5"/>
    <w:rsid w:val="052F0F34"/>
    <w:rsid w:val="0548762F"/>
    <w:rsid w:val="05502988"/>
    <w:rsid w:val="056A635C"/>
    <w:rsid w:val="056D353A"/>
    <w:rsid w:val="058A7C48"/>
    <w:rsid w:val="05940AC6"/>
    <w:rsid w:val="05AA2098"/>
    <w:rsid w:val="05CD5DB3"/>
    <w:rsid w:val="05FB7E46"/>
    <w:rsid w:val="06135E8F"/>
    <w:rsid w:val="062260D2"/>
    <w:rsid w:val="0624009C"/>
    <w:rsid w:val="062475CD"/>
    <w:rsid w:val="06316E74"/>
    <w:rsid w:val="06340D93"/>
    <w:rsid w:val="06383B48"/>
    <w:rsid w:val="064A5629"/>
    <w:rsid w:val="067A4160"/>
    <w:rsid w:val="06874187"/>
    <w:rsid w:val="06AB431A"/>
    <w:rsid w:val="06B86A37"/>
    <w:rsid w:val="06C929F2"/>
    <w:rsid w:val="06D05B2E"/>
    <w:rsid w:val="06E41840"/>
    <w:rsid w:val="06E64CE0"/>
    <w:rsid w:val="06E8731C"/>
    <w:rsid w:val="06F86E33"/>
    <w:rsid w:val="0701218C"/>
    <w:rsid w:val="07157EE9"/>
    <w:rsid w:val="073A38EF"/>
    <w:rsid w:val="073F340A"/>
    <w:rsid w:val="07577FFE"/>
    <w:rsid w:val="075A7AEE"/>
    <w:rsid w:val="075D55F1"/>
    <w:rsid w:val="076B5857"/>
    <w:rsid w:val="077566D6"/>
    <w:rsid w:val="0797489E"/>
    <w:rsid w:val="07A019A5"/>
    <w:rsid w:val="07A82607"/>
    <w:rsid w:val="07AB0349"/>
    <w:rsid w:val="07B70A9C"/>
    <w:rsid w:val="07C136C9"/>
    <w:rsid w:val="07C5140B"/>
    <w:rsid w:val="07CF5DE6"/>
    <w:rsid w:val="07E86EA8"/>
    <w:rsid w:val="07F7358F"/>
    <w:rsid w:val="08251EAA"/>
    <w:rsid w:val="083245C7"/>
    <w:rsid w:val="0837398B"/>
    <w:rsid w:val="084C38DA"/>
    <w:rsid w:val="085E53BC"/>
    <w:rsid w:val="08607386"/>
    <w:rsid w:val="0865674A"/>
    <w:rsid w:val="086724C2"/>
    <w:rsid w:val="088210AA"/>
    <w:rsid w:val="089442B4"/>
    <w:rsid w:val="089D5EE4"/>
    <w:rsid w:val="08A02300"/>
    <w:rsid w:val="08C47E03"/>
    <w:rsid w:val="08CA47FF"/>
    <w:rsid w:val="08CB2A51"/>
    <w:rsid w:val="08E81855"/>
    <w:rsid w:val="08E91129"/>
    <w:rsid w:val="08EC6F94"/>
    <w:rsid w:val="09115615"/>
    <w:rsid w:val="09167A44"/>
    <w:rsid w:val="092108C3"/>
    <w:rsid w:val="09237976"/>
    <w:rsid w:val="093F6CDF"/>
    <w:rsid w:val="094840A2"/>
    <w:rsid w:val="097A7FD3"/>
    <w:rsid w:val="098036C1"/>
    <w:rsid w:val="09970B85"/>
    <w:rsid w:val="099C619C"/>
    <w:rsid w:val="09AD03A9"/>
    <w:rsid w:val="09BC05EC"/>
    <w:rsid w:val="09D27E0F"/>
    <w:rsid w:val="09EF276F"/>
    <w:rsid w:val="0A014251"/>
    <w:rsid w:val="0A0F696E"/>
    <w:rsid w:val="0A116B8A"/>
    <w:rsid w:val="0A1C72DC"/>
    <w:rsid w:val="0A2D14EA"/>
    <w:rsid w:val="0A4A5BF8"/>
    <w:rsid w:val="0A586566"/>
    <w:rsid w:val="0A5E4EDB"/>
    <w:rsid w:val="0A621193"/>
    <w:rsid w:val="0A6C0C3C"/>
    <w:rsid w:val="0A740EEE"/>
    <w:rsid w:val="0A742C74"/>
    <w:rsid w:val="0A984BB5"/>
    <w:rsid w:val="0A9D21CB"/>
    <w:rsid w:val="0AA572D2"/>
    <w:rsid w:val="0AAD196A"/>
    <w:rsid w:val="0AB47515"/>
    <w:rsid w:val="0AB539B9"/>
    <w:rsid w:val="0AD55E09"/>
    <w:rsid w:val="0AE0655C"/>
    <w:rsid w:val="0B275F39"/>
    <w:rsid w:val="0B410AAF"/>
    <w:rsid w:val="0B5C5BE2"/>
    <w:rsid w:val="0B7C0033"/>
    <w:rsid w:val="0B853B49"/>
    <w:rsid w:val="0B890AEB"/>
    <w:rsid w:val="0B977645"/>
    <w:rsid w:val="0BCE4606"/>
    <w:rsid w:val="0BD677FF"/>
    <w:rsid w:val="0BD87233"/>
    <w:rsid w:val="0BDE0CED"/>
    <w:rsid w:val="0BE36304"/>
    <w:rsid w:val="0BE43E2A"/>
    <w:rsid w:val="0C083FBC"/>
    <w:rsid w:val="0C0B585A"/>
    <w:rsid w:val="0C3E353A"/>
    <w:rsid w:val="0C3E79DE"/>
    <w:rsid w:val="0C450D6C"/>
    <w:rsid w:val="0CA35A93"/>
    <w:rsid w:val="0CA710DF"/>
    <w:rsid w:val="0CC71781"/>
    <w:rsid w:val="0CD33710"/>
    <w:rsid w:val="0CD81BE1"/>
    <w:rsid w:val="0CE642FD"/>
    <w:rsid w:val="0CF167FE"/>
    <w:rsid w:val="0CFE2CC9"/>
    <w:rsid w:val="0D1F511A"/>
    <w:rsid w:val="0D2C7836"/>
    <w:rsid w:val="0D7D0092"/>
    <w:rsid w:val="0D896A37"/>
    <w:rsid w:val="0D957AD2"/>
    <w:rsid w:val="0DB31D06"/>
    <w:rsid w:val="0DB9426E"/>
    <w:rsid w:val="0DBC505E"/>
    <w:rsid w:val="0DCE08EE"/>
    <w:rsid w:val="0DDA7292"/>
    <w:rsid w:val="0DDB3353"/>
    <w:rsid w:val="0DDE4FD5"/>
    <w:rsid w:val="0DE57A90"/>
    <w:rsid w:val="0DEB76F2"/>
    <w:rsid w:val="0DF465A6"/>
    <w:rsid w:val="0E056A05"/>
    <w:rsid w:val="0E1A1D85"/>
    <w:rsid w:val="0E4A08BC"/>
    <w:rsid w:val="0E6664EE"/>
    <w:rsid w:val="0E707BF7"/>
    <w:rsid w:val="0E8611C8"/>
    <w:rsid w:val="0E8F4521"/>
    <w:rsid w:val="0EAD2BF9"/>
    <w:rsid w:val="0EAE5AAF"/>
    <w:rsid w:val="0ECA7307"/>
    <w:rsid w:val="0EDD34DE"/>
    <w:rsid w:val="0F0E18EA"/>
    <w:rsid w:val="0F113188"/>
    <w:rsid w:val="0F1B5DB5"/>
    <w:rsid w:val="0F3550C8"/>
    <w:rsid w:val="0F362BEE"/>
    <w:rsid w:val="0F48402D"/>
    <w:rsid w:val="0F4E6873"/>
    <w:rsid w:val="0F503CB0"/>
    <w:rsid w:val="0F871C80"/>
    <w:rsid w:val="0FA638D0"/>
    <w:rsid w:val="0FA92E4F"/>
    <w:rsid w:val="0FB30802"/>
    <w:rsid w:val="0FB73D2F"/>
    <w:rsid w:val="0FBE4ECB"/>
    <w:rsid w:val="0FD06B9F"/>
    <w:rsid w:val="0FDD327B"/>
    <w:rsid w:val="10036F74"/>
    <w:rsid w:val="101E5B5C"/>
    <w:rsid w:val="10260EB5"/>
    <w:rsid w:val="1045758D"/>
    <w:rsid w:val="104A4BA3"/>
    <w:rsid w:val="10501705"/>
    <w:rsid w:val="1051514D"/>
    <w:rsid w:val="10545A22"/>
    <w:rsid w:val="105B5F09"/>
    <w:rsid w:val="106C2D6C"/>
    <w:rsid w:val="10854519"/>
    <w:rsid w:val="10860885"/>
    <w:rsid w:val="1090632E"/>
    <w:rsid w:val="109D2936"/>
    <w:rsid w:val="10B12126"/>
    <w:rsid w:val="10BE733F"/>
    <w:rsid w:val="10C458CB"/>
    <w:rsid w:val="10F93ED3"/>
    <w:rsid w:val="1102722C"/>
    <w:rsid w:val="11082369"/>
    <w:rsid w:val="11141B6B"/>
    <w:rsid w:val="11194576"/>
    <w:rsid w:val="116D5F77"/>
    <w:rsid w:val="11875983"/>
    <w:rsid w:val="11934655"/>
    <w:rsid w:val="119B31DD"/>
    <w:rsid w:val="11A10294"/>
    <w:rsid w:val="11B20C52"/>
    <w:rsid w:val="11B36486"/>
    <w:rsid w:val="11BE692F"/>
    <w:rsid w:val="11CE710E"/>
    <w:rsid w:val="120D2405"/>
    <w:rsid w:val="120D5E88"/>
    <w:rsid w:val="1246139A"/>
    <w:rsid w:val="124B075F"/>
    <w:rsid w:val="124B69B1"/>
    <w:rsid w:val="124F64A1"/>
    <w:rsid w:val="125515DD"/>
    <w:rsid w:val="12767ED2"/>
    <w:rsid w:val="128F2D41"/>
    <w:rsid w:val="129B7938"/>
    <w:rsid w:val="12A10CC7"/>
    <w:rsid w:val="12B74618"/>
    <w:rsid w:val="12B94BBB"/>
    <w:rsid w:val="12BE53D5"/>
    <w:rsid w:val="12C50511"/>
    <w:rsid w:val="12DB4B97"/>
    <w:rsid w:val="12DE764F"/>
    <w:rsid w:val="12EC0194"/>
    <w:rsid w:val="13141499"/>
    <w:rsid w:val="131E7C21"/>
    <w:rsid w:val="132316DC"/>
    <w:rsid w:val="13453400"/>
    <w:rsid w:val="1347361C"/>
    <w:rsid w:val="13517FF7"/>
    <w:rsid w:val="136046DE"/>
    <w:rsid w:val="136E0BA9"/>
    <w:rsid w:val="1390224D"/>
    <w:rsid w:val="13A50343"/>
    <w:rsid w:val="13C46A1B"/>
    <w:rsid w:val="13CE1647"/>
    <w:rsid w:val="13E76BAD"/>
    <w:rsid w:val="14027543"/>
    <w:rsid w:val="14045069"/>
    <w:rsid w:val="140B3F57"/>
    <w:rsid w:val="14140583"/>
    <w:rsid w:val="14193801"/>
    <w:rsid w:val="14305E5E"/>
    <w:rsid w:val="14397FC9"/>
    <w:rsid w:val="143F42F3"/>
    <w:rsid w:val="1443191E"/>
    <w:rsid w:val="14524026"/>
    <w:rsid w:val="14587D1C"/>
    <w:rsid w:val="14741804"/>
    <w:rsid w:val="14860174"/>
    <w:rsid w:val="14861F22"/>
    <w:rsid w:val="14922675"/>
    <w:rsid w:val="149D101A"/>
    <w:rsid w:val="14C64A14"/>
    <w:rsid w:val="14CB44CC"/>
    <w:rsid w:val="14DB04C0"/>
    <w:rsid w:val="14E135FC"/>
    <w:rsid w:val="14E54E9B"/>
    <w:rsid w:val="14EF5D19"/>
    <w:rsid w:val="14FB7287"/>
    <w:rsid w:val="15080B89"/>
    <w:rsid w:val="151C6F74"/>
    <w:rsid w:val="151D2886"/>
    <w:rsid w:val="151E6556"/>
    <w:rsid w:val="152139F9"/>
    <w:rsid w:val="15296C6B"/>
    <w:rsid w:val="152A6D51"/>
    <w:rsid w:val="15393438"/>
    <w:rsid w:val="15453B8B"/>
    <w:rsid w:val="15512530"/>
    <w:rsid w:val="156009C5"/>
    <w:rsid w:val="156C1118"/>
    <w:rsid w:val="156D4E90"/>
    <w:rsid w:val="15872F45"/>
    <w:rsid w:val="15982C0F"/>
    <w:rsid w:val="159863B1"/>
    <w:rsid w:val="159B19FD"/>
    <w:rsid w:val="15AB221D"/>
    <w:rsid w:val="15C56A7A"/>
    <w:rsid w:val="15DD7BBE"/>
    <w:rsid w:val="15FA463D"/>
    <w:rsid w:val="16585B40"/>
    <w:rsid w:val="165E3157"/>
    <w:rsid w:val="166444E5"/>
    <w:rsid w:val="16674698"/>
    <w:rsid w:val="168D7598"/>
    <w:rsid w:val="16970417"/>
    <w:rsid w:val="169E258B"/>
    <w:rsid w:val="169E79F7"/>
    <w:rsid w:val="16A06066"/>
    <w:rsid w:val="16BF171B"/>
    <w:rsid w:val="16BF20BF"/>
    <w:rsid w:val="16D023B8"/>
    <w:rsid w:val="16D451C7"/>
    <w:rsid w:val="16D50F3F"/>
    <w:rsid w:val="16E96798"/>
    <w:rsid w:val="16F5338F"/>
    <w:rsid w:val="16FC64CC"/>
    <w:rsid w:val="17123F41"/>
    <w:rsid w:val="17287DA5"/>
    <w:rsid w:val="174C1201"/>
    <w:rsid w:val="17740758"/>
    <w:rsid w:val="177B5642"/>
    <w:rsid w:val="17986F20"/>
    <w:rsid w:val="17A54DB5"/>
    <w:rsid w:val="17AA4179"/>
    <w:rsid w:val="17AC7EF2"/>
    <w:rsid w:val="17B31280"/>
    <w:rsid w:val="17C50FB3"/>
    <w:rsid w:val="17CA481C"/>
    <w:rsid w:val="182C1032"/>
    <w:rsid w:val="182C2DE0"/>
    <w:rsid w:val="183200C2"/>
    <w:rsid w:val="18383533"/>
    <w:rsid w:val="183F4070"/>
    <w:rsid w:val="183F48C2"/>
    <w:rsid w:val="184C5231"/>
    <w:rsid w:val="18616F2E"/>
    <w:rsid w:val="1864257A"/>
    <w:rsid w:val="18754787"/>
    <w:rsid w:val="187D188E"/>
    <w:rsid w:val="188624F1"/>
    <w:rsid w:val="18910E95"/>
    <w:rsid w:val="189B2715"/>
    <w:rsid w:val="18A1557C"/>
    <w:rsid w:val="18A706B9"/>
    <w:rsid w:val="18CB25F9"/>
    <w:rsid w:val="18CB43A7"/>
    <w:rsid w:val="18CE20EA"/>
    <w:rsid w:val="18D23988"/>
    <w:rsid w:val="18DF60A5"/>
    <w:rsid w:val="19321F3B"/>
    <w:rsid w:val="19434886"/>
    <w:rsid w:val="194721A8"/>
    <w:rsid w:val="196640D0"/>
    <w:rsid w:val="197902A7"/>
    <w:rsid w:val="197A1928"/>
    <w:rsid w:val="197C1B46"/>
    <w:rsid w:val="19844D3B"/>
    <w:rsid w:val="198D5B01"/>
    <w:rsid w:val="199D3F96"/>
    <w:rsid w:val="19A35324"/>
    <w:rsid w:val="19A55F7E"/>
    <w:rsid w:val="19A90B8D"/>
    <w:rsid w:val="19D159ED"/>
    <w:rsid w:val="1A3F329F"/>
    <w:rsid w:val="1A7171D0"/>
    <w:rsid w:val="1A89451A"/>
    <w:rsid w:val="1AAD645B"/>
    <w:rsid w:val="1AB377E9"/>
    <w:rsid w:val="1AC217DA"/>
    <w:rsid w:val="1ACB0B4A"/>
    <w:rsid w:val="1AD03EF7"/>
    <w:rsid w:val="1ADC6D40"/>
    <w:rsid w:val="1ADD03C2"/>
    <w:rsid w:val="1AF818B3"/>
    <w:rsid w:val="1AF9358D"/>
    <w:rsid w:val="1AFF6E4C"/>
    <w:rsid w:val="1B276693"/>
    <w:rsid w:val="1B2D1349"/>
    <w:rsid w:val="1B2E73BC"/>
    <w:rsid w:val="1B8371BB"/>
    <w:rsid w:val="1B9269D1"/>
    <w:rsid w:val="1B9657A4"/>
    <w:rsid w:val="1BBB6955"/>
    <w:rsid w:val="1BC872C4"/>
    <w:rsid w:val="1BD17F27"/>
    <w:rsid w:val="1BD23C9F"/>
    <w:rsid w:val="1BD96DDB"/>
    <w:rsid w:val="1C202C5C"/>
    <w:rsid w:val="1C204A0A"/>
    <w:rsid w:val="1C275D99"/>
    <w:rsid w:val="1C31308F"/>
    <w:rsid w:val="1C3D380E"/>
    <w:rsid w:val="1C4758AB"/>
    <w:rsid w:val="1C533032"/>
    <w:rsid w:val="1C5A7CD6"/>
    <w:rsid w:val="1C782A98"/>
    <w:rsid w:val="1C7F5BD5"/>
    <w:rsid w:val="1C841990"/>
    <w:rsid w:val="1C8B27CB"/>
    <w:rsid w:val="1CA7512B"/>
    <w:rsid w:val="1CAF3559"/>
    <w:rsid w:val="1CD852E5"/>
    <w:rsid w:val="1CE00DC0"/>
    <w:rsid w:val="1CFA7F66"/>
    <w:rsid w:val="1CFE7930"/>
    <w:rsid w:val="1D13631D"/>
    <w:rsid w:val="1D1B43A9"/>
    <w:rsid w:val="1D293D92"/>
    <w:rsid w:val="1D35105B"/>
    <w:rsid w:val="1D3A7D4E"/>
    <w:rsid w:val="1D4B5AB7"/>
    <w:rsid w:val="1D5E2CBE"/>
    <w:rsid w:val="1D783505"/>
    <w:rsid w:val="1D7C2114"/>
    <w:rsid w:val="1D853A03"/>
    <w:rsid w:val="1D8D04FA"/>
    <w:rsid w:val="1D992CC6"/>
    <w:rsid w:val="1DC6749B"/>
    <w:rsid w:val="1DC75107"/>
    <w:rsid w:val="1DD14516"/>
    <w:rsid w:val="1DD24A16"/>
    <w:rsid w:val="1DDC2BB3"/>
    <w:rsid w:val="1DF223D6"/>
    <w:rsid w:val="1DFD14A7"/>
    <w:rsid w:val="1E202CB8"/>
    <w:rsid w:val="1E2307E2"/>
    <w:rsid w:val="1E262080"/>
    <w:rsid w:val="1E85149C"/>
    <w:rsid w:val="1E864E74"/>
    <w:rsid w:val="1E8A260F"/>
    <w:rsid w:val="1E9516DF"/>
    <w:rsid w:val="1E967206"/>
    <w:rsid w:val="1EA2746D"/>
    <w:rsid w:val="1EAA2CB1"/>
    <w:rsid w:val="1EAC4C7B"/>
    <w:rsid w:val="1EB12291"/>
    <w:rsid w:val="1EC51899"/>
    <w:rsid w:val="1EF02DBA"/>
    <w:rsid w:val="1EFF4DAB"/>
    <w:rsid w:val="1F0625DD"/>
    <w:rsid w:val="1F0B7BF4"/>
    <w:rsid w:val="1F413615"/>
    <w:rsid w:val="1F494278"/>
    <w:rsid w:val="1F522B43"/>
    <w:rsid w:val="1F63358C"/>
    <w:rsid w:val="1F686DF4"/>
    <w:rsid w:val="1F6B0692"/>
    <w:rsid w:val="1F7C464D"/>
    <w:rsid w:val="1F9574BD"/>
    <w:rsid w:val="1FB060A5"/>
    <w:rsid w:val="1FCD4EA9"/>
    <w:rsid w:val="1FD60202"/>
    <w:rsid w:val="1FE04BDC"/>
    <w:rsid w:val="1FED352F"/>
    <w:rsid w:val="1FED55C2"/>
    <w:rsid w:val="1FF142CA"/>
    <w:rsid w:val="200B777F"/>
    <w:rsid w:val="20144886"/>
    <w:rsid w:val="202A50E6"/>
    <w:rsid w:val="202B61B9"/>
    <w:rsid w:val="2039253E"/>
    <w:rsid w:val="203E1903"/>
    <w:rsid w:val="2079293B"/>
    <w:rsid w:val="207D242B"/>
    <w:rsid w:val="207E61A3"/>
    <w:rsid w:val="20915ED7"/>
    <w:rsid w:val="20940599"/>
    <w:rsid w:val="209B0AD6"/>
    <w:rsid w:val="20B9542D"/>
    <w:rsid w:val="20BB2F53"/>
    <w:rsid w:val="20DA51C0"/>
    <w:rsid w:val="20E14ED8"/>
    <w:rsid w:val="20FA3A7C"/>
    <w:rsid w:val="2110329F"/>
    <w:rsid w:val="21290299"/>
    <w:rsid w:val="213056EF"/>
    <w:rsid w:val="217B4506"/>
    <w:rsid w:val="217F6E19"/>
    <w:rsid w:val="21A00908"/>
    <w:rsid w:val="21A460DD"/>
    <w:rsid w:val="21B61434"/>
    <w:rsid w:val="21D232C4"/>
    <w:rsid w:val="21D73DBD"/>
    <w:rsid w:val="220D5A31"/>
    <w:rsid w:val="222A7599"/>
    <w:rsid w:val="22372AAE"/>
    <w:rsid w:val="2237485C"/>
    <w:rsid w:val="224C47AB"/>
    <w:rsid w:val="22592A24"/>
    <w:rsid w:val="22635651"/>
    <w:rsid w:val="22673393"/>
    <w:rsid w:val="22686762"/>
    <w:rsid w:val="22721D38"/>
    <w:rsid w:val="22737F8A"/>
    <w:rsid w:val="2274785E"/>
    <w:rsid w:val="22AA7723"/>
    <w:rsid w:val="22BD3C75"/>
    <w:rsid w:val="22BD7457"/>
    <w:rsid w:val="22C91EB5"/>
    <w:rsid w:val="22CE51C0"/>
    <w:rsid w:val="22D83F38"/>
    <w:rsid w:val="22EA5D72"/>
    <w:rsid w:val="22EE42C2"/>
    <w:rsid w:val="23046E34"/>
    <w:rsid w:val="2309269C"/>
    <w:rsid w:val="23356FED"/>
    <w:rsid w:val="233C15A9"/>
    <w:rsid w:val="233D40F4"/>
    <w:rsid w:val="23403BE4"/>
    <w:rsid w:val="234C07DB"/>
    <w:rsid w:val="235356C5"/>
    <w:rsid w:val="236F0216"/>
    <w:rsid w:val="23833171"/>
    <w:rsid w:val="23A44173"/>
    <w:rsid w:val="23AC1408"/>
    <w:rsid w:val="23C12F77"/>
    <w:rsid w:val="23DB78F9"/>
    <w:rsid w:val="23F70865"/>
    <w:rsid w:val="24150D07"/>
    <w:rsid w:val="241D7627"/>
    <w:rsid w:val="241E5CD3"/>
    <w:rsid w:val="24311EAA"/>
    <w:rsid w:val="24385B4B"/>
    <w:rsid w:val="2463402E"/>
    <w:rsid w:val="24661428"/>
    <w:rsid w:val="24812F95"/>
    <w:rsid w:val="248144B4"/>
    <w:rsid w:val="2483647E"/>
    <w:rsid w:val="248E5D98"/>
    <w:rsid w:val="24BB2827"/>
    <w:rsid w:val="24BE3012"/>
    <w:rsid w:val="24C60544"/>
    <w:rsid w:val="24C745BD"/>
    <w:rsid w:val="24ED38F7"/>
    <w:rsid w:val="24F56130"/>
    <w:rsid w:val="24FC41FD"/>
    <w:rsid w:val="2500198B"/>
    <w:rsid w:val="250273A3"/>
    <w:rsid w:val="2513335E"/>
    <w:rsid w:val="251B5624"/>
    <w:rsid w:val="251F61A7"/>
    <w:rsid w:val="25201F1F"/>
    <w:rsid w:val="252217F3"/>
    <w:rsid w:val="252512E3"/>
    <w:rsid w:val="252762F2"/>
    <w:rsid w:val="256718FC"/>
    <w:rsid w:val="256F255E"/>
    <w:rsid w:val="25777D91"/>
    <w:rsid w:val="257A518B"/>
    <w:rsid w:val="25861D82"/>
    <w:rsid w:val="258C3110"/>
    <w:rsid w:val="25983863"/>
    <w:rsid w:val="25BA7C7E"/>
    <w:rsid w:val="25C3047D"/>
    <w:rsid w:val="25D33A65"/>
    <w:rsid w:val="25D752CC"/>
    <w:rsid w:val="25DA0320"/>
    <w:rsid w:val="25F21669"/>
    <w:rsid w:val="25F50CB6"/>
    <w:rsid w:val="25FE22F5"/>
    <w:rsid w:val="26064C71"/>
    <w:rsid w:val="26451C3D"/>
    <w:rsid w:val="264B1CA3"/>
    <w:rsid w:val="26865DB2"/>
    <w:rsid w:val="26A6092E"/>
    <w:rsid w:val="26C30DB4"/>
    <w:rsid w:val="26CB5F90"/>
    <w:rsid w:val="26EF7DFB"/>
    <w:rsid w:val="26F15FBB"/>
    <w:rsid w:val="2705317A"/>
    <w:rsid w:val="27201D62"/>
    <w:rsid w:val="273D0B66"/>
    <w:rsid w:val="274C6FFB"/>
    <w:rsid w:val="27802801"/>
    <w:rsid w:val="27887F8A"/>
    <w:rsid w:val="27D046ED"/>
    <w:rsid w:val="27E9484A"/>
    <w:rsid w:val="27F51441"/>
    <w:rsid w:val="27F623C2"/>
    <w:rsid w:val="284F6DA3"/>
    <w:rsid w:val="285443B9"/>
    <w:rsid w:val="285A74F6"/>
    <w:rsid w:val="285E0D94"/>
    <w:rsid w:val="286363AA"/>
    <w:rsid w:val="28743A52"/>
    <w:rsid w:val="2888134C"/>
    <w:rsid w:val="28926C90"/>
    <w:rsid w:val="2899001E"/>
    <w:rsid w:val="28B05368"/>
    <w:rsid w:val="28BF40F1"/>
    <w:rsid w:val="28C87869"/>
    <w:rsid w:val="28DF17A9"/>
    <w:rsid w:val="28F47F86"/>
    <w:rsid w:val="2903193C"/>
    <w:rsid w:val="29086F52"/>
    <w:rsid w:val="290A2CCA"/>
    <w:rsid w:val="292A511A"/>
    <w:rsid w:val="29310257"/>
    <w:rsid w:val="294A30C6"/>
    <w:rsid w:val="294E4832"/>
    <w:rsid w:val="29581C87"/>
    <w:rsid w:val="295959FF"/>
    <w:rsid w:val="295977AD"/>
    <w:rsid w:val="29625044"/>
    <w:rsid w:val="296879F1"/>
    <w:rsid w:val="298861E2"/>
    <w:rsid w:val="299663FE"/>
    <w:rsid w:val="299A404E"/>
    <w:rsid w:val="299F3D38"/>
    <w:rsid w:val="29A0718A"/>
    <w:rsid w:val="29A64D08"/>
    <w:rsid w:val="29A924E3"/>
    <w:rsid w:val="29C03B97"/>
    <w:rsid w:val="29C63095"/>
    <w:rsid w:val="29CE5AA6"/>
    <w:rsid w:val="29E51041"/>
    <w:rsid w:val="29F3375E"/>
    <w:rsid w:val="29FF65A7"/>
    <w:rsid w:val="2A021BF3"/>
    <w:rsid w:val="2A0B0AA8"/>
    <w:rsid w:val="2A2F4763"/>
    <w:rsid w:val="2A377AEF"/>
    <w:rsid w:val="2A3F69A3"/>
    <w:rsid w:val="2A514382"/>
    <w:rsid w:val="2A6B1499"/>
    <w:rsid w:val="2A6E607F"/>
    <w:rsid w:val="2A703001"/>
    <w:rsid w:val="2A7514EF"/>
    <w:rsid w:val="2A816FBC"/>
    <w:rsid w:val="2A9071FF"/>
    <w:rsid w:val="2A9F38E6"/>
    <w:rsid w:val="2ABA4FBD"/>
    <w:rsid w:val="2AC3392A"/>
    <w:rsid w:val="2AD25A69"/>
    <w:rsid w:val="2B0A5203"/>
    <w:rsid w:val="2B110340"/>
    <w:rsid w:val="2B125E66"/>
    <w:rsid w:val="2B193698"/>
    <w:rsid w:val="2B2D2CA0"/>
    <w:rsid w:val="2B2D59DE"/>
    <w:rsid w:val="2B34402E"/>
    <w:rsid w:val="2B34512E"/>
    <w:rsid w:val="2B786611"/>
    <w:rsid w:val="2B9351F9"/>
    <w:rsid w:val="2B9920E3"/>
    <w:rsid w:val="2BAA0794"/>
    <w:rsid w:val="2BAF7B59"/>
    <w:rsid w:val="2BC7635F"/>
    <w:rsid w:val="2BD31A99"/>
    <w:rsid w:val="2BEC66B7"/>
    <w:rsid w:val="2BEE68D3"/>
    <w:rsid w:val="2C0003B4"/>
    <w:rsid w:val="2C043A01"/>
    <w:rsid w:val="2C1C3440"/>
    <w:rsid w:val="2C313B0D"/>
    <w:rsid w:val="2C3D6511"/>
    <w:rsid w:val="2C3E77A3"/>
    <w:rsid w:val="2C6A1B8E"/>
    <w:rsid w:val="2C6E1C72"/>
    <w:rsid w:val="2C732934"/>
    <w:rsid w:val="2C7A3CC3"/>
    <w:rsid w:val="2C844B41"/>
    <w:rsid w:val="2C8E59C0"/>
    <w:rsid w:val="2CCD473A"/>
    <w:rsid w:val="2CED6B8B"/>
    <w:rsid w:val="2D3703B4"/>
    <w:rsid w:val="2D3A4990"/>
    <w:rsid w:val="2D485B6F"/>
    <w:rsid w:val="2D5541FE"/>
    <w:rsid w:val="2D6A3D37"/>
    <w:rsid w:val="2D7B23E8"/>
    <w:rsid w:val="2D83129D"/>
    <w:rsid w:val="2D937732"/>
    <w:rsid w:val="2DA51213"/>
    <w:rsid w:val="2DB33930"/>
    <w:rsid w:val="2DB63420"/>
    <w:rsid w:val="2E3305CD"/>
    <w:rsid w:val="2E6E5AA9"/>
    <w:rsid w:val="2E707428"/>
    <w:rsid w:val="2E7F6A53"/>
    <w:rsid w:val="2EAB2859"/>
    <w:rsid w:val="2EBA0CEE"/>
    <w:rsid w:val="2EBA4261"/>
    <w:rsid w:val="2EE06B1E"/>
    <w:rsid w:val="2EE67D35"/>
    <w:rsid w:val="2EF727B9"/>
    <w:rsid w:val="2F0D52C2"/>
    <w:rsid w:val="2F154177"/>
    <w:rsid w:val="2F234AE5"/>
    <w:rsid w:val="2F2A7C22"/>
    <w:rsid w:val="2F3C7955"/>
    <w:rsid w:val="2F3F3F5C"/>
    <w:rsid w:val="2F430FCC"/>
    <w:rsid w:val="2F560A17"/>
    <w:rsid w:val="2F57478F"/>
    <w:rsid w:val="2F6649D2"/>
    <w:rsid w:val="2F7567FF"/>
    <w:rsid w:val="2FAC4ADB"/>
    <w:rsid w:val="2FB971F8"/>
    <w:rsid w:val="2FD45DE0"/>
    <w:rsid w:val="2FDF06E0"/>
    <w:rsid w:val="2FEA5801"/>
    <w:rsid w:val="2FFC4D1C"/>
    <w:rsid w:val="30161F54"/>
    <w:rsid w:val="301937F3"/>
    <w:rsid w:val="30234671"/>
    <w:rsid w:val="3029612C"/>
    <w:rsid w:val="304C1E1A"/>
    <w:rsid w:val="304D6C8A"/>
    <w:rsid w:val="30562C99"/>
    <w:rsid w:val="30702106"/>
    <w:rsid w:val="308C0468"/>
    <w:rsid w:val="309008EA"/>
    <w:rsid w:val="30BA11A5"/>
    <w:rsid w:val="30C43683"/>
    <w:rsid w:val="30C9346B"/>
    <w:rsid w:val="30E738F1"/>
    <w:rsid w:val="30FA1876"/>
    <w:rsid w:val="31093867"/>
    <w:rsid w:val="31102E48"/>
    <w:rsid w:val="3115045E"/>
    <w:rsid w:val="31305298"/>
    <w:rsid w:val="31345E5C"/>
    <w:rsid w:val="31407A7D"/>
    <w:rsid w:val="31593003"/>
    <w:rsid w:val="317758FD"/>
    <w:rsid w:val="317909ED"/>
    <w:rsid w:val="3183186B"/>
    <w:rsid w:val="3196159F"/>
    <w:rsid w:val="31B45EC9"/>
    <w:rsid w:val="31D420C7"/>
    <w:rsid w:val="31E367AE"/>
    <w:rsid w:val="31F938DC"/>
    <w:rsid w:val="31FC517A"/>
    <w:rsid w:val="3222098B"/>
    <w:rsid w:val="32235143"/>
    <w:rsid w:val="32252923"/>
    <w:rsid w:val="322A722C"/>
    <w:rsid w:val="325671D1"/>
    <w:rsid w:val="326351F9"/>
    <w:rsid w:val="326B5871"/>
    <w:rsid w:val="32700042"/>
    <w:rsid w:val="32717916"/>
    <w:rsid w:val="329B2BE5"/>
    <w:rsid w:val="32C15383"/>
    <w:rsid w:val="32D50A2F"/>
    <w:rsid w:val="32D85BE7"/>
    <w:rsid w:val="32EE71B8"/>
    <w:rsid w:val="32F1215D"/>
    <w:rsid w:val="32F56799"/>
    <w:rsid w:val="3301513E"/>
    <w:rsid w:val="33092244"/>
    <w:rsid w:val="330D3E95"/>
    <w:rsid w:val="33216606"/>
    <w:rsid w:val="33226E62"/>
    <w:rsid w:val="3330332D"/>
    <w:rsid w:val="333A04AC"/>
    <w:rsid w:val="333C43C8"/>
    <w:rsid w:val="335A74A5"/>
    <w:rsid w:val="33686F6B"/>
    <w:rsid w:val="336A2CE3"/>
    <w:rsid w:val="337F47BC"/>
    <w:rsid w:val="33A1247D"/>
    <w:rsid w:val="33B65F28"/>
    <w:rsid w:val="33C1667B"/>
    <w:rsid w:val="33CA5530"/>
    <w:rsid w:val="33D44600"/>
    <w:rsid w:val="34036C94"/>
    <w:rsid w:val="340B0AD3"/>
    <w:rsid w:val="34216AB7"/>
    <w:rsid w:val="342310E4"/>
    <w:rsid w:val="344245ED"/>
    <w:rsid w:val="34433534"/>
    <w:rsid w:val="34480D7E"/>
    <w:rsid w:val="344E5C40"/>
    <w:rsid w:val="345F2F8A"/>
    <w:rsid w:val="346A0AC1"/>
    <w:rsid w:val="348F0A72"/>
    <w:rsid w:val="34993154"/>
    <w:rsid w:val="34B85CD0"/>
    <w:rsid w:val="34BA1A48"/>
    <w:rsid w:val="34E645EB"/>
    <w:rsid w:val="34FD7B87"/>
    <w:rsid w:val="350C1B78"/>
    <w:rsid w:val="35125BC0"/>
    <w:rsid w:val="352C5D76"/>
    <w:rsid w:val="353A00AB"/>
    <w:rsid w:val="355E0625"/>
    <w:rsid w:val="358E07DF"/>
    <w:rsid w:val="358F4C83"/>
    <w:rsid w:val="35B75F88"/>
    <w:rsid w:val="35C12962"/>
    <w:rsid w:val="35C81F43"/>
    <w:rsid w:val="35CF32D1"/>
    <w:rsid w:val="35D72186"/>
    <w:rsid w:val="35D73F34"/>
    <w:rsid w:val="35E86141"/>
    <w:rsid w:val="36082E87"/>
    <w:rsid w:val="36107446"/>
    <w:rsid w:val="362A24EB"/>
    <w:rsid w:val="363B6546"/>
    <w:rsid w:val="366F0610"/>
    <w:rsid w:val="368B64D9"/>
    <w:rsid w:val="36A4475E"/>
    <w:rsid w:val="36A77DAA"/>
    <w:rsid w:val="36AA5AEC"/>
    <w:rsid w:val="36CA1076"/>
    <w:rsid w:val="36D6243D"/>
    <w:rsid w:val="36FD5C1C"/>
    <w:rsid w:val="370E607B"/>
    <w:rsid w:val="371241D0"/>
    <w:rsid w:val="37272C99"/>
    <w:rsid w:val="37357164"/>
    <w:rsid w:val="37436ACA"/>
    <w:rsid w:val="3744384B"/>
    <w:rsid w:val="374F7813"/>
    <w:rsid w:val="37912618"/>
    <w:rsid w:val="37A97B52"/>
    <w:rsid w:val="37B46477"/>
    <w:rsid w:val="37BA22DC"/>
    <w:rsid w:val="37ED7A3F"/>
    <w:rsid w:val="38091DE5"/>
    <w:rsid w:val="380A05F1"/>
    <w:rsid w:val="381476C1"/>
    <w:rsid w:val="381A5AE9"/>
    <w:rsid w:val="38244D04"/>
    <w:rsid w:val="382D2531"/>
    <w:rsid w:val="385A76C2"/>
    <w:rsid w:val="389D76B7"/>
    <w:rsid w:val="38A327F3"/>
    <w:rsid w:val="38AE48E4"/>
    <w:rsid w:val="38C12A6A"/>
    <w:rsid w:val="38C84008"/>
    <w:rsid w:val="38E52E0C"/>
    <w:rsid w:val="38E56968"/>
    <w:rsid w:val="39096AFA"/>
    <w:rsid w:val="390A63CE"/>
    <w:rsid w:val="391B05DB"/>
    <w:rsid w:val="39232522"/>
    <w:rsid w:val="392751D2"/>
    <w:rsid w:val="393A4F06"/>
    <w:rsid w:val="39447B32"/>
    <w:rsid w:val="3949339B"/>
    <w:rsid w:val="394E275F"/>
    <w:rsid w:val="396C0E37"/>
    <w:rsid w:val="39761CB6"/>
    <w:rsid w:val="39831235"/>
    <w:rsid w:val="399A2E6E"/>
    <w:rsid w:val="39BA1BA2"/>
    <w:rsid w:val="39BC1DBE"/>
    <w:rsid w:val="39C408D3"/>
    <w:rsid w:val="39E60BE9"/>
    <w:rsid w:val="3A0B4AF4"/>
    <w:rsid w:val="3A0D2093"/>
    <w:rsid w:val="3A1439A9"/>
    <w:rsid w:val="3A2A4F7A"/>
    <w:rsid w:val="3A2B7D28"/>
    <w:rsid w:val="3A30455A"/>
    <w:rsid w:val="3A374D3C"/>
    <w:rsid w:val="3A43428E"/>
    <w:rsid w:val="3A4B040E"/>
    <w:rsid w:val="3A7B1E11"/>
    <w:rsid w:val="3A7E7074"/>
    <w:rsid w:val="3A916DA7"/>
    <w:rsid w:val="3A921CEB"/>
    <w:rsid w:val="3AA52684"/>
    <w:rsid w:val="3AC0768C"/>
    <w:rsid w:val="3AC727C9"/>
    <w:rsid w:val="3ADD52D8"/>
    <w:rsid w:val="3AE658C8"/>
    <w:rsid w:val="3AE96BE3"/>
    <w:rsid w:val="3AEC222F"/>
    <w:rsid w:val="3AF64E5C"/>
    <w:rsid w:val="3B0C0B24"/>
    <w:rsid w:val="3B124611"/>
    <w:rsid w:val="3B2220F5"/>
    <w:rsid w:val="3B2D45F6"/>
    <w:rsid w:val="3B556027"/>
    <w:rsid w:val="3B5A363D"/>
    <w:rsid w:val="3B8A37F6"/>
    <w:rsid w:val="3B9A161E"/>
    <w:rsid w:val="3B9F54F4"/>
    <w:rsid w:val="3BC35686"/>
    <w:rsid w:val="3BCE5DD9"/>
    <w:rsid w:val="3C1063F2"/>
    <w:rsid w:val="3C1F03E3"/>
    <w:rsid w:val="3C241E9D"/>
    <w:rsid w:val="3C2679C3"/>
    <w:rsid w:val="3C2D0D52"/>
    <w:rsid w:val="3C300842"/>
    <w:rsid w:val="3C3E60C7"/>
    <w:rsid w:val="3C410359"/>
    <w:rsid w:val="3C4E0CC8"/>
    <w:rsid w:val="3C553E04"/>
    <w:rsid w:val="3C664263"/>
    <w:rsid w:val="3C6A771E"/>
    <w:rsid w:val="3C756255"/>
    <w:rsid w:val="3C845B74"/>
    <w:rsid w:val="3CD57C11"/>
    <w:rsid w:val="3CDB5FBC"/>
    <w:rsid w:val="3CDB69FF"/>
    <w:rsid w:val="3CE56B3A"/>
    <w:rsid w:val="3D0F2205"/>
    <w:rsid w:val="3D334277"/>
    <w:rsid w:val="3D485717"/>
    <w:rsid w:val="3D6A6A03"/>
    <w:rsid w:val="3D6F3DBB"/>
    <w:rsid w:val="3D713CAE"/>
    <w:rsid w:val="3D7824A0"/>
    <w:rsid w:val="3D850719"/>
    <w:rsid w:val="3D8B21D4"/>
    <w:rsid w:val="3D9545D7"/>
    <w:rsid w:val="3DA45043"/>
    <w:rsid w:val="3DA94408"/>
    <w:rsid w:val="3DB8289D"/>
    <w:rsid w:val="3DC53FD4"/>
    <w:rsid w:val="3DCB00C4"/>
    <w:rsid w:val="3DE8377C"/>
    <w:rsid w:val="3DF33FA1"/>
    <w:rsid w:val="3DFE0BF8"/>
    <w:rsid w:val="3E1C4CA9"/>
    <w:rsid w:val="3E3F2FBE"/>
    <w:rsid w:val="3E6A79AA"/>
    <w:rsid w:val="3E704177"/>
    <w:rsid w:val="3E75078E"/>
    <w:rsid w:val="3E9055C8"/>
    <w:rsid w:val="3E9926CE"/>
    <w:rsid w:val="3EE47A7D"/>
    <w:rsid w:val="3EED47C8"/>
    <w:rsid w:val="3F087854"/>
    <w:rsid w:val="3F125FDD"/>
    <w:rsid w:val="3F2B014D"/>
    <w:rsid w:val="3F520ACF"/>
    <w:rsid w:val="3F756F69"/>
    <w:rsid w:val="3F760C61"/>
    <w:rsid w:val="3F9B6258"/>
    <w:rsid w:val="3FA550A3"/>
    <w:rsid w:val="3FC6483E"/>
    <w:rsid w:val="3FC87573"/>
    <w:rsid w:val="3FD17C46"/>
    <w:rsid w:val="3FDC63CB"/>
    <w:rsid w:val="3FDF05B5"/>
    <w:rsid w:val="40297EB6"/>
    <w:rsid w:val="403501D5"/>
    <w:rsid w:val="40503261"/>
    <w:rsid w:val="4051065A"/>
    <w:rsid w:val="408D0011"/>
    <w:rsid w:val="40C003E6"/>
    <w:rsid w:val="40C477AB"/>
    <w:rsid w:val="40C945A4"/>
    <w:rsid w:val="40DE261A"/>
    <w:rsid w:val="40E63BC5"/>
    <w:rsid w:val="410127AD"/>
    <w:rsid w:val="41200E85"/>
    <w:rsid w:val="4120461C"/>
    <w:rsid w:val="415944B0"/>
    <w:rsid w:val="417E204F"/>
    <w:rsid w:val="41831414"/>
    <w:rsid w:val="41961147"/>
    <w:rsid w:val="419B45F7"/>
    <w:rsid w:val="41C37A62"/>
    <w:rsid w:val="41D43A1D"/>
    <w:rsid w:val="41F45E6E"/>
    <w:rsid w:val="41FD4D22"/>
    <w:rsid w:val="42022339"/>
    <w:rsid w:val="421D7172"/>
    <w:rsid w:val="42366486"/>
    <w:rsid w:val="423A5F76"/>
    <w:rsid w:val="425C5EED"/>
    <w:rsid w:val="42A67168"/>
    <w:rsid w:val="42B23D5F"/>
    <w:rsid w:val="42BF647C"/>
    <w:rsid w:val="42E12896"/>
    <w:rsid w:val="42E87780"/>
    <w:rsid w:val="42F36125"/>
    <w:rsid w:val="43371B17"/>
    <w:rsid w:val="433C7ACC"/>
    <w:rsid w:val="435236B1"/>
    <w:rsid w:val="43686B13"/>
    <w:rsid w:val="436C6603"/>
    <w:rsid w:val="437B209E"/>
    <w:rsid w:val="437E6337"/>
    <w:rsid w:val="43B85F84"/>
    <w:rsid w:val="43BB4E95"/>
    <w:rsid w:val="43BD0C0D"/>
    <w:rsid w:val="43C024AB"/>
    <w:rsid w:val="43CE18D9"/>
    <w:rsid w:val="43CF26EE"/>
    <w:rsid w:val="43F959BD"/>
    <w:rsid w:val="43F9776B"/>
    <w:rsid w:val="44020D16"/>
    <w:rsid w:val="441B5933"/>
    <w:rsid w:val="441D5690"/>
    <w:rsid w:val="442F1FE8"/>
    <w:rsid w:val="44373D68"/>
    <w:rsid w:val="44427364"/>
    <w:rsid w:val="449C4CC6"/>
    <w:rsid w:val="44A27E03"/>
    <w:rsid w:val="44AE56AE"/>
    <w:rsid w:val="44B32010"/>
    <w:rsid w:val="44D37E0F"/>
    <w:rsid w:val="454A2974"/>
    <w:rsid w:val="45596713"/>
    <w:rsid w:val="455B692F"/>
    <w:rsid w:val="456F4189"/>
    <w:rsid w:val="458A2D71"/>
    <w:rsid w:val="45965BB9"/>
    <w:rsid w:val="45AC0F39"/>
    <w:rsid w:val="45AF0A29"/>
    <w:rsid w:val="45BB5620"/>
    <w:rsid w:val="45D80FE8"/>
    <w:rsid w:val="45DE70E5"/>
    <w:rsid w:val="45E71F71"/>
    <w:rsid w:val="45F8417E"/>
    <w:rsid w:val="460A2104"/>
    <w:rsid w:val="46162856"/>
    <w:rsid w:val="4618037D"/>
    <w:rsid w:val="461E5035"/>
    <w:rsid w:val="462705C0"/>
    <w:rsid w:val="462A6302"/>
    <w:rsid w:val="462F56C6"/>
    <w:rsid w:val="4645427B"/>
    <w:rsid w:val="464949DA"/>
    <w:rsid w:val="465D411F"/>
    <w:rsid w:val="466C06C8"/>
    <w:rsid w:val="46794B93"/>
    <w:rsid w:val="467B090B"/>
    <w:rsid w:val="46D63D94"/>
    <w:rsid w:val="46D75158"/>
    <w:rsid w:val="47041E31"/>
    <w:rsid w:val="47347438"/>
    <w:rsid w:val="47372A84"/>
    <w:rsid w:val="474358CD"/>
    <w:rsid w:val="474B1823"/>
    <w:rsid w:val="475533F3"/>
    <w:rsid w:val="476F0070"/>
    <w:rsid w:val="47853456"/>
    <w:rsid w:val="47946129"/>
    <w:rsid w:val="47AC3472"/>
    <w:rsid w:val="47DE55F6"/>
    <w:rsid w:val="47ED5839"/>
    <w:rsid w:val="47F866B8"/>
    <w:rsid w:val="47FE465A"/>
    <w:rsid w:val="48007A58"/>
    <w:rsid w:val="480768FB"/>
    <w:rsid w:val="4821358F"/>
    <w:rsid w:val="4828061F"/>
    <w:rsid w:val="48515DC8"/>
    <w:rsid w:val="48613614"/>
    <w:rsid w:val="48614203"/>
    <w:rsid w:val="48794878"/>
    <w:rsid w:val="48A002D0"/>
    <w:rsid w:val="48A00AFD"/>
    <w:rsid w:val="48BD345D"/>
    <w:rsid w:val="48C22822"/>
    <w:rsid w:val="48CC544E"/>
    <w:rsid w:val="48DD53FB"/>
    <w:rsid w:val="48DE0379"/>
    <w:rsid w:val="48EC789E"/>
    <w:rsid w:val="48EE3617"/>
    <w:rsid w:val="48F861B6"/>
    <w:rsid w:val="48FC21D7"/>
    <w:rsid w:val="49112FC5"/>
    <w:rsid w:val="49177011"/>
    <w:rsid w:val="492139EC"/>
    <w:rsid w:val="49492F43"/>
    <w:rsid w:val="49667651"/>
    <w:rsid w:val="49677627"/>
    <w:rsid w:val="496B0765"/>
    <w:rsid w:val="497E2BEC"/>
    <w:rsid w:val="49926698"/>
    <w:rsid w:val="49C54DFD"/>
    <w:rsid w:val="49D62A28"/>
    <w:rsid w:val="49F904C5"/>
    <w:rsid w:val="4A007AA5"/>
    <w:rsid w:val="4A0A4480"/>
    <w:rsid w:val="4A392FB7"/>
    <w:rsid w:val="4A3D74A8"/>
    <w:rsid w:val="4A563B69"/>
    <w:rsid w:val="4A5C2802"/>
    <w:rsid w:val="4A5E657A"/>
    <w:rsid w:val="4AAE5753"/>
    <w:rsid w:val="4ABE526B"/>
    <w:rsid w:val="4ADD1B95"/>
    <w:rsid w:val="4AE41175"/>
    <w:rsid w:val="4AE747C1"/>
    <w:rsid w:val="4AF40C8C"/>
    <w:rsid w:val="4B117A90"/>
    <w:rsid w:val="4B271062"/>
    <w:rsid w:val="4B2B2900"/>
    <w:rsid w:val="4B3A2B43"/>
    <w:rsid w:val="4B6D116B"/>
    <w:rsid w:val="4B7D6ED4"/>
    <w:rsid w:val="4B7F49FA"/>
    <w:rsid w:val="4BCA12BF"/>
    <w:rsid w:val="4BD56D10"/>
    <w:rsid w:val="4BDA60D4"/>
    <w:rsid w:val="4BDE3E16"/>
    <w:rsid w:val="4BFA6243"/>
    <w:rsid w:val="4BFD7480"/>
    <w:rsid w:val="4C275C74"/>
    <w:rsid w:val="4C40062D"/>
    <w:rsid w:val="4C43011D"/>
    <w:rsid w:val="4C455C43"/>
    <w:rsid w:val="4C51049A"/>
    <w:rsid w:val="4C56045E"/>
    <w:rsid w:val="4C63256E"/>
    <w:rsid w:val="4C7D362F"/>
    <w:rsid w:val="4C9646F1"/>
    <w:rsid w:val="4CA968EF"/>
    <w:rsid w:val="4CB84667"/>
    <w:rsid w:val="4CCA4DD5"/>
    <w:rsid w:val="4CD40D75"/>
    <w:rsid w:val="4CD51D7D"/>
    <w:rsid w:val="4D023B34"/>
    <w:rsid w:val="4D063625"/>
    <w:rsid w:val="4D0B0C3B"/>
    <w:rsid w:val="4D0F41F2"/>
    <w:rsid w:val="4D216D20"/>
    <w:rsid w:val="4D2717ED"/>
    <w:rsid w:val="4D445EFB"/>
    <w:rsid w:val="4D461C73"/>
    <w:rsid w:val="4D4E28D6"/>
    <w:rsid w:val="4D5325E2"/>
    <w:rsid w:val="4D665E71"/>
    <w:rsid w:val="4D673998"/>
    <w:rsid w:val="4D7B7443"/>
    <w:rsid w:val="4D8502C3"/>
    <w:rsid w:val="4D875DE8"/>
    <w:rsid w:val="4D9C5D37"/>
    <w:rsid w:val="4DA42E3E"/>
    <w:rsid w:val="4DA846DC"/>
    <w:rsid w:val="4DAD1CF2"/>
    <w:rsid w:val="4DB10A21"/>
    <w:rsid w:val="4DD454D1"/>
    <w:rsid w:val="4DD52FF7"/>
    <w:rsid w:val="4DD95C71"/>
    <w:rsid w:val="4DE81A0F"/>
    <w:rsid w:val="4E255D2C"/>
    <w:rsid w:val="4E2F6BAB"/>
    <w:rsid w:val="4E4A12EF"/>
    <w:rsid w:val="4E4C5AC3"/>
    <w:rsid w:val="4E5775B7"/>
    <w:rsid w:val="4E5E4D9B"/>
    <w:rsid w:val="4E7D16B9"/>
    <w:rsid w:val="4E850579"/>
    <w:rsid w:val="4E86609F"/>
    <w:rsid w:val="4E872543"/>
    <w:rsid w:val="4EAC01FC"/>
    <w:rsid w:val="4EB43E15"/>
    <w:rsid w:val="4EB946C7"/>
    <w:rsid w:val="4EBB043F"/>
    <w:rsid w:val="4EC217CD"/>
    <w:rsid w:val="4EC310A1"/>
    <w:rsid w:val="4F0A6CD0"/>
    <w:rsid w:val="4F334479"/>
    <w:rsid w:val="4F3A75B6"/>
    <w:rsid w:val="4F416B96"/>
    <w:rsid w:val="4F675ED1"/>
    <w:rsid w:val="4F7D56F4"/>
    <w:rsid w:val="4F806F93"/>
    <w:rsid w:val="4F950C90"/>
    <w:rsid w:val="4F9C201E"/>
    <w:rsid w:val="4FC155E1"/>
    <w:rsid w:val="4FCE3742"/>
    <w:rsid w:val="4FDF4555"/>
    <w:rsid w:val="4FEA7914"/>
    <w:rsid w:val="4FF0236A"/>
    <w:rsid w:val="4FF43C08"/>
    <w:rsid w:val="500D6A78"/>
    <w:rsid w:val="50153B7F"/>
    <w:rsid w:val="50265D8C"/>
    <w:rsid w:val="50267B3A"/>
    <w:rsid w:val="502B6EFE"/>
    <w:rsid w:val="503E30D6"/>
    <w:rsid w:val="505D2CF5"/>
    <w:rsid w:val="50610B72"/>
    <w:rsid w:val="50656436"/>
    <w:rsid w:val="50770396"/>
    <w:rsid w:val="508F3931"/>
    <w:rsid w:val="50986396"/>
    <w:rsid w:val="50AE6154"/>
    <w:rsid w:val="50B82E88"/>
    <w:rsid w:val="50CC6933"/>
    <w:rsid w:val="50D21A70"/>
    <w:rsid w:val="50D518F4"/>
    <w:rsid w:val="50D650BC"/>
    <w:rsid w:val="50E579F5"/>
    <w:rsid w:val="50F16CAD"/>
    <w:rsid w:val="50F96FFC"/>
    <w:rsid w:val="50FB4B23"/>
    <w:rsid w:val="511D3FC5"/>
    <w:rsid w:val="51313B46"/>
    <w:rsid w:val="513149E8"/>
    <w:rsid w:val="51705511"/>
    <w:rsid w:val="518965D2"/>
    <w:rsid w:val="519F2844"/>
    <w:rsid w:val="51AE3144"/>
    <w:rsid w:val="51B80C66"/>
    <w:rsid w:val="51C54DD9"/>
    <w:rsid w:val="51D35A9F"/>
    <w:rsid w:val="51DB360C"/>
    <w:rsid w:val="51FC4FF6"/>
    <w:rsid w:val="5201260D"/>
    <w:rsid w:val="52495D62"/>
    <w:rsid w:val="525A3D6B"/>
    <w:rsid w:val="529671F9"/>
    <w:rsid w:val="52AD009F"/>
    <w:rsid w:val="52B753C1"/>
    <w:rsid w:val="52ED3D47"/>
    <w:rsid w:val="52F65EE9"/>
    <w:rsid w:val="52FE0B46"/>
    <w:rsid w:val="53150E2B"/>
    <w:rsid w:val="531A1082"/>
    <w:rsid w:val="531B14AC"/>
    <w:rsid w:val="532239E6"/>
    <w:rsid w:val="53460DBA"/>
    <w:rsid w:val="534827DC"/>
    <w:rsid w:val="53603363"/>
    <w:rsid w:val="536D782E"/>
    <w:rsid w:val="53AA2830"/>
    <w:rsid w:val="53C14AD0"/>
    <w:rsid w:val="53DC50DF"/>
    <w:rsid w:val="54106B37"/>
    <w:rsid w:val="541A79B6"/>
    <w:rsid w:val="542720D3"/>
    <w:rsid w:val="54512B39"/>
    <w:rsid w:val="5455279C"/>
    <w:rsid w:val="5458228C"/>
    <w:rsid w:val="546724CF"/>
    <w:rsid w:val="54680721"/>
    <w:rsid w:val="546E1AAF"/>
    <w:rsid w:val="54770964"/>
    <w:rsid w:val="54882B71"/>
    <w:rsid w:val="549A4F86"/>
    <w:rsid w:val="549E05E7"/>
    <w:rsid w:val="549F4205"/>
    <w:rsid w:val="54B43966"/>
    <w:rsid w:val="54C87412"/>
    <w:rsid w:val="54CA271A"/>
    <w:rsid w:val="54D062C6"/>
    <w:rsid w:val="54D2203E"/>
    <w:rsid w:val="54F975CB"/>
    <w:rsid w:val="550E5F56"/>
    <w:rsid w:val="551A1E22"/>
    <w:rsid w:val="55482300"/>
    <w:rsid w:val="55777C50"/>
    <w:rsid w:val="558A46C7"/>
    <w:rsid w:val="559E0172"/>
    <w:rsid w:val="55A97243"/>
    <w:rsid w:val="55C45E2B"/>
    <w:rsid w:val="55D32512"/>
    <w:rsid w:val="55E77D6B"/>
    <w:rsid w:val="55EC7130"/>
    <w:rsid w:val="56051FA0"/>
    <w:rsid w:val="560A5808"/>
    <w:rsid w:val="560B1CAC"/>
    <w:rsid w:val="56154AB8"/>
    <w:rsid w:val="56206DD9"/>
    <w:rsid w:val="56244B1C"/>
    <w:rsid w:val="56462CE4"/>
    <w:rsid w:val="565D51C1"/>
    <w:rsid w:val="56666EE2"/>
    <w:rsid w:val="567315FF"/>
    <w:rsid w:val="56815ACA"/>
    <w:rsid w:val="56A1250C"/>
    <w:rsid w:val="56D77DE0"/>
    <w:rsid w:val="56E322E1"/>
    <w:rsid w:val="56E878F7"/>
    <w:rsid w:val="570B1838"/>
    <w:rsid w:val="57121B4D"/>
    <w:rsid w:val="57203535"/>
    <w:rsid w:val="572C741E"/>
    <w:rsid w:val="576A0C54"/>
    <w:rsid w:val="578F2469"/>
    <w:rsid w:val="57931F59"/>
    <w:rsid w:val="57BB325E"/>
    <w:rsid w:val="57CA524F"/>
    <w:rsid w:val="57CB7096"/>
    <w:rsid w:val="57E02CC4"/>
    <w:rsid w:val="5801312B"/>
    <w:rsid w:val="5804432B"/>
    <w:rsid w:val="5804495C"/>
    <w:rsid w:val="583848AE"/>
    <w:rsid w:val="58466FCB"/>
    <w:rsid w:val="58472D43"/>
    <w:rsid w:val="584F487A"/>
    <w:rsid w:val="58501BF8"/>
    <w:rsid w:val="58704048"/>
    <w:rsid w:val="589917F1"/>
    <w:rsid w:val="58A752E8"/>
    <w:rsid w:val="58C3686E"/>
    <w:rsid w:val="58C61EBA"/>
    <w:rsid w:val="58E77A3E"/>
    <w:rsid w:val="58FA7DB6"/>
    <w:rsid w:val="59044790"/>
    <w:rsid w:val="5919648E"/>
    <w:rsid w:val="59232E69"/>
    <w:rsid w:val="592F3F03"/>
    <w:rsid w:val="593E5EF4"/>
    <w:rsid w:val="594F1EAF"/>
    <w:rsid w:val="597E4543"/>
    <w:rsid w:val="597F1390"/>
    <w:rsid w:val="59994F54"/>
    <w:rsid w:val="599B50F5"/>
    <w:rsid w:val="59A3044D"/>
    <w:rsid w:val="59BB424B"/>
    <w:rsid w:val="59C7413C"/>
    <w:rsid w:val="59E3084A"/>
    <w:rsid w:val="59F40CA9"/>
    <w:rsid w:val="5A221372"/>
    <w:rsid w:val="5A2C3F9F"/>
    <w:rsid w:val="5A3410A5"/>
    <w:rsid w:val="5A5B4884"/>
    <w:rsid w:val="5A5F4374"/>
    <w:rsid w:val="5AA5127A"/>
    <w:rsid w:val="5AAB580B"/>
    <w:rsid w:val="5ABF12B7"/>
    <w:rsid w:val="5AC210D4"/>
    <w:rsid w:val="5AD50940"/>
    <w:rsid w:val="5ADB44D5"/>
    <w:rsid w:val="5ADD173D"/>
    <w:rsid w:val="5AE900E2"/>
    <w:rsid w:val="5B101B12"/>
    <w:rsid w:val="5B1858FF"/>
    <w:rsid w:val="5B370E4D"/>
    <w:rsid w:val="5B3E30E3"/>
    <w:rsid w:val="5B48305A"/>
    <w:rsid w:val="5B597015"/>
    <w:rsid w:val="5B667B2F"/>
    <w:rsid w:val="5B9812B3"/>
    <w:rsid w:val="5BAD7361"/>
    <w:rsid w:val="5BAF53BF"/>
    <w:rsid w:val="5BCD17B1"/>
    <w:rsid w:val="5BCE6090"/>
    <w:rsid w:val="5BCF552A"/>
    <w:rsid w:val="5BD13050"/>
    <w:rsid w:val="5BD40D92"/>
    <w:rsid w:val="5BE34B31"/>
    <w:rsid w:val="5BF64864"/>
    <w:rsid w:val="5C0C4088"/>
    <w:rsid w:val="5C1B04DF"/>
    <w:rsid w:val="5C1B42CB"/>
    <w:rsid w:val="5C335AB8"/>
    <w:rsid w:val="5C3B2BBF"/>
    <w:rsid w:val="5C447B8B"/>
    <w:rsid w:val="5C45759A"/>
    <w:rsid w:val="5C5B5103"/>
    <w:rsid w:val="5C5D2B35"/>
    <w:rsid w:val="5C5D48E3"/>
    <w:rsid w:val="5C602626"/>
    <w:rsid w:val="5C657C3C"/>
    <w:rsid w:val="5C8E2CEF"/>
    <w:rsid w:val="5C8F0A8D"/>
    <w:rsid w:val="5C916D6D"/>
    <w:rsid w:val="5CAE513F"/>
    <w:rsid w:val="5CB84210"/>
    <w:rsid w:val="5CBF559E"/>
    <w:rsid w:val="5CF54B1C"/>
    <w:rsid w:val="5D0107A7"/>
    <w:rsid w:val="5D2418A5"/>
    <w:rsid w:val="5D3E0272"/>
    <w:rsid w:val="5D3F00B5"/>
    <w:rsid w:val="5D414205"/>
    <w:rsid w:val="5D460B5A"/>
    <w:rsid w:val="5D8B722E"/>
    <w:rsid w:val="5D8D2FA6"/>
    <w:rsid w:val="5D9F0F2C"/>
    <w:rsid w:val="5D9F2CDA"/>
    <w:rsid w:val="5DB43B34"/>
    <w:rsid w:val="5DD15589"/>
    <w:rsid w:val="5DDB01B6"/>
    <w:rsid w:val="5E074CDA"/>
    <w:rsid w:val="5E1611EE"/>
    <w:rsid w:val="5E785A05"/>
    <w:rsid w:val="5E931F27"/>
    <w:rsid w:val="5EA20CD3"/>
    <w:rsid w:val="5EAC56AE"/>
    <w:rsid w:val="5EB54F0B"/>
    <w:rsid w:val="5EB84053"/>
    <w:rsid w:val="5EBB7FE7"/>
    <w:rsid w:val="5EDA046D"/>
    <w:rsid w:val="5EDD3CD5"/>
    <w:rsid w:val="5EEC1F4F"/>
    <w:rsid w:val="5EF66450"/>
    <w:rsid w:val="5F074FDA"/>
    <w:rsid w:val="5F1D035A"/>
    <w:rsid w:val="5F2E07B9"/>
    <w:rsid w:val="5F48187B"/>
    <w:rsid w:val="5F4F0E5B"/>
    <w:rsid w:val="5F5521EA"/>
    <w:rsid w:val="5F677827"/>
    <w:rsid w:val="5F984E04"/>
    <w:rsid w:val="5FA62A45"/>
    <w:rsid w:val="5FA97E40"/>
    <w:rsid w:val="5FAC2CD9"/>
    <w:rsid w:val="5FAC7A0E"/>
    <w:rsid w:val="5FAD7930"/>
    <w:rsid w:val="5FCE24C5"/>
    <w:rsid w:val="5FD22487"/>
    <w:rsid w:val="5FD831B2"/>
    <w:rsid w:val="5FE90564"/>
    <w:rsid w:val="5FF16967"/>
    <w:rsid w:val="600A2FD4"/>
    <w:rsid w:val="602D0A71"/>
    <w:rsid w:val="60437F18"/>
    <w:rsid w:val="6062071A"/>
    <w:rsid w:val="607E751E"/>
    <w:rsid w:val="608E59B3"/>
    <w:rsid w:val="60A52CFD"/>
    <w:rsid w:val="60AE3960"/>
    <w:rsid w:val="60CB1B6C"/>
    <w:rsid w:val="60DD3A26"/>
    <w:rsid w:val="60EC6027"/>
    <w:rsid w:val="60EE6452"/>
    <w:rsid w:val="613C540F"/>
    <w:rsid w:val="61406582"/>
    <w:rsid w:val="61493688"/>
    <w:rsid w:val="616C7377"/>
    <w:rsid w:val="616E2A35"/>
    <w:rsid w:val="61AE5BE1"/>
    <w:rsid w:val="61B256D1"/>
    <w:rsid w:val="62015D11"/>
    <w:rsid w:val="62031BCF"/>
    <w:rsid w:val="62065A1D"/>
    <w:rsid w:val="621C2B4B"/>
    <w:rsid w:val="62373E29"/>
    <w:rsid w:val="623C7BEE"/>
    <w:rsid w:val="623E0D13"/>
    <w:rsid w:val="62404BCD"/>
    <w:rsid w:val="62875F25"/>
    <w:rsid w:val="62922E0D"/>
    <w:rsid w:val="62A56FE4"/>
    <w:rsid w:val="62A768B8"/>
    <w:rsid w:val="62BC3405"/>
    <w:rsid w:val="62C751AC"/>
    <w:rsid w:val="62CA07F9"/>
    <w:rsid w:val="62CA3A43"/>
    <w:rsid w:val="62CA6A4B"/>
    <w:rsid w:val="62E33669"/>
    <w:rsid w:val="62E713AB"/>
    <w:rsid w:val="62E800A1"/>
    <w:rsid w:val="631101D6"/>
    <w:rsid w:val="632D3E3F"/>
    <w:rsid w:val="63612F0B"/>
    <w:rsid w:val="637B0BF4"/>
    <w:rsid w:val="637B6B17"/>
    <w:rsid w:val="6380547C"/>
    <w:rsid w:val="63861E5B"/>
    <w:rsid w:val="63C96D02"/>
    <w:rsid w:val="63CD67F3"/>
    <w:rsid w:val="63D861B1"/>
    <w:rsid w:val="63FF2724"/>
    <w:rsid w:val="6421269A"/>
    <w:rsid w:val="64265F03"/>
    <w:rsid w:val="64300B2F"/>
    <w:rsid w:val="64391FDD"/>
    <w:rsid w:val="643D4231"/>
    <w:rsid w:val="64502F80"/>
    <w:rsid w:val="645111D2"/>
    <w:rsid w:val="64654C7D"/>
    <w:rsid w:val="647336C2"/>
    <w:rsid w:val="647A1DAB"/>
    <w:rsid w:val="64A83A99"/>
    <w:rsid w:val="64AA6B34"/>
    <w:rsid w:val="64BE25DF"/>
    <w:rsid w:val="64CA0F84"/>
    <w:rsid w:val="64D12312"/>
    <w:rsid w:val="64EE20B7"/>
    <w:rsid w:val="64EE53D0"/>
    <w:rsid w:val="64FB0C06"/>
    <w:rsid w:val="65036D88"/>
    <w:rsid w:val="650E0E71"/>
    <w:rsid w:val="6515571A"/>
    <w:rsid w:val="651B358E"/>
    <w:rsid w:val="65200BA4"/>
    <w:rsid w:val="6546685C"/>
    <w:rsid w:val="654A7B41"/>
    <w:rsid w:val="654C7BEB"/>
    <w:rsid w:val="656466D3"/>
    <w:rsid w:val="657131AE"/>
    <w:rsid w:val="65760F3F"/>
    <w:rsid w:val="65BF03BD"/>
    <w:rsid w:val="65C43C25"/>
    <w:rsid w:val="65D75707"/>
    <w:rsid w:val="65DF6369"/>
    <w:rsid w:val="65F52031"/>
    <w:rsid w:val="65FD2C93"/>
    <w:rsid w:val="660404C6"/>
    <w:rsid w:val="660D39A1"/>
    <w:rsid w:val="6615622F"/>
    <w:rsid w:val="6624244C"/>
    <w:rsid w:val="663027E1"/>
    <w:rsid w:val="66415DB2"/>
    <w:rsid w:val="664A237C"/>
    <w:rsid w:val="664A3F86"/>
    <w:rsid w:val="66636F9A"/>
    <w:rsid w:val="667C4500"/>
    <w:rsid w:val="6683763C"/>
    <w:rsid w:val="66950BB7"/>
    <w:rsid w:val="6695111E"/>
    <w:rsid w:val="66A877FA"/>
    <w:rsid w:val="66C840C6"/>
    <w:rsid w:val="66CF2882"/>
    <w:rsid w:val="66DD7315"/>
    <w:rsid w:val="66F87431"/>
    <w:rsid w:val="671E1113"/>
    <w:rsid w:val="6727621A"/>
    <w:rsid w:val="672C55DE"/>
    <w:rsid w:val="674943E2"/>
    <w:rsid w:val="674C5C80"/>
    <w:rsid w:val="674E7C4A"/>
    <w:rsid w:val="6779459B"/>
    <w:rsid w:val="67803B7C"/>
    <w:rsid w:val="6780592A"/>
    <w:rsid w:val="67864F13"/>
    <w:rsid w:val="678E0047"/>
    <w:rsid w:val="679118E5"/>
    <w:rsid w:val="67A23AF2"/>
    <w:rsid w:val="67A930D3"/>
    <w:rsid w:val="67B34070"/>
    <w:rsid w:val="67BA24E3"/>
    <w:rsid w:val="67DB46CB"/>
    <w:rsid w:val="68153D8C"/>
    <w:rsid w:val="681D13CB"/>
    <w:rsid w:val="685E3EBD"/>
    <w:rsid w:val="6870599E"/>
    <w:rsid w:val="68725BBA"/>
    <w:rsid w:val="687A681D"/>
    <w:rsid w:val="687D3CBD"/>
    <w:rsid w:val="68A37B22"/>
    <w:rsid w:val="68AD7220"/>
    <w:rsid w:val="690031C6"/>
    <w:rsid w:val="69027881"/>
    <w:rsid w:val="69132EFA"/>
    <w:rsid w:val="69392234"/>
    <w:rsid w:val="694E2184"/>
    <w:rsid w:val="6971104F"/>
    <w:rsid w:val="69813891"/>
    <w:rsid w:val="69855891"/>
    <w:rsid w:val="69872FA0"/>
    <w:rsid w:val="69AE2C22"/>
    <w:rsid w:val="69C2222A"/>
    <w:rsid w:val="69C45FA2"/>
    <w:rsid w:val="69CE6E20"/>
    <w:rsid w:val="69D32689"/>
    <w:rsid w:val="69E42931"/>
    <w:rsid w:val="69EA290C"/>
    <w:rsid w:val="69F85C4B"/>
    <w:rsid w:val="6A2C49E0"/>
    <w:rsid w:val="6A2D5CC5"/>
    <w:rsid w:val="6A5512F0"/>
    <w:rsid w:val="6A6257BB"/>
    <w:rsid w:val="6A8D0A8A"/>
    <w:rsid w:val="6AA933EA"/>
    <w:rsid w:val="6ADF0BB9"/>
    <w:rsid w:val="6AEB3A02"/>
    <w:rsid w:val="6AED7FE0"/>
    <w:rsid w:val="6AEE0938"/>
    <w:rsid w:val="6AEF34F2"/>
    <w:rsid w:val="6B07083C"/>
    <w:rsid w:val="6B0F149F"/>
    <w:rsid w:val="6B0F5943"/>
    <w:rsid w:val="6B1C01CE"/>
    <w:rsid w:val="6B2111D2"/>
    <w:rsid w:val="6B2E34C9"/>
    <w:rsid w:val="6B455D1B"/>
    <w:rsid w:val="6B4D0219"/>
    <w:rsid w:val="6B560E7C"/>
    <w:rsid w:val="6B5B0B88"/>
    <w:rsid w:val="6B5E2426"/>
    <w:rsid w:val="6B6537B4"/>
    <w:rsid w:val="6B6749AF"/>
    <w:rsid w:val="6B88442C"/>
    <w:rsid w:val="6B903CA9"/>
    <w:rsid w:val="6B982D89"/>
    <w:rsid w:val="6B985938"/>
    <w:rsid w:val="6BAC4F3F"/>
    <w:rsid w:val="6BD85D34"/>
    <w:rsid w:val="6BE96194"/>
    <w:rsid w:val="6BEE5558"/>
    <w:rsid w:val="6BF63244"/>
    <w:rsid w:val="6C092392"/>
    <w:rsid w:val="6C0B4F0B"/>
    <w:rsid w:val="6C0F54CE"/>
    <w:rsid w:val="6C136D6D"/>
    <w:rsid w:val="6C1A634D"/>
    <w:rsid w:val="6C3B62C3"/>
    <w:rsid w:val="6C4E5FF7"/>
    <w:rsid w:val="6C501D6F"/>
    <w:rsid w:val="6C81461E"/>
    <w:rsid w:val="6CB22A29"/>
    <w:rsid w:val="6CD017FB"/>
    <w:rsid w:val="6CD03F56"/>
    <w:rsid w:val="6CEB1A97"/>
    <w:rsid w:val="6CF16A7E"/>
    <w:rsid w:val="6D2A37C2"/>
    <w:rsid w:val="6D4B0788"/>
    <w:rsid w:val="6D5C061D"/>
    <w:rsid w:val="6D6261FE"/>
    <w:rsid w:val="6D68758C"/>
    <w:rsid w:val="6D6C0E2A"/>
    <w:rsid w:val="6D8223FC"/>
    <w:rsid w:val="6D8C4B59"/>
    <w:rsid w:val="6DB1683D"/>
    <w:rsid w:val="6DB4457F"/>
    <w:rsid w:val="6DB73F6F"/>
    <w:rsid w:val="6DB91B96"/>
    <w:rsid w:val="6DBC7F10"/>
    <w:rsid w:val="6DC20A4A"/>
    <w:rsid w:val="6DC72505"/>
    <w:rsid w:val="6DC76061"/>
    <w:rsid w:val="6DCC5D09"/>
    <w:rsid w:val="6DE44E65"/>
    <w:rsid w:val="6E11552E"/>
    <w:rsid w:val="6E22773B"/>
    <w:rsid w:val="6E250FD9"/>
    <w:rsid w:val="6E337B9A"/>
    <w:rsid w:val="6E4B05C2"/>
    <w:rsid w:val="6E6B1FFF"/>
    <w:rsid w:val="6E777A87"/>
    <w:rsid w:val="6E7855AD"/>
    <w:rsid w:val="6E7F693B"/>
    <w:rsid w:val="6E891568"/>
    <w:rsid w:val="6E8B61E5"/>
    <w:rsid w:val="6E953A22"/>
    <w:rsid w:val="6ED47310"/>
    <w:rsid w:val="6ED547AD"/>
    <w:rsid w:val="6ED924EF"/>
    <w:rsid w:val="6EF2710D"/>
    <w:rsid w:val="6F095153"/>
    <w:rsid w:val="6F0D03EB"/>
    <w:rsid w:val="6F145EFB"/>
    <w:rsid w:val="6F350A6A"/>
    <w:rsid w:val="6F35349E"/>
    <w:rsid w:val="6F392F8E"/>
    <w:rsid w:val="6F6873CF"/>
    <w:rsid w:val="6F7A7103"/>
    <w:rsid w:val="6F8166E3"/>
    <w:rsid w:val="6F8B1310"/>
    <w:rsid w:val="6FAA79E8"/>
    <w:rsid w:val="6FB00740"/>
    <w:rsid w:val="6FC50CC6"/>
    <w:rsid w:val="6FDC1176"/>
    <w:rsid w:val="6FEB707F"/>
    <w:rsid w:val="6FFD045F"/>
    <w:rsid w:val="70003AAC"/>
    <w:rsid w:val="70606C51"/>
    <w:rsid w:val="707A385E"/>
    <w:rsid w:val="709A5CAE"/>
    <w:rsid w:val="70B7060E"/>
    <w:rsid w:val="70BB79D3"/>
    <w:rsid w:val="70C1148D"/>
    <w:rsid w:val="70EF7CBE"/>
    <w:rsid w:val="71033854"/>
    <w:rsid w:val="710C022E"/>
    <w:rsid w:val="711A6DEF"/>
    <w:rsid w:val="711F61B4"/>
    <w:rsid w:val="713779A1"/>
    <w:rsid w:val="713F0604"/>
    <w:rsid w:val="713F4CA3"/>
    <w:rsid w:val="71456AD4"/>
    <w:rsid w:val="71587E3E"/>
    <w:rsid w:val="71662034"/>
    <w:rsid w:val="717402AD"/>
    <w:rsid w:val="717A163C"/>
    <w:rsid w:val="71A32941"/>
    <w:rsid w:val="71AA1F21"/>
    <w:rsid w:val="71AB5CDB"/>
    <w:rsid w:val="71B27028"/>
    <w:rsid w:val="71B92164"/>
    <w:rsid w:val="71D90A58"/>
    <w:rsid w:val="71EA67C2"/>
    <w:rsid w:val="71EC253A"/>
    <w:rsid w:val="71F72C8D"/>
    <w:rsid w:val="71FB00D3"/>
    <w:rsid w:val="72011D15"/>
    <w:rsid w:val="72172EA2"/>
    <w:rsid w:val="72240E2D"/>
    <w:rsid w:val="722F0678"/>
    <w:rsid w:val="72393AAB"/>
    <w:rsid w:val="725E2D0C"/>
    <w:rsid w:val="726245AA"/>
    <w:rsid w:val="726F0978"/>
    <w:rsid w:val="729606F7"/>
    <w:rsid w:val="72A03324"/>
    <w:rsid w:val="72AB5F51"/>
    <w:rsid w:val="72B65A7C"/>
    <w:rsid w:val="72CB1905"/>
    <w:rsid w:val="72E17BC5"/>
    <w:rsid w:val="72E23DE1"/>
    <w:rsid w:val="72EB0A43"/>
    <w:rsid w:val="72EE5E3E"/>
    <w:rsid w:val="72F316A6"/>
    <w:rsid w:val="730438B3"/>
    <w:rsid w:val="730B4C41"/>
    <w:rsid w:val="73263829"/>
    <w:rsid w:val="73375802"/>
    <w:rsid w:val="7338355D"/>
    <w:rsid w:val="73424D45"/>
    <w:rsid w:val="736B56E0"/>
    <w:rsid w:val="73761206"/>
    <w:rsid w:val="737C169B"/>
    <w:rsid w:val="738C7B30"/>
    <w:rsid w:val="73955215"/>
    <w:rsid w:val="739F538A"/>
    <w:rsid w:val="73B52DFF"/>
    <w:rsid w:val="73CA68AB"/>
    <w:rsid w:val="73D019E7"/>
    <w:rsid w:val="73E55492"/>
    <w:rsid w:val="740F415B"/>
    <w:rsid w:val="74161AF0"/>
    <w:rsid w:val="741F020E"/>
    <w:rsid w:val="743D707D"/>
    <w:rsid w:val="744E5768"/>
    <w:rsid w:val="74593D05"/>
    <w:rsid w:val="747131CA"/>
    <w:rsid w:val="7482268F"/>
    <w:rsid w:val="74B84955"/>
    <w:rsid w:val="74C74CE9"/>
    <w:rsid w:val="74DF0134"/>
    <w:rsid w:val="751A3C74"/>
    <w:rsid w:val="75355FA6"/>
    <w:rsid w:val="75466405"/>
    <w:rsid w:val="75630D65"/>
    <w:rsid w:val="757A1C0A"/>
    <w:rsid w:val="757C6D91"/>
    <w:rsid w:val="758D361C"/>
    <w:rsid w:val="759727BC"/>
    <w:rsid w:val="759C514A"/>
    <w:rsid w:val="75A1188D"/>
    <w:rsid w:val="75A629FF"/>
    <w:rsid w:val="75AF3FAA"/>
    <w:rsid w:val="75AF5D58"/>
    <w:rsid w:val="75B27FFE"/>
    <w:rsid w:val="75B710B1"/>
    <w:rsid w:val="75CB06B8"/>
    <w:rsid w:val="75DC0663"/>
    <w:rsid w:val="75E15210"/>
    <w:rsid w:val="76023D01"/>
    <w:rsid w:val="76342701"/>
    <w:rsid w:val="76377AFB"/>
    <w:rsid w:val="763E532E"/>
    <w:rsid w:val="76530DD9"/>
    <w:rsid w:val="765B1A3C"/>
    <w:rsid w:val="76636B42"/>
    <w:rsid w:val="76740B28"/>
    <w:rsid w:val="7687606F"/>
    <w:rsid w:val="769B45C3"/>
    <w:rsid w:val="76DB492B"/>
    <w:rsid w:val="76FA1255"/>
    <w:rsid w:val="770A5210"/>
    <w:rsid w:val="772C32D1"/>
    <w:rsid w:val="77434CE5"/>
    <w:rsid w:val="774424D0"/>
    <w:rsid w:val="775766A7"/>
    <w:rsid w:val="77770AF7"/>
    <w:rsid w:val="77972F48"/>
    <w:rsid w:val="779C33E6"/>
    <w:rsid w:val="77A17922"/>
    <w:rsid w:val="77AA7A65"/>
    <w:rsid w:val="77BA761B"/>
    <w:rsid w:val="77C67389"/>
    <w:rsid w:val="780435FE"/>
    <w:rsid w:val="782D7408"/>
    <w:rsid w:val="784B030C"/>
    <w:rsid w:val="78515CC6"/>
    <w:rsid w:val="785C7CED"/>
    <w:rsid w:val="7860333A"/>
    <w:rsid w:val="786646C8"/>
    <w:rsid w:val="787E5EB6"/>
    <w:rsid w:val="788334CC"/>
    <w:rsid w:val="78A21BA4"/>
    <w:rsid w:val="78A63151"/>
    <w:rsid w:val="78A771BA"/>
    <w:rsid w:val="78D15FE5"/>
    <w:rsid w:val="78D33330"/>
    <w:rsid w:val="78D721DF"/>
    <w:rsid w:val="78EA354B"/>
    <w:rsid w:val="78FF6FF6"/>
    <w:rsid w:val="79053EE1"/>
    <w:rsid w:val="79083040"/>
    <w:rsid w:val="792E51E6"/>
    <w:rsid w:val="79312F28"/>
    <w:rsid w:val="793F1F8A"/>
    <w:rsid w:val="794C7D62"/>
    <w:rsid w:val="795409C4"/>
    <w:rsid w:val="796926C2"/>
    <w:rsid w:val="797057FE"/>
    <w:rsid w:val="79733540"/>
    <w:rsid w:val="799314ED"/>
    <w:rsid w:val="799F355E"/>
    <w:rsid w:val="79B0209F"/>
    <w:rsid w:val="79BE3ECE"/>
    <w:rsid w:val="79C30024"/>
    <w:rsid w:val="79CA2C92"/>
    <w:rsid w:val="79DE2312"/>
    <w:rsid w:val="7A230AC3"/>
    <w:rsid w:val="7A2778CD"/>
    <w:rsid w:val="7A326F58"/>
    <w:rsid w:val="7A431165"/>
    <w:rsid w:val="7A4474DB"/>
    <w:rsid w:val="7A5E5D78"/>
    <w:rsid w:val="7A796935"/>
    <w:rsid w:val="7A796ACD"/>
    <w:rsid w:val="7A965738"/>
    <w:rsid w:val="7AC40487"/>
    <w:rsid w:val="7AE446F6"/>
    <w:rsid w:val="7AE55D78"/>
    <w:rsid w:val="7AE91D0C"/>
    <w:rsid w:val="7B0A71F3"/>
    <w:rsid w:val="7B0C77A9"/>
    <w:rsid w:val="7B160627"/>
    <w:rsid w:val="7B234AF2"/>
    <w:rsid w:val="7B445194"/>
    <w:rsid w:val="7B4C229B"/>
    <w:rsid w:val="7B5A6766"/>
    <w:rsid w:val="7B6A2721"/>
    <w:rsid w:val="7B827A6B"/>
    <w:rsid w:val="7B8A691F"/>
    <w:rsid w:val="7B9A6B62"/>
    <w:rsid w:val="7B9D6653"/>
    <w:rsid w:val="7B9E53FA"/>
    <w:rsid w:val="7BB02D1C"/>
    <w:rsid w:val="7BC2255D"/>
    <w:rsid w:val="7BCC0CE6"/>
    <w:rsid w:val="7BE97AEA"/>
    <w:rsid w:val="7BEC1388"/>
    <w:rsid w:val="7C097768"/>
    <w:rsid w:val="7C4A67DB"/>
    <w:rsid w:val="7C594C70"/>
    <w:rsid w:val="7C6D24C9"/>
    <w:rsid w:val="7C7942FF"/>
    <w:rsid w:val="7C9702EB"/>
    <w:rsid w:val="7CAD6D16"/>
    <w:rsid w:val="7CB00608"/>
    <w:rsid w:val="7CB22DF6"/>
    <w:rsid w:val="7CB47737"/>
    <w:rsid w:val="7CC36AD1"/>
    <w:rsid w:val="7CC53A42"/>
    <w:rsid w:val="7CD442F6"/>
    <w:rsid w:val="7CE56503"/>
    <w:rsid w:val="7D050953"/>
    <w:rsid w:val="7D080444"/>
    <w:rsid w:val="7D1E1A15"/>
    <w:rsid w:val="7D33726F"/>
    <w:rsid w:val="7D44147C"/>
    <w:rsid w:val="7DA168CE"/>
    <w:rsid w:val="7DAE2D99"/>
    <w:rsid w:val="7DC91981"/>
    <w:rsid w:val="7DCC76C3"/>
    <w:rsid w:val="7DE340E0"/>
    <w:rsid w:val="7DE86B74"/>
    <w:rsid w:val="7DFA5FDE"/>
    <w:rsid w:val="7DFF26AC"/>
    <w:rsid w:val="7E176B90"/>
    <w:rsid w:val="7E2117BD"/>
    <w:rsid w:val="7E325778"/>
    <w:rsid w:val="7E3A63DB"/>
    <w:rsid w:val="7E3F4209"/>
    <w:rsid w:val="7E431733"/>
    <w:rsid w:val="7E5576B9"/>
    <w:rsid w:val="7E6128B0"/>
    <w:rsid w:val="7E663674"/>
    <w:rsid w:val="7E8A55B4"/>
    <w:rsid w:val="7E953F59"/>
    <w:rsid w:val="7EA3057A"/>
    <w:rsid w:val="7EA47CF8"/>
    <w:rsid w:val="7EAA7A04"/>
    <w:rsid w:val="7EAB552B"/>
    <w:rsid w:val="7EB4618D"/>
    <w:rsid w:val="7EB73ECF"/>
    <w:rsid w:val="7ECD364F"/>
    <w:rsid w:val="7ECD36F3"/>
    <w:rsid w:val="7EEE6FE6"/>
    <w:rsid w:val="7F0569E9"/>
    <w:rsid w:val="7F196938"/>
    <w:rsid w:val="7F1B7FBA"/>
    <w:rsid w:val="7F367E79"/>
    <w:rsid w:val="7F601CC0"/>
    <w:rsid w:val="7F624C13"/>
    <w:rsid w:val="7F793F40"/>
    <w:rsid w:val="7F7D2A23"/>
    <w:rsid w:val="7F7E679B"/>
    <w:rsid w:val="7F9C6B1E"/>
    <w:rsid w:val="7FA06711"/>
    <w:rsid w:val="7FC06FFF"/>
    <w:rsid w:val="7FD61753"/>
    <w:rsid w:val="7FF37189"/>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99"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6"/>
    <w:qFormat/>
    <w:uiPriority w:val="0"/>
    <w:pPr>
      <w:keepNext/>
      <w:numPr>
        <w:ilvl w:val="0"/>
        <w:numId w:val="0"/>
      </w:numPr>
      <w:tabs>
        <w:tab w:val="left" w:pos="0"/>
      </w:tabs>
      <w:overflowPunct w:val="0"/>
      <w:snapToGrid w:val="0"/>
      <w:spacing w:before="120" w:after="160" w:line="240" w:lineRule="auto"/>
      <w:ind w:left="431" w:hanging="431"/>
      <w:jc w:val="center"/>
      <w:outlineLvl w:val="0"/>
    </w:pPr>
    <w:rPr>
      <w:rFonts w:ascii="Times New Roman" w:hAnsi="Times New Roman" w:eastAsia="黑体"/>
      <w:bCs/>
      <w:color w:val="000000"/>
      <w:kern w:val="44"/>
      <w:sz w:val="30"/>
      <w:szCs w:val="30"/>
    </w:rPr>
  </w:style>
  <w:style w:type="paragraph" w:styleId="4">
    <w:name w:val="heading 2"/>
    <w:basedOn w:val="1"/>
    <w:next w:val="1"/>
    <w:link w:val="41"/>
    <w:qFormat/>
    <w:uiPriority w:val="0"/>
    <w:pPr>
      <w:keepNext/>
      <w:keepLines/>
      <w:spacing w:line="360" w:lineRule="auto"/>
      <w:ind w:leftChars="0"/>
      <w:jc w:val="left"/>
      <w:outlineLvl w:val="1"/>
    </w:pPr>
    <w:rPr>
      <w:rFonts w:ascii="Times New Roman" w:hAnsi="Times New Roman" w:eastAsia="宋体"/>
      <w:b/>
      <w:bCs/>
      <w:sz w:val="28"/>
      <w:szCs w:val="28"/>
    </w:rPr>
  </w:style>
  <w:style w:type="paragraph" w:styleId="5">
    <w:name w:val="heading 3"/>
    <w:basedOn w:val="1"/>
    <w:next w:val="1"/>
    <w:link w:val="45"/>
    <w:qFormat/>
    <w:uiPriority w:val="0"/>
    <w:pPr>
      <w:keepNext/>
      <w:keepLines/>
      <w:numPr>
        <w:ilvl w:val="2"/>
        <w:numId w:val="0"/>
      </w:numPr>
      <w:tabs>
        <w:tab w:val="left" w:pos="0"/>
      </w:tabs>
      <w:spacing w:line="360" w:lineRule="auto"/>
      <w:ind w:left="0" w:firstLine="0" w:firstLineChars="0"/>
      <w:outlineLvl w:val="2"/>
    </w:pPr>
    <w:rPr>
      <w:rFonts w:ascii="Times New Roman" w:hAnsi="Times New Roman" w:eastAsia="宋体"/>
      <w:b/>
      <w:bCs/>
      <w:snapToGrid w:val="0"/>
      <w:color w:val="000000"/>
    </w:rPr>
  </w:style>
  <w:style w:type="paragraph" w:styleId="6">
    <w:name w:val="heading 4"/>
    <w:basedOn w:val="1"/>
    <w:next w:val="1"/>
    <w:link w:val="44"/>
    <w:qFormat/>
    <w:uiPriority w:val="9"/>
    <w:pPr>
      <w:keepNext/>
      <w:keepLines/>
      <w:numPr>
        <w:ilvl w:val="3"/>
        <w:numId w:val="0"/>
      </w:numPr>
      <w:tabs>
        <w:tab w:val="left" w:pos="0"/>
      </w:tabs>
      <w:spacing w:before="0" w:beforeAutospacing="0" w:after="0" w:afterAutospacing="0" w:line="360" w:lineRule="auto"/>
      <w:ind w:left="0" w:firstLine="0" w:firstLineChars="0"/>
      <w:outlineLvl w:val="3"/>
    </w:pPr>
    <w:rPr>
      <w:rFonts w:ascii="Times New Roman" w:hAnsi="Times New Roman" w:eastAsia="宋体"/>
      <w:b/>
      <w:bCs/>
      <w:sz w:val="28"/>
      <w:szCs w:val="28"/>
    </w:rPr>
  </w:style>
  <w:style w:type="paragraph" w:styleId="7">
    <w:name w:val="heading 8"/>
    <w:basedOn w:val="1"/>
    <w:next w:val="1"/>
    <w:qFormat/>
    <w:uiPriority w:val="0"/>
    <w:pPr>
      <w:keepNext/>
      <w:keepLines/>
      <w:spacing w:before="240" w:after="64" w:line="320" w:lineRule="auto"/>
      <w:outlineLvl w:val="7"/>
    </w:pPr>
    <w:rPr>
      <w:rFonts w:ascii="等线 Light" w:hAnsi="等线 Light" w:eastAsia="等线 Light" w:cs="Times New Roman"/>
      <w:sz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widowControl w:val="0"/>
      <w:spacing w:before="50" w:beforeLines="50" w:line="360" w:lineRule="auto"/>
      <w:ind w:firstLine="560" w:firstLineChars="200"/>
      <w:jc w:val="both"/>
    </w:pPr>
    <w:rPr>
      <w:rFonts w:ascii="Calibri" w:hAnsi="Calibri" w:eastAsia="宋体" w:cs="Times New Roman"/>
      <w:sz w:val="28"/>
    </w:rPr>
  </w:style>
  <w:style w:type="paragraph" w:styleId="8">
    <w:name w:val="Note Heading"/>
    <w:basedOn w:val="1"/>
    <w:next w:val="1"/>
    <w:qFormat/>
    <w:uiPriority w:val="99"/>
    <w:pPr>
      <w:jc w:val="left"/>
    </w:pPr>
  </w:style>
  <w:style w:type="paragraph" w:styleId="9">
    <w:name w:val="annotation text"/>
    <w:basedOn w:val="1"/>
    <w:semiHidden/>
    <w:qFormat/>
    <w:uiPriority w:val="0"/>
    <w:pPr>
      <w:jc w:val="left"/>
    </w:pPr>
    <w:rPr>
      <w:kern w:val="0"/>
      <w:sz w:val="20"/>
    </w:rPr>
  </w:style>
  <w:style w:type="paragraph" w:styleId="10">
    <w:name w:val="Body Text"/>
    <w:basedOn w:val="1"/>
    <w:next w:val="8"/>
    <w:qFormat/>
    <w:uiPriority w:val="0"/>
    <w:pPr>
      <w:widowControl/>
      <w:snapToGrid w:val="0"/>
      <w:spacing w:before="60" w:after="160" w:line="259" w:lineRule="auto"/>
      <w:ind w:right="113"/>
    </w:pPr>
    <w:rPr>
      <w:kern w:val="0"/>
      <w:sz w:val="18"/>
      <w:szCs w:val="18"/>
    </w:rPr>
  </w:style>
  <w:style w:type="paragraph" w:styleId="11">
    <w:name w:val="Body Text Indent"/>
    <w:basedOn w:val="1"/>
    <w:semiHidden/>
    <w:qFormat/>
    <w:uiPriority w:val="0"/>
    <w:pPr>
      <w:spacing w:after="120"/>
      <w:ind w:left="420" w:leftChars="200"/>
    </w:pPr>
  </w:style>
  <w:style w:type="paragraph" w:styleId="12">
    <w:name w:val="Plain Text"/>
    <w:basedOn w:val="1"/>
    <w:qFormat/>
    <w:uiPriority w:val="0"/>
    <w:pPr>
      <w:widowControl w:val="0"/>
      <w:suppressAutoHyphens w:val="0"/>
      <w:jc w:val="both"/>
    </w:pPr>
    <w:rPr>
      <w:rFonts w:ascii="宋体" w:hAnsi="宋体" w:eastAsia="宋体" w:cs="Times New Roman"/>
      <w:kern w:val="2"/>
      <w:sz w:val="21"/>
      <w:szCs w:val="24"/>
      <w:lang w:val="en-US" w:eastAsia="zh-CN" w:bidi="ar-SA"/>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宋体"/>
      <w:sz w:val="18"/>
      <w:szCs w:val="18"/>
    </w:rPr>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paragraph" w:styleId="16">
    <w:name w:val="Body Text First Indent"/>
    <w:basedOn w:val="10"/>
    <w:next w:val="1"/>
    <w:qFormat/>
    <w:uiPriority w:val="0"/>
    <w:pPr>
      <w:ind w:firstLine="720" w:firstLineChars="200"/>
    </w:pPr>
    <w:rPr>
      <w:kern w:val="0"/>
      <w:sz w:val="24"/>
      <w:szCs w:val="20"/>
    </w:rPr>
  </w:style>
  <w:style w:type="paragraph" w:styleId="17">
    <w:name w:val="Body Text First Indent 2"/>
    <w:basedOn w:val="11"/>
    <w:next w:val="1"/>
    <w:qFormat/>
    <w:uiPriority w:val="0"/>
    <w:pPr>
      <w:spacing w:line="420" w:lineRule="exact"/>
    </w:pPr>
    <w:rPr>
      <w:rFonts w:eastAsia="Times New Roman"/>
      <w:szCs w:val="22"/>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Hyperlink"/>
    <w:basedOn w:val="20"/>
    <w:qFormat/>
    <w:uiPriority w:val="0"/>
    <w:rPr>
      <w:color w:val="0000FF"/>
      <w:u w:val="single"/>
    </w:rPr>
  </w:style>
  <w:style w:type="paragraph" w:customStyle="1" w:styleId="23">
    <w:name w:val="表格标题"/>
    <w:basedOn w:val="1"/>
    <w:next w:val="24"/>
    <w:qFormat/>
    <w:uiPriority w:val="0"/>
    <w:pPr>
      <w:numPr>
        <w:ilvl w:val="7"/>
        <w:numId w:val="1"/>
      </w:numPr>
      <w:spacing w:before="50" w:beforeLines="50" w:line="360" w:lineRule="auto"/>
      <w:jc w:val="center"/>
    </w:pPr>
    <w:rPr>
      <w:rFonts w:ascii="Times New Roman" w:hAnsi="Times New Roman" w:eastAsia="宋体"/>
      <w:b/>
      <w:kern w:val="0"/>
      <w:sz w:val="24"/>
      <w:szCs w:val="20"/>
    </w:rPr>
  </w:style>
  <w:style w:type="paragraph" w:customStyle="1" w:styleId="24">
    <w:name w:val="表格内容"/>
    <w:basedOn w:val="1"/>
    <w:next w:val="1"/>
    <w:qFormat/>
    <w:uiPriority w:val="0"/>
    <w:pPr>
      <w:spacing w:line="240" w:lineRule="auto"/>
      <w:ind w:firstLine="0" w:firstLineChars="0"/>
      <w:jc w:val="center"/>
    </w:pPr>
    <w:rPr>
      <w:rFonts w:ascii="Times New Roman" w:hAnsi="Times New Roman" w:eastAsia="宋体"/>
      <w:sz w:val="21"/>
    </w:rPr>
  </w:style>
  <w:style w:type="paragraph" w:customStyle="1" w:styleId="25">
    <w:name w:val="正文首行缩进2"/>
    <w:basedOn w:val="1"/>
    <w:qFormat/>
    <w:uiPriority w:val="0"/>
    <w:pPr>
      <w:spacing w:line="520" w:lineRule="exact"/>
      <w:ind w:firstLine="560" w:firstLineChars="200"/>
    </w:pPr>
    <w:rPr>
      <w:rFonts w:eastAsia="仿宋_GB2312"/>
      <w:kern w:val="0"/>
      <w:sz w:val="28"/>
      <w:szCs w:val="28"/>
    </w:rPr>
  </w:style>
  <w:style w:type="paragraph" w:customStyle="1" w:styleId="26">
    <w:name w:val="表格及图片标题"/>
    <w:next w:val="1"/>
    <w:qFormat/>
    <w:uiPriority w:val="0"/>
    <w:pPr>
      <w:spacing w:line="240" w:lineRule="atLeast"/>
      <w:jc w:val="center"/>
      <w:textAlignment w:val="center"/>
    </w:pPr>
    <w:rPr>
      <w:rFonts w:ascii="Times New Roman" w:hAnsi="Times New Roman" w:eastAsia="宋体" w:cs="Times New Roman"/>
      <w:iCs/>
      <w:kern w:val="28"/>
      <w:sz w:val="24"/>
      <w:szCs w:val="24"/>
      <w:lang w:val="en-US" w:eastAsia="zh-CN" w:bidi="ar-SA"/>
    </w:rPr>
  </w:style>
  <w:style w:type="paragraph" w:customStyle="1" w:styleId="27">
    <w:name w:val="表格"/>
    <w:basedOn w:val="1"/>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8">
    <w:name w:val="5正文"/>
    <w:basedOn w:val="1"/>
    <w:qFormat/>
    <w:uiPriority w:val="0"/>
    <w:pPr>
      <w:widowControl/>
      <w:ind w:firstLine="560"/>
      <w:jc w:val="left"/>
    </w:pPr>
    <w:rPr>
      <w:kern w:val="0"/>
      <w:szCs w:val="24"/>
      <w:lang w:eastAsia="zh-CN"/>
    </w:rPr>
  </w:style>
  <w:style w:type="paragraph" w:customStyle="1" w:styleId="29">
    <w:name w:val="报告正文"/>
    <w:basedOn w:val="1"/>
    <w:qFormat/>
    <w:uiPriority w:val="0"/>
    <w:pPr>
      <w:widowControl/>
      <w:adjustRightInd w:val="0"/>
      <w:snapToGrid w:val="0"/>
      <w:spacing w:line="360" w:lineRule="auto"/>
      <w:ind w:firstLine="200" w:firstLineChars="200"/>
    </w:pPr>
    <w:rPr>
      <w:kern w:val="24"/>
      <w:sz w:val="24"/>
    </w:rPr>
  </w:style>
  <w:style w:type="paragraph" w:customStyle="1" w:styleId="30">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1">
    <w:name w:val="7表格(治)"/>
    <w:qFormat/>
    <w:uiPriority w:val="0"/>
    <w:pPr>
      <w:widowControl w:val="0"/>
      <w:tabs>
        <w:tab w:val="center" w:pos="4153"/>
        <w:tab w:val="right" w:pos="8306"/>
      </w:tabs>
      <w:suppressAutoHyphens/>
      <w:snapToGrid w:val="0"/>
      <w:jc w:val="center"/>
    </w:pPr>
    <w:rPr>
      <w:rFonts w:ascii="宋体" w:hAnsi="宋体" w:eastAsia="宋体" w:cs="宋体"/>
      <w:kern w:val="2"/>
      <w:sz w:val="21"/>
      <w:szCs w:val="21"/>
      <w:lang w:val="en-US" w:eastAsia="zh-CN" w:bidi="ar-SA"/>
    </w:rPr>
  </w:style>
  <w:style w:type="paragraph" w:customStyle="1" w:styleId="32">
    <w:name w:val="表格内容bg"/>
    <w:basedOn w:val="1"/>
    <w:qFormat/>
    <w:uiPriority w:val="0"/>
    <w:pPr>
      <w:spacing w:line="240" w:lineRule="auto"/>
      <w:ind w:firstLine="0" w:firstLineChars="0"/>
      <w:jc w:val="center"/>
    </w:pPr>
    <w:rPr>
      <w:rFonts w:ascii="Times New Roman" w:hAnsi="Times New Roman" w:eastAsia="宋体"/>
      <w:sz w:val="21"/>
    </w:rPr>
  </w:style>
  <w:style w:type="paragraph" w:customStyle="1" w:styleId="33">
    <w:name w:val="表格内文字"/>
    <w:basedOn w:val="34"/>
    <w:next w:val="1"/>
    <w:qFormat/>
    <w:uiPriority w:val="0"/>
    <w:pPr>
      <w:spacing w:line="240" w:lineRule="auto"/>
    </w:pPr>
    <w:rPr>
      <w:b w:val="0"/>
      <w:sz w:val="21"/>
    </w:rPr>
  </w:style>
  <w:style w:type="paragraph" w:customStyle="1" w:styleId="34">
    <w:name w:val="表格名称"/>
    <w:basedOn w:val="1"/>
    <w:next w:val="33"/>
    <w:qFormat/>
    <w:uiPriority w:val="0"/>
    <w:pPr>
      <w:ind w:firstLine="0" w:firstLineChars="0"/>
      <w:jc w:val="center"/>
    </w:pPr>
    <w:rPr>
      <w:b/>
    </w:rPr>
  </w:style>
  <w:style w:type="paragraph" w:customStyle="1" w:styleId="35">
    <w:name w:val="表格的格式"/>
    <w:basedOn w:val="1"/>
    <w:qFormat/>
    <w:uiPriority w:val="0"/>
    <w:pPr>
      <w:widowControl/>
      <w:kinsoku w:val="0"/>
      <w:overflowPunct w:val="0"/>
      <w:spacing w:line="360" w:lineRule="auto"/>
      <w:jc w:val="center"/>
    </w:pPr>
    <w:rPr>
      <w:kern w:val="0"/>
      <w:sz w:val="24"/>
    </w:rPr>
  </w:style>
  <w:style w:type="paragraph" w:customStyle="1" w:styleId="3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7">
    <w:name w:val="正文文本 字符1"/>
    <w:semiHidden/>
    <w:qFormat/>
    <w:uiPriority w:val="0"/>
    <w:rPr>
      <w:rFonts w:ascii="Times New Roman" w:hAnsi="Times New Roman" w:eastAsia="宋体" w:cs="Times New Roman"/>
      <w:sz w:val="24"/>
      <w:szCs w:val="24"/>
    </w:rPr>
  </w:style>
  <w:style w:type="paragraph" w:customStyle="1" w:styleId="38">
    <w:name w:val="正文1"/>
    <w:basedOn w:val="1"/>
    <w:qFormat/>
    <w:uiPriority w:val="0"/>
    <w:pPr>
      <w:ind w:firstLine="560"/>
      <w:jc w:val="left"/>
    </w:pPr>
    <w:rPr>
      <w:rFonts w:ascii="仿宋" w:hAnsi="仿宋"/>
      <w:szCs w:val="20"/>
    </w:rPr>
  </w:style>
  <w:style w:type="paragraph" w:customStyle="1" w:styleId="39">
    <w:name w:val="附图"/>
    <w:basedOn w:val="1"/>
    <w:qFormat/>
    <w:uiPriority w:val="0"/>
    <w:pPr>
      <w:widowControl/>
      <w:adjustRightInd w:val="0"/>
      <w:snapToGrid w:val="0"/>
      <w:spacing w:line="360" w:lineRule="auto"/>
      <w:ind w:firstLine="0" w:firstLineChars="0"/>
    </w:pPr>
    <w:rPr>
      <w:rFonts w:ascii="Times New Roman" w:hAnsi="Times New Roman" w:eastAsia="宋体"/>
      <w:b/>
      <w:bCs/>
      <w:kern w:val="24"/>
    </w:rPr>
  </w:style>
  <w:style w:type="paragraph" w:customStyle="1" w:styleId="40">
    <w:name w:val="正文 润闽"/>
    <w:basedOn w:val="1"/>
    <w:qFormat/>
    <w:uiPriority w:val="0"/>
    <w:pPr>
      <w:adjustRightInd w:val="0"/>
      <w:snapToGrid w:val="0"/>
    </w:pPr>
    <w:rPr>
      <w:szCs w:val="20"/>
    </w:rPr>
  </w:style>
  <w:style w:type="character" w:customStyle="1" w:styleId="41">
    <w:name w:val="标题 2 Char"/>
    <w:link w:val="4"/>
    <w:qFormat/>
    <w:uiPriority w:val="0"/>
    <w:rPr>
      <w:rFonts w:ascii="Times New Roman" w:hAnsi="Times New Roman" w:eastAsia="宋体" w:cs="Times New Roman"/>
      <w:b/>
      <w:bCs/>
      <w:sz w:val="28"/>
      <w:szCs w:val="28"/>
    </w:rPr>
  </w:style>
  <w:style w:type="paragraph" w:customStyle="1" w:styleId="42">
    <w:name w:val="表格头"/>
    <w:basedOn w:val="43"/>
    <w:next w:val="7"/>
    <w:qFormat/>
    <w:uiPriority w:val="0"/>
    <w:pPr>
      <w:widowControl/>
      <w:autoSpaceDE w:val="0"/>
      <w:autoSpaceDN w:val="0"/>
      <w:adjustRightInd w:val="0"/>
      <w:snapToGrid w:val="0"/>
      <w:spacing w:before="0" w:after="0" w:line="360" w:lineRule="auto"/>
      <w:jc w:val="center"/>
    </w:pPr>
    <w:rPr>
      <w:rFonts w:ascii="Times New Roman" w:hAnsi="Times New Roman" w:eastAsia="宋体" w:cs="Times New Roman"/>
      <w:b/>
      <w:kern w:val="24"/>
    </w:rPr>
  </w:style>
  <w:style w:type="paragraph" w:customStyle="1" w:styleId="43">
    <w:name w:val="表格1"/>
    <w:basedOn w:val="1"/>
    <w:qFormat/>
    <w:uiPriority w:val="0"/>
    <w:pPr>
      <w:spacing w:line="240" w:lineRule="auto"/>
      <w:ind w:firstLine="0" w:firstLineChars="0"/>
      <w:jc w:val="center"/>
    </w:pPr>
    <w:rPr>
      <w:sz w:val="21"/>
    </w:rPr>
  </w:style>
  <w:style w:type="character" w:customStyle="1" w:styleId="44">
    <w:name w:val="标题 4 Char"/>
    <w:link w:val="6"/>
    <w:qFormat/>
    <w:uiPriority w:val="9"/>
    <w:rPr>
      <w:rFonts w:ascii="Times New Roman" w:hAnsi="Times New Roman" w:eastAsia="宋体"/>
      <w:b/>
      <w:bCs/>
      <w:sz w:val="28"/>
      <w:szCs w:val="28"/>
    </w:rPr>
  </w:style>
  <w:style w:type="character" w:customStyle="1" w:styleId="45">
    <w:name w:val="标题 3 Char"/>
    <w:link w:val="5"/>
    <w:qFormat/>
    <w:uiPriority w:val="0"/>
    <w:rPr>
      <w:rFonts w:ascii="Times New Roman" w:hAnsi="Times New Roman" w:eastAsia="宋体"/>
      <w:b/>
      <w:bCs/>
      <w:snapToGrid w:val="0"/>
      <w:color w:val="000000"/>
      <w:sz w:val="24"/>
      <w:szCs w:val="24"/>
    </w:rPr>
  </w:style>
  <w:style w:type="character" w:customStyle="1" w:styleId="46">
    <w:name w:val="标题 1 Char"/>
    <w:link w:val="3"/>
    <w:qFormat/>
    <w:uiPriority w:val="0"/>
    <w:rPr>
      <w:rFonts w:ascii="Times New Roman" w:hAnsi="Times New Roman" w:eastAsia="黑体"/>
      <w:bCs/>
      <w:color w:val="000000"/>
      <w:kern w:val="44"/>
      <w:sz w:val="30"/>
      <w:szCs w:val="30"/>
    </w:rPr>
  </w:style>
  <w:style w:type="paragraph" w:customStyle="1" w:styleId="47">
    <w:name w:val="表正文"/>
    <w:basedOn w:val="1"/>
    <w:qFormat/>
    <w:uiPriority w:val="0"/>
    <w:pPr>
      <w:keepNext w:val="0"/>
      <w:keepLines w:val="0"/>
      <w:widowControl/>
      <w:suppressLineNumbers w:val="0"/>
      <w:spacing w:before="0" w:beforeAutospacing="0" w:after="0" w:afterAutospacing="0" w:line="360" w:lineRule="auto"/>
      <w:ind w:left="0" w:right="0" w:firstLine="200" w:firstLineChars="200"/>
      <w:jc w:val="both"/>
    </w:pPr>
    <w:rPr>
      <w:rFonts w:ascii="Times New Roman" w:hAnsi="Times New Roman" w:eastAsia="宋体"/>
      <w:sz w:val="24"/>
      <w:lang w:bidi="ar"/>
    </w:rPr>
  </w:style>
  <w:style w:type="paragraph" w:customStyle="1" w:styleId="48">
    <w:name w:val="附件"/>
    <w:basedOn w:val="1"/>
    <w:next w:val="1"/>
    <w:qFormat/>
    <w:uiPriority w:val="0"/>
    <w:pPr>
      <w:pageBreakBefore/>
      <w:adjustRightInd/>
      <w:snapToGrid/>
      <w:spacing w:line="360" w:lineRule="auto"/>
      <w:ind w:firstLine="0" w:firstLineChars="0"/>
      <w:jc w:val="left"/>
      <w:outlineLvl w:val="4"/>
    </w:pPr>
    <w:rPr>
      <w:rFonts w:ascii="Times New Roman" w:hAnsi="Times New Roman" w:eastAsia="宋体"/>
      <w:b/>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wmf"/><Relationship Id="rId35" Type="http://schemas.openxmlformats.org/officeDocument/2006/relationships/image" Target="media/image24.wmf"/><Relationship Id="rId34" Type="http://schemas.openxmlformats.org/officeDocument/2006/relationships/image" Target="media/image23.wmf"/><Relationship Id="rId33" Type="http://schemas.openxmlformats.org/officeDocument/2006/relationships/oleObject" Target="embeddings/oleObject2.bin"/><Relationship Id="rId32" Type="http://schemas.openxmlformats.org/officeDocument/2006/relationships/image" Target="media/image22.wmf"/><Relationship Id="rId31" Type="http://schemas.openxmlformats.org/officeDocument/2006/relationships/oleObject" Target="embeddings/oleObject1.bin"/><Relationship Id="rId30" Type="http://schemas.openxmlformats.org/officeDocument/2006/relationships/image" Target="media/image21.wmf"/><Relationship Id="rId3" Type="http://schemas.openxmlformats.org/officeDocument/2006/relationships/footnotes" Target="footnotes.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34887</Words>
  <Characters>38688</Characters>
  <Lines>1</Lines>
  <Paragraphs>1</Paragraphs>
  <TotalTime>10</TotalTime>
  <ScaleCrop>false</ScaleCrop>
  <LinksUpToDate>false</LinksUpToDate>
  <CharactersWithSpaces>38792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2022-05-19T06:30:00Z</dcterms:created>
  <dc:creator>Dell</dc:creator>
  <cp:lastModifiedBy>Natus Vincere</cp:lastModifiedBy>
  <dcterms:modified xsi:type="dcterms:W3CDTF">2022-08-02T07:51:27Z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AFA6DA301BA6427A9DF15D02A5907E46</vt:lpwstr>
  </property>
</Properties>
</file>