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rPr>
      </w:pPr>
      <w:bookmarkStart w:id="0" w:name="_Toc1050"/>
      <w:bookmarkStart w:id="1" w:name="_Toc21087"/>
      <w:bookmarkStart w:id="2" w:name="_Toc31848"/>
      <w:bookmarkStart w:id="3" w:name="_Toc6124"/>
      <w:bookmarkStart w:id="4" w:name="_Toc20626"/>
      <w:bookmarkStart w:id="5" w:name="_Toc18673"/>
      <w:bookmarkStart w:id="6" w:name="_Toc1401"/>
    </w:p>
    <w:p>
      <w:pPr>
        <w:jc w:val="center"/>
        <w:rPr>
          <w:b/>
          <w:sz w:val="52"/>
        </w:rPr>
      </w:pPr>
    </w:p>
    <w:p>
      <w:pPr>
        <w:jc w:val="center"/>
        <w:rPr>
          <w:b/>
          <w:sz w:val="52"/>
        </w:rPr>
      </w:pPr>
    </w:p>
    <w:p>
      <w:pPr>
        <w:jc w:val="center"/>
        <w:rPr>
          <w:b/>
          <w:sz w:val="52"/>
        </w:rPr>
      </w:pPr>
    </w:p>
    <w:p>
      <w:pPr>
        <w:jc w:val="center"/>
        <w:rPr>
          <w:b/>
          <w:sz w:val="52"/>
        </w:rPr>
      </w:pPr>
    </w:p>
    <w:p>
      <w:pPr>
        <w:jc w:val="center"/>
        <w:outlineLvl w:val="0"/>
        <w:rPr>
          <w:rFonts w:hint="eastAsia"/>
          <w:b/>
          <w:sz w:val="52"/>
          <w:szCs w:val="52"/>
        </w:rPr>
      </w:pPr>
      <w:r>
        <w:rPr>
          <w:rFonts w:hint="eastAsia"/>
          <w:b/>
          <w:sz w:val="52"/>
          <w:szCs w:val="52"/>
        </w:rPr>
        <w:t>第二部分：验收意见</w:t>
      </w:r>
      <w:bookmarkEnd w:id="0"/>
      <w:bookmarkEnd w:id="1"/>
      <w:bookmarkEnd w:id="2"/>
      <w:bookmarkEnd w:id="3"/>
      <w:bookmarkEnd w:id="4"/>
      <w:bookmarkEnd w:id="5"/>
      <w:bookmarkEnd w:id="6"/>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pStyle w:val="11"/>
        <w:spacing w:line="240" w:lineRule="auto"/>
        <w:ind w:firstLine="0" w:firstLineChars="0"/>
        <w:jc w:val="right"/>
        <w:outlineLvl w:val="0"/>
        <w:rPr>
          <w:rFonts w:hint="eastAsia"/>
          <w:b/>
          <w:bCs/>
          <w:sz w:val="28"/>
          <w:szCs w:val="28"/>
        </w:rPr>
        <w:sectPr>
          <w:pgSz w:w="11906" w:h="16838"/>
          <w:pgMar w:top="1440" w:right="1440" w:bottom="1440" w:left="1440"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auto"/>
        <w:jc w:val="center"/>
        <w:rPr>
          <w:b/>
          <w:sz w:val="36"/>
          <w:szCs w:val="36"/>
        </w:rPr>
      </w:pPr>
      <w:bookmarkStart w:id="7" w:name="_Toc29937"/>
      <w:bookmarkStart w:id="8" w:name="_Toc522029483"/>
      <w:bookmarkStart w:id="9" w:name="_Toc8747"/>
      <w:bookmarkStart w:id="10" w:name="_Toc30796"/>
      <w:bookmarkStart w:id="11" w:name="_Toc25628"/>
      <w:bookmarkStart w:id="12" w:name="_Toc9863"/>
      <w:bookmarkStart w:id="13" w:name="_Toc10384"/>
      <w:bookmarkStart w:id="14" w:name="_Toc6498"/>
      <w:bookmarkStart w:id="15" w:name="_Toc5423"/>
      <w:bookmarkStart w:id="16" w:name="_Toc11642"/>
      <w:r>
        <w:rPr>
          <w:rFonts w:hint="eastAsia"/>
          <w:b/>
          <w:sz w:val="36"/>
          <w:szCs w:val="36"/>
          <w:lang w:eastAsia="zh-CN"/>
        </w:rPr>
        <w:t>年增产花岗岩板5万平方米、大理石板8万平方米、线条3000米、雕刻件2000平方米、水刀拼花2000平方米项目</w:t>
      </w:r>
      <w:r>
        <w:rPr>
          <w:rFonts w:hint="eastAsia"/>
          <w:b/>
          <w:sz w:val="36"/>
          <w:szCs w:val="36"/>
        </w:rPr>
        <w:t>（第二阶段</w:t>
      </w:r>
      <w:r>
        <w:rPr>
          <w:b/>
          <w:sz w:val="36"/>
          <w:szCs w:val="36"/>
        </w:rPr>
        <w:t>竣工</w:t>
      </w:r>
      <w:r>
        <w:rPr>
          <w:rFonts w:hint="eastAsia"/>
          <w:b/>
          <w:sz w:val="36"/>
          <w:szCs w:val="36"/>
        </w:rPr>
        <w:t>）</w:t>
      </w:r>
      <w:r>
        <w:rPr>
          <w:b/>
          <w:sz w:val="36"/>
          <w:szCs w:val="36"/>
        </w:rPr>
        <w:t>环境保护验收意见</w:t>
      </w:r>
    </w:p>
    <w:p>
      <w:pPr>
        <w:spacing w:line="360" w:lineRule="auto"/>
        <w:ind w:firstLine="480" w:firstLineChars="200"/>
      </w:pPr>
      <w:r>
        <w:rPr>
          <w:rFonts w:hint="eastAsia"/>
          <w:sz w:val="24"/>
          <w:lang w:eastAsia="zh-CN"/>
        </w:rPr>
        <w:t>2022年</w:t>
      </w:r>
      <w:r>
        <w:rPr>
          <w:rFonts w:hint="eastAsia"/>
          <w:sz w:val="24"/>
          <w:lang w:val="en-US" w:eastAsia="zh-CN"/>
        </w:rPr>
        <w:t>12</w:t>
      </w:r>
      <w:r>
        <w:rPr>
          <w:rFonts w:hint="eastAsia"/>
          <w:sz w:val="24"/>
          <w:lang w:eastAsia="zh-CN"/>
        </w:rPr>
        <w:t>月</w:t>
      </w:r>
      <w:r>
        <w:rPr>
          <w:rFonts w:hint="eastAsia"/>
          <w:sz w:val="24"/>
          <w:lang w:val="en-US" w:eastAsia="zh-CN"/>
        </w:rPr>
        <w:t>18</w:t>
      </w:r>
      <w:r>
        <w:rPr>
          <w:rFonts w:hint="eastAsia"/>
          <w:sz w:val="24"/>
          <w:lang w:eastAsia="zh-CN"/>
        </w:rPr>
        <w:t>日</w:t>
      </w:r>
      <w:r>
        <w:rPr>
          <w:sz w:val="24"/>
        </w:rPr>
        <w:t>，</w:t>
      </w:r>
      <w:r>
        <w:rPr>
          <w:rFonts w:hint="eastAsia"/>
          <w:sz w:val="24"/>
          <w:lang w:eastAsia="zh-CN"/>
        </w:rPr>
        <w:t>福建省泉州澄霖石材有限公司</w:t>
      </w:r>
      <w:r>
        <w:rPr>
          <w:rFonts w:hint="eastAsia"/>
          <w:sz w:val="24"/>
        </w:rPr>
        <w:t>《</w:t>
      </w:r>
      <w:r>
        <w:rPr>
          <w:rFonts w:hint="eastAsia"/>
          <w:bCs/>
          <w:sz w:val="24"/>
          <w:lang w:eastAsia="zh-CN"/>
        </w:rPr>
        <w:t>年增产花岗岩板5万平方米、大理石板8万平方米、线条3000米、雕刻件2000平方米、水刀拼花2000平方米项目</w:t>
      </w:r>
      <w:r>
        <w:rPr>
          <w:rFonts w:hint="eastAsia"/>
          <w:sz w:val="24"/>
        </w:rPr>
        <w:t>（第二阶段</w:t>
      </w:r>
      <w:r>
        <w:rPr>
          <w:sz w:val="24"/>
        </w:rPr>
        <w:t>竣工</w:t>
      </w:r>
      <w:r>
        <w:rPr>
          <w:rFonts w:hint="eastAsia"/>
          <w:sz w:val="24"/>
        </w:rPr>
        <w:t>）</w:t>
      </w:r>
      <w:r>
        <w:rPr>
          <w:sz w:val="24"/>
        </w:rPr>
        <w:t>环境保护验收监测报告</w:t>
      </w:r>
      <w:r>
        <w:rPr>
          <w:rFonts w:hint="eastAsia"/>
          <w:sz w:val="24"/>
        </w:rPr>
        <w:t>》</w:t>
      </w:r>
      <w:r>
        <w:rPr>
          <w:sz w:val="24"/>
        </w:rPr>
        <w:t>并对照《建设项目竣工环境保护验收暂行办法》</w:t>
      </w:r>
      <w:r>
        <w:rPr>
          <w:rFonts w:hint="eastAsia"/>
          <w:sz w:val="24"/>
        </w:rPr>
        <w:t>（国环规环评</w:t>
      </w:r>
      <w:r>
        <w:rPr>
          <w:sz w:val="24"/>
        </w:rPr>
        <w:t>[2017]4</w:t>
      </w:r>
      <w:r>
        <w:rPr>
          <w:rFonts w:hint="eastAsia"/>
          <w:sz w:val="24"/>
        </w:rPr>
        <w:t>号），</w:t>
      </w:r>
      <w:r>
        <w:rPr>
          <w:sz w:val="24"/>
        </w:rPr>
        <w:t>严格依照国家有关法律法规、建设项目竣工环境保护验收技术</w:t>
      </w:r>
      <w:r>
        <w:rPr>
          <w:rFonts w:hint="eastAsia"/>
          <w:sz w:val="24"/>
        </w:rPr>
        <w:t>指南</w:t>
      </w:r>
      <w:r>
        <w:rPr>
          <w:sz w:val="24"/>
        </w:rPr>
        <w:t>、本项目环境影响评价报告表和审批部门审批决定等要求对本项目进行验收，</w:t>
      </w:r>
      <w:r>
        <w:rPr>
          <w:rFonts w:hint="eastAsia"/>
          <w:sz w:val="24"/>
        </w:rPr>
        <w:t>提出</w:t>
      </w:r>
      <w:r>
        <w:rPr>
          <w:sz w:val="24"/>
        </w:rPr>
        <w:t>意见</w:t>
      </w:r>
      <w:r>
        <w:rPr>
          <w:rFonts w:hint="eastAsia"/>
          <w:sz w:val="24"/>
        </w:rPr>
        <w:t>如下</w:t>
      </w:r>
      <w:r>
        <w:rPr>
          <w:sz w:val="24"/>
        </w:rPr>
        <w:t>：</w:t>
      </w:r>
    </w:p>
    <w:p>
      <w:pPr>
        <w:rPr>
          <w:b/>
          <w:bCs/>
          <w:sz w:val="28"/>
          <w:szCs w:val="28"/>
        </w:rPr>
      </w:pPr>
      <w:r>
        <w:rPr>
          <w:b/>
          <w:bCs/>
          <w:sz w:val="28"/>
          <w:szCs w:val="28"/>
        </w:rPr>
        <w:t>一、</w:t>
      </w:r>
      <w:r>
        <w:rPr>
          <w:rFonts w:hint="eastAsia"/>
          <w:b/>
          <w:bCs/>
          <w:sz w:val="28"/>
          <w:szCs w:val="28"/>
        </w:rPr>
        <w:t>工程建设</w:t>
      </w:r>
      <w:r>
        <w:rPr>
          <w:b/>
          <w:bCs/>
          <w:sz w:val="28"/>
          <w:szCs w:val="28"/>
        </w:rPr>
        <w:t>基本情况</w:t>
      </w:r>
    </w:p>
    <w:p>
      <w:pPr>
        <w:spacing w:line="360" w:lineRule="auto"/>
        <w:rPr>
          <w:b/>
          <w:bCs/>
          <w:sz w:val="24"/>
          <w:szCs w:val="24"/>
        </w:rPr>
      </w:pPr>
      <w:r>
        <w:rPr>
          <w:b/>
          <w:bCs/>
          <w:sz w:val="24"/>
          <w:szCs w:val="24"/>
        </w:rPr>
        <w:t>（一）建设地点、规模、主要建设内容</w:t>
      </w:r>
    </w:p>
    <w:p>
      <w:pPr>
        <w:spacing w:line="360" w:lineRule="auto"/>
        <w:ind w:firstLine="480" w:firstLineChars="200"/>
        <w:rPr>
          <w:rFonts w:hint="eastAsia" w:eastAsia="宋体"/>
          <w:sz w:val="24"/>
          <w:szCs w:val="24"/>
          <w:lang w:eastAsia="zh-CN"/>
        </w:rPr>
      </w:pPr>
      <w:r>
        <w:rPr>
          <w:rFonts w:hint="eastAsia"/>
          <w:sz w:val="24"/>
          <w:szCs w:val="24"/>
          <w:lang w:eastAsia="zh-CN"/>
        </w:rPr>
        <w:t>福建省泉州澄霖石材有限公司</w:t>
      </w:r>
      <w:r>
        <w:rPr>
          <w:sz w:val="24"/>
          <w:szCs w:val="24"/>
        </w:rPr>
        <w:t>位于</w:t>
      </w:r>
      <w:r>
        <w:rPr>
          <w:rFonts w:hint="eastAsia"/>
          <w:sz w:val="24"/>
          <w:szCs w:val="24"/>
          <w:lang w:eastAsia="zh-CN"/>
        </w:rPr>
        <w:t>南安市石井镇联丰村（滨海石材加工集中区</w:t>
      </w:r>
      <w:r>
        <w:rPr>
          <w:rFonts w:hint="eastAsia"/>
          <w:sz w:val="24"/>
          <w:szCs w:val="24"/>
        </w:rPr>
        <w:t>）</w:t>
      </w:r>
      <w:r>
        <w:rPr>
          <w:color w:val="000000"/>
          <w:sz w:val="24"/>
          <w:szCs w:val="24"/>
        </w:rPr>
        <w:t>，</w:t>
      </w:r>
      <w:r>
        <w:rPr>
          <w:rFonts w:hint="eastAsia"/>
          <w:color w:val="000000"/>
          <w:sz w:val="24"/>
          <w:szCs w:val="24"/>
        </w:rPr>
        <w:t>建设性质为</w:t>
      </w:r>
      <w:r>
        <w:rPr>
          <w:rFonts w:hint="eastAsia"/>
          <w:color w:val="000000"/>
          <w:sz w:val="24"/>
          <w:szCs w:val="24"/>
          <w:lang w:eastAsia="zh-CN"/>
        </w:rPr>
        <w:t>扩建</w:t>
      </w:r>
      <w:r>
        <w:rPr>
          <w:rFonts w:hint="eastAsia"/>
          <w:color w:val="000000"/>
          <w:sz w:val="24"/>
          <w:szCs w:val="24"/>
        </w:rPr>
        <w:t>，</w:t>
      </w:r>
      <w:r>
        <w:rPr>
          <w:color w:val="000000"/>
          <w:sz w:val="24"/>
          <w:szCs w:val="24"/>
        </w:rPr>
        <w:t>主</w:t>
      </w:r>
      <w:r>
        <w:rPr>
          <w:sz w:val="24"/>
          <w:szCs w:val="24"/>
        </w:rPr>
        <w:t>要从事</w:t>
      </w:r>
      <w:r>
        <w:rPr>
          <w:rFonts w:hint="eastAsia"/>
          <w:sz w:val="24"/>
          <w:szCs w:val="24"/>
        </w:rPr>
        <w:t>石材的</w:t>
      </w:r>
      <w:r>
        <w:rPr>
          <w:sz w:val="24"/>
          <w:szCs w:val="24"/>
        </w:rPr>
        <w:t>加工生产。环评及批复设计规模为</w:t>
      </w:r>
      <w:r>
        <w:rPr>
          <w:rFonts w:hint="eastAsia"/>
          <w:sz w:val="24"/>
          <w:lang w:eastAsia="zh-CN"/>
        </w:rPr>
        <w:t>年增产花岗岩板5万平方米、大理石板8万平方米、线条3000米、雕刻件2000平方米、水刀拼花2000平方米项目</w:t>
      </w:r>
      <w:r>
        <w:rPr>
          <w:sz w:val="24"/>
          <w:szCs w:val="24"/>
        </w:rPr>
        <w:t>，</w:t>
      </w:r>
      <w:r>
        <w:rPr>
          <w:rFonts w:hint="eastAsia"/>
          <w:sz w:val="24"/>
          <w:szCs w:val="24"/>
        </w:rPr>
        <w:t>扩建后，项目总投资700万元、总占地面积15661.6m2（建筑面积9334m2），年产花岗岩板23万平方米、大理石板8万平方米、线条3000米、雕刻件2000平方米、水刀拼花2000平方米。因项目分阶段环保验收，本次（第二阶段）验收实际生产规模为</w:t>
      </w:r>
      <w:r>
        <w:rPr>
          <w:rFonts w:hint="eastAsia"/>
          <w:sz w:val="24"/>
          <w:szCs w:val="24"/>
          <w:lang w:eastAsia="zh-CN"/>
        </w:rPr>
        <w:t>花岗岩板23万平方米、大理石板8万平方米、线条1500米、雕刻件1500平方米</w:t>
      </w:r>
      <w:r>
        <w:rPr>
          <w:rFonts w:hint="eastAsia"/>
          <w:sz w:val="24"/>
          <w:szCs w:val="24"/>
        </w:rPr>
        <w:t>（包括第一阶段验收生产规模</w:t>
      </w:r>
      <w:r>
        <w:rPr>
          <w:rFonts w:hint="eastAsia" w:ascii="Times New Roman" w:hAnsi="Times New Roman" w:cs="Times New Roman"/>
          <w:sz w:val="24"/>
          <w:szCs w:val="24"/>
          <w:lang w:eastAsia="zh-CN"/>
        </w:rPr>
        <w:t>年产花岗岩板23万平方米、大理石板8万平方米、线条1000米、雕刻件500平方米</w:t>
      </w:r>
      <w:r>
        <w:rPr>
          <w:rFonts w:hint="eastAsia"/>
          <w:sz w:val="24"/>
          <w:szCs w:val="24"/>
        </w:rPr>
        <w:t>）。项目工组成有主体工程、公辅工程、环保工程等建设内容，环保工程的建设内容有雨污分流管道、化粪池、废水沉淀池、一般工业固废暂存场所等</w:t>
      </w:r>
      <w:r>
        <w:rPr>
          <w:rFonts w:hint="eastAsia"/>
          <w:sz w:val="24"/>
          <w:szCs w:val="24"/>
          <w:lang w:eastAsia="zh-CN"/>
        </w:rPr>
        <w:t>。</w:t>
      </w:r>
    </w:p>
    <w:p>
      <w:pPr>
        <w:spacing w:line="360" w:lineRule="auto"/>
        <w:rPr>
          <w:b/>
          <w:bCs/>
          <w:sz w:val="24"/>
          <w:szCs w:val="24"/>
        </w:rPr>
      </w:pPr>
      <w:r>
        <w:rPr>
          <w:b/>
          <w:bCs/>
          <w:sz w:val="24"/>
          <w:szCs w:val="24"/>
        </w:rPr>
        <w:t>（二）建设过程及环保审批情况</w:t>
      </w:r>
    </w:p>
    <w:p>
      <w:pPr>
        <w:spacing w:line="360" w:lineRule="auto"/>
        <w:ind w:firstLine="480" w:firstLineChars="200"/>
        <w:rPr>
          <w:sz w:val="24"/>
          <w:szCs w:val="24"/>
        </w:rPr>
      </w:pPr>
      <w:r>
        <w:rPr>
          <w:sz w:val="24"/>
          <w:szCs w:val="24"/>
        </w:rPr>
        <w:t>项目于</w:t>
      </w:r>
      <w:r>
        <w:rPr>
          <w:color w:val="000000"/>
          <w:sz w:val="24"/>
          <w:szCs w:val="24"/>
        </w:rPr>
        <w:t>20</w:t>
      </w:r>
      <w:r>
        <w:rPr>
          <w:rFonts w:hint="eastAsia"/>
          <w:color w:val="000000"/>
          <w:sz w:val="24"/>
          <w:szCs w:val="24"/>
          <w:lang w:val="en-US" w:eastAsia="zh-CN"/>
        </w:rPr>
        <w:t>19</w:t>
      </w:r>
      <w:r>
        <w:rPr>
          <w:color w:val="000000"/>
          <w:sz w:val="24"/>
          <w:szCs w:val="24"/>
        </w:rPr>
        <w:t>年</w:t>
      </w:r>
      <w:r>
        <w:rPr>
          <w:rFonts w:hint="eastAsia"/>
          <w:color w:val="000000"/>
          <w:sz w:val="24"/>
          <w:szCs w:val="24"/>
        </w:rPr>
        <w:t>0</w:t>
      </w:r>
      <w:r>
        <w:rPr>
          <w:rFonts w:hint="eastAsia"/>
          <w:color w:val="000000"/>
          <w:sz w:val="24"/>
          <w:szCs w:val="24"/>
          <w:lang w:val="en-US" w:eastAsia="zh-CN"/>
        </w:rPr>
        <w:t>4</w:t>
      </w:r>
      <w:r>
        <w:rPr>
          <w:color w:val="000000"/>
          <w:sz w:val="24"/>
          <w:szCs w:val="24"/>
        </w:rPr>
        <w:t>月</w:t>
      </w:r>
      <w:r>
        <w:rPr>
          <w:sz w:val="24"/>
          <w:szCs w:val="24"/>
        </w:rPr>
        <w:t>委托</w:t>
      </w:r>
      <w:r>
        <w:rPr>
          <w:rFonts w:hint="eastAsia"/>
          <w:sz w:val="24"/>
          <w:szCs w:val="24"/>
          <w:lang w:eastAsia="zh-CN"/>
        </w:rPr>
        <w:t>中环华诚（厦门）环保科技有限公司</w:t>
      </w:r>
      <w:r>
        <w:rPr>
          <w:sz w:val="24"/>
          <w:szCs w:val="24"/>
        </w:rPr>
        <w:t>编制《</w:t>
      </w:r>
      <w:r>
        <w:rPr>
          <w:rFonts w:hint="eastAsia"/>
          <w:bCs/>
          <w:sz w:val="24"/>
          <w:lang w:eastAsia="zh-CN"/>
        </w:rPr>
        <w:t>年增产花岗岩板5万平方米、大理石板8万平方米、线条3000米、雕刻件2000平方米、水刀拼花2000平方米项目</w:t>
      </w:r>
      <w:r>
        <w:rPr>
          <w:sz w:val="24"/>
          <w:szCs w:val="24"/>
        </w:rPr>
        <w:t>环境影响报告表》，并于</w:t>
      </w:r>
      <w:r>
        <w:rPr>
          <w:rFonts w:hint="eastAsia"/>
          <w:sz w:val="24"/>
          <w:szCs w:val="24"/>
        </w:rPr>
        <w:t>20</w:t>
      </w:r>
      <w:r>
        <w:rPr>
          <w:rFonts w:hint="eastAsia"/>
          <w:sz w:val="24"/>
          <w:szCs w:val="24"/>
          <w:lang w:val="en-US" w:eastAsia="zh-CN"/>
        </w:rPr>
        <w:t>19</w:t>
      </w:r>
      <w:r>
        <w:rPr>
          <w:rFonts w:hint="eastAsia"/>
          <w:sz w:val="24"/>
          <w:szCs w:val="24"/>
        </w:rPr>
        <w:t>年</w:t>
      </w:r>
      <w:r>
        <w:rPr>
          <w:rFonts w:hint="eastAsia"/>
          <w:sz w:val="24"/>
          <w:szCs w:val="24"/>
          <w:lang w:val="en-US" w:eastAsia="zh-CN"/>
        </w:rPr>
        <w:t>06</w:t>
      </w:r>
      <w:r>
        <w:rPr>
          <w:rFonts w:hint="eastAsia"/>
          <w:sz w:val="24"/>
          <w:szCs w:val="24"/>
        </w:rPr>
        <w:t>月</w:t>
      </w:r>
      <w:r>
        <w:rPr>
          <w:rFonts w:hint="eastAsia"/>
          <w:sz w:val="24"/>
          <w:szCs w:val="24"/>
          <w:lang w:val="en-US" w:eastAsia="zh-CN"/>
        </w:rPr>
        <w:t>14</w:t>
      </w:r>
      <w:r>
        <w:rPr>
          <w:rFonts w:hint="eastAsia"/>
          <w:sz w:val="24"/>
          <w:szCs w:val="24"/>
        </w:rPr>
        <w:t>日</w:t>
      </w:r>
      <w:r>
        <w:rPr>
          <w:sz w:val="24"/>
          <w:szCs w:val="24"/>
        </w:rPr>
        <w:t>通过</w:t>
      </w:r>
      <w:r>
        <w:rPr>
          <w:rFonts w:hint="eastAsia"/>
          <w:sz w:val="24"/>
          <w:szCs w:val="24"/>
        </w:rPr>
        <w:t>泉州市生态环境局</w:t>
      </w:r>
      <w:r>
        <w:rPr>
          <w:sz w:val="24"/>
          <w:szCs w:val="24"/>
        </w:rPr>
        <w:t>的审批（编号：</w:t>
      </w:r>
      <w:r>
        <w:rPr>
          <w:rFonts w:hint="eastAsia"/>
          <w:sz w:val="24"/>
          <w:szCs w:val="24"/>
        </w:rPr>
        <w:t>南环[2</w:t>
      </w:r>
      <w:r>
        <w:rPr>
          <w:rFonts w:hint="eastAsia"/>
          <w:sz w:val="24"/>
          <w:szCs w:val="24"/>
          <w:lang w:val="en-US" w:eastAsia="zh-CN"/>
        </w:rPr>
        <w:t>019</w:t>
      </w:r>
      <w:r>
        <w:rPr>
          <w:rFonts w:hint="eastAsia"/>
          <w:sz w:val="24"/>
          <w:szCs w:val="24"/>
        </w:rPr>
        <w:t>]</w:t>
      </w:r>
      <w:r>
        <w:rPr>
          <w:rFonts w:hint="eastAsia"/>
          <w:sz w:val="24"/>
          <w:szCs w:val="24"/>
          <w:lang w:val="en-US" w:eastAsia="zh-CN"/>
        </w:rPr>
        <w:t>158</w:t>
      </w:r>
      <w:r>
        <w:rPr>
          <w:rFonts w:hint="eastAsia"/>
          <w:sz w:val="24"/>
          <w:szCs w:val="24"/>
        </w:rPr>
        <w:t>号</w:t>
      </w:r>
      <w:r>
        <w:rPr>
          <w:sz w:val="24"/>
          <w:szCs w:val="24"/>
        </w:rPr>
        <w:t>）。项目于</w:t>
      </w:r>
      <w:r>
        <w:rPr>
          <w:rFonts w:hint="eastAsia"/>
          <w:sz w:val="24"/>
          <w:szCs w:val="24"/>
        </w:rPr>
        <w:t>20</w:t>
      </w:r>
      <w:r>
        <w:rPr>
          <w:rFonts w:hint="eastAsia"/>
          <w:sz w:val="24"/>
          <w:szCs w:val="24"/>
          <w:lang w:val="en-US" w:eastAsia="zh-CN"/>
        </w:rPr>
        <w:t>19</w:t>
      </w:r>
      <w:r>
        <w:rPr>
          <w:rFonts w:hint="eastAsia"/>
          <w:sz w:val="24"/>
          <w:szCs w:val="24"/>
        </w:rPr>
        <w:t>年</w:t>
      </w:r>
      <w:r>
        <w:rPr>
          <w:rFonts w:hint="eastAsia"/>
          <w:sz w:val="24"/>
          <w:szCs w:val="24"/>
          <w:lang w:val="en-US" w:eastAsia="zh-CN"/>
        </w:rPr>
        <w:t>06</w:t>
      </w:r>
      <w:r>
        <w:rPr>
          <w:rFonts w:hint="eastAsia"/>
          <w:sz w:val="24"/>
          <w:szCs w:val="24"/>
        </w:rPr>
        <w:t>月</w:t>
      </w:r>
      <w:r>
        <w:rPr>
          <w:rFonts w:hint="eastAsia"/>
          <w:sz w:val="24"/>
          <w:szCs w:val="24"/>
          <w:lang w:val="en-US" w:eastAsia="zh-CN"/>
        </w:rPr>
        <w:t>15</w:t>
      </w:r>
      <w:r>
        <w:rPr>
          <w:rFonts w:hint="eastAsia"/>
          <w:sz w:val="24"/>
          <w:szCs w:val="24"/>
        </w:rPr>
        <w:t>日</w:t>
      </w:r>
      <w:r>
        <w:rPr>
          <w:sz w:val="24"/>
          <w:szCs w:val="24"/>
        </w:rPr>
        <w:t>开工，</w:t>
      </w:r>
      <w:r>
        <w:rPr>
          <w:rFonts w:hint="eastAsia"/>
          <w:sz w:val="24"/>
          <w:szCs w:val="24"/>
        </w:rPr>
        <w:t>20</w:t>
      </w:r>
      <w:r>
        <w:rPr>
          <w:rFonts w:hint="eastAsia"/>
          <w:sz w:val="24"/>
          <w:szCs w:val="24"/>
          <w:lang w:val="en-US" w:eastAsia="zh-CN"/>
        </w:rPr>
        <w:t>19</w:t>
      </w:r>
      <w:r>
        <w:rPr>
          <w:rFonts w:hint="eastAsia"/>
          <w:sz w:val="24"/>
          <w:szCs w:val="24"/>
        </w:rPr>
        <w:t>年</w:t>
      </w:r>
      <w:r>
        <w:rPr>
          <w:rFonts w:hint="eastAsia"/>
          <w:sz w:val="24"/>
          <w:szCs w:val="24"/>
          <w:lang w:val="en-US" w:eastAsia="zh-CN"/>
        </w:rPr>
        <w:t>07</w:t>
      </w:r>
      <w:r>
        <w:rPr>
          <w:rFonts w:hint="eastAsia"/>
          <w:sz w:val="24"/>
          <w:szCs w:val="24"/>
        </w:rPr>
        <w:t>月</w:t>
      </w:r>
      <w:r>
        <w:rPr>
          <w:rFonts w:hint="eastAsia"/>
          <w:sz w:val="24"/>
          <w:szCs w:val="24"/>
          <w:lang w:val="en-US" w:eastAsia="zh-CN"/>
        </w:rPr>
        <w:t>14</w:t>
      </w:r>
      <w:r>
        <w:rPr>
          <w:rFonts w:hint="eastAsia"/>
          <w:sz w:val="24"/>
          <w:szCs w:val="24"/>
        </w:rPr>
        <w:t>日</w:t>
      </w:r>
      <w:r>
        <w:rPr>
          <w:rFonts w:hint="eastAsia"/>
          <w:sz w:val="24"/>
          <w:szCs w:val="24"/>
          <w:lang w:eastAsia="zh-CN"/>
        </w:rPr>
        <w:t>第一阶段</w:t>
      </w:r>
      <w:r>
        <w:rPr>
          <w:sz w:val="24"/>
          <w:szCs w:val="24"/>
        </w:rPr>
        <w:t>竣工，</w:t>
      </w:r>
      <w:r>
        <w:rPr>
          <w:rFonts w:hint="eastAsia"/>
          <w:sz w:val="24"/>
          <w:szCs w:val="24"/>
          <w:lang w:val="en-US" w:eastAsia="zh-CN"/>
        </w:rPr>
        <w:t>2022年11月22日第二阶段竣工。</w:t>
      </w:r>
      <w:r>
        <w:rPr>
          <w:bCs/>
          <w:sz w:val="24"/>
          <w:szCs w:val="24"/>
        </w:rPr>
        <w:t>项目</w:t>
      </w:r>
      <w:r>
        <w:rPr>
          <w:rFonts w:hint="eastAsia"/>
          <w:bCs/>
          <w:sz w:val="24"/>
          <w:szCs w:val="24"/>
        </w:rPr>
        <w:t>已于202</w:t>
      </w:r>
      <w:r>
        <w:rPr>
          <w:rFonts w:hint="eastAsia"/>
          <w:bCs/>
          <w:sz w:val="24"/>
          <w:szCs w:val="24"/>
          <w:lang w:val="en-US" w:eastAsia="zh-CN"/>
        </w:rPr>
        <w:t>0</w:t>
      </w:r>
      <w:r>
        <w:rPr>
          <w:rFonts w:hint="eastAsia"/>
          <w:bCs/>
          <w:sz w:val="24"/>
          <w:szCs w:val="24"/>
        </w:rPr>
        <w:t>年</w:t>
      </w:r>
      <w:r>
        <w:rPr>
          <w:rFonts w:hint="eastAsia"/>
          <w:bCs/>
          <w:sz w:val="24"/>
          <w:szCs w:val="24"/>
          <w:lang w:val="en-US" w:eastAsia="zh-CN"/>
        </w:rPr>
        <w:t>03</w:t>
      </w:r>
      <w:r>
        <w:rPr>
          <w:rFonts w:hint="eastAsia"/>
          <w:bCs/>
          <w:sz w:val="24"/>
          <w:szCs w:val="24"/>
        </w:rPr>
        <w:t>月</w:t>
      </w:r>
      <w:r>
        <w:rPr>
          <w:rFonts w:hint="eastAsia"/>
          <w:bCs/>
          <w:sz w:val="24"/>
          <w:szCs w:val="24"/>
          <w:lang w:val="en-US" w:eastAsia="zh-CN"/>
        </w:rPr>
        <w:t>10</w:t>
      </w:r>
      <w:r>
        <w:rPr>
          <w:rFonts w:hint="eastAsia"/>
          <w:bCs/>
          <w:sz w:val="24"/>
          <w:szCs w:val="24"/>
        </w:rPr>
        <w:t>日取得全国排污</w:t>
      </w:r>
      <w:r>
        <w:rPr>
          <w:rFonts w:hint="eastAsia"/>
          <w:sz w:val="24"/>
          <w:szCs w:val="24"/>
        </w:rPr>
        <w:t>许可证（编号：91350583572991567D001Q）。</w:t>
      </w:r>
    </w:p>
    <w:p>
      <w:pPr>
        <w:spacing w:line="360" w:lineRule="auto"/>
        <w:ind w:firstLine="480" w:firstLineChars="200"/>
        <w:rPr>
          <w:rStyle w:val="12"/>
          <w:rFonts w:hint="default"/>
          <w:bCs/>
          <w:color w:val="auto"/>
          <w:sz w:val="24"/>
          <w:szCs w:val="24"/>
        </w:rPr>
      </w:pPr>
      <w:r>
        <w:rPr>
          <w:rStyle w:val="12"/>
          <w:rFonts w:hint="default"/>
          <w:bCs/>
          <w:color w:val="auto"/>
          <w:sz w:val="24"/>
          <w:szCs w:val="24"/>
        </w:rPr>
        <w:t>项目从立项至调试过程中无环境投诉、违法及处罚记录</w:t>
      </w:r>
      <w:r>
        <w:rPr>
          <w:sz w:val="24"/>
          <w:szCs w:val="24"/>
        </w:rPr>
        <w:t>。</w:t>
      </w:r>
    </w:p>
    <w:p>
      <w:pPr>
        <w:spacing w:line="360" w:lineRule="auto"/>
        <w:rPr>
          <w:b/>
          <w:bCs/>
          <w:sz w:val="24"/>
          <w:szCs w:val="24"/>
        </w:rPr>
      </w:pPr>
      <w:r>
        <w:rPr>
          <w:b/>
          <w:bCs/>
          <w:sz w:val="24"/>
          <w:szCs w:val="24"/>
        </w:rPr>
        <w:t>（三）投资情况</w:t>
      </w:r>
    </w:p>
    <w:p>
      <w:pPr>
        <w:spacing w:line="360" w:lineRule="auto"/>
        <w:ind w:firstLine="480" w:firstLineChars="200"/>
        <w:jc w:val="left"/>
        <w:rPr>
          <w:kern w:val="0"/>
          <w:sz w:val="24"/>
          <w:szCs w:val="24"/>
        </w:rPr>
      </w:pPr>
      <w:r>
        <w:rPr>
          <w:color w:val="000000"/>
          <w:kern w:val="0"/>
          <w:sz w:val="24"/>
          <w:szCs w:val="24"/>
        </w:rPr>
        <w:t>项目</w:t>
      </w:r>
      <w:r>
        <w:rPr>
          <w:rFonts w:hint="eastAsia"/>
          <w:color w:val="000000"/>
          <w:kern w:val="0"/>
          <w:sz w:val="24"/>
          <w:szCs w:val="24"/>
        </w:rPr>
        <w:t>第二阶段工程</w:t>
      </w:r>
      <w:r>
        <w:rPr>
          <w:color w:val="000000"/>
          <w:kern w:val="0"/>
          <w:sz w:val="24"/>
          <w:szCs w:val="24"/>
        </w:rPr>
        <w:t>实际总投资</w:t>
      </w:r>
      <w:r>
        <w:rPr>
          <w:rFonts w:hint="eastAsia"/>
          <w:color w:val="000000"/>
          <w:kern w:val="0"/>
          <w:sz w:val="24"/>
          <w:szCs w:val="24"/>
          <w:lang w:val="en-US" w:eastAsia="zh-CN"/>
        </w:rPr>
        <w:t>700</w:t>
      </w:r>
      <w:r>
        <w:rPr>
          <w:rFonts w:hint="eastAsia"/>
          <w:color w:val="000000"/>
          <w:kern w:val="0"/>
          <w:sz w:val="24"/>
          <w:szCs w:val="24"/>
        </w:rPr>
        <w:t>万元</w:t>
      </w:r>
      <w:r>
        <w:rPr>
          <w:color w:val="000000"/>
          <w:kern w:val="0"/>
          <w:sz w:val="24"/>
          <w:szCs w:val="24"/>
        </w:rPr>
        <w:t>，其中环保投资</w:t>
      </w:r>
      <w:r>
        <w:rPr>
          <w:rFonts w:hint="eastAsia"/>
          <w:color w:val="000000"/>
          <w:kern w:val="0"/>
          <w:sz w:val="24"/>
          <w:szCs w:val="24"/>
          <w:lang w:val="en-US" w:eastAsia="zh-CN"/>
        </w:rPr>
        <w:t>11</w:t>
      </w:r>
      <w:r>
        <w:rPr>
          <w:rFonts w:hint="eastAsia"/>
          <w:color w:val="000000"/>
          <w:kern w:val="0"/>
          <w:sz w:val="24"/>
          <w:szCs w:val="24"/>
        </w:rPr>
        <w:t>万元</w:t>
      </w:r>
      <w:r>
        <w:rPr>
          <w:color w:val="000000"/>
          <w:kern w:val="0"/>
          <w:sz w:val="24"/>
          <w:szCs w:val="24"/>
        </w:rPr>
        <w:t>。</w:t>
      </w:r>
    </w:p>
    <w:p>
      <w:pPr>
        <w:spacing w:line="360" w:lineRule="auto"/>
        <w:rPr>
          <w:b/>
          <w:bCs/>
          <w:sz w:val="24"/>
          <w:szCs w:val="24"/>
        </w:rPr>
      </w:pPr>
      <w:r>
        <w:rPr>
          <w:b/>
          <w:bCs/>
          <w:sz w:val="24"/>
          <w:szCs w:val="24"/>
        </w:rPr>
        <w:t>（四）验收范围</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本次验收为项目的第二阶段</w:t>
      </w:r>
      <w:r>
        <w:rPr>
          <w:rFonts w:hint="eastAsia" w:ascii="宋体" w:hAnsi="宋体" w:cs="宋体"/>
          <w:sz w:val="24"/>
          <w:szCs w:val="24"/>
          <w:lang w:eastAsia="zh-CN"/>
        </w:rPr>
        <w:t>工程</w:t>
      </w:r>
      <w:r>
        <w:rPr>
          <w:rFonts w:hint="eastAsia" w:ascii="宋体" w:hAnsi="宋体" w:cs="宋体"/>
          <w:sz w:val="24"/>
          <w:szCs w:val="24"/>
        </w:rPr>
        <w:t>竣工环保验收。验收范围与内容为</w:t>
      </w:r>
      <w:r>
        <w:rPr>
          <w:rFonts w:hint="eastAsia" w:ascii="宋体" w:hAnsi="宋体" w:cs="宋体"/>
          <w:sz w:val="24"/>
          <w:szCs w:val="24"/>
          <w:lang w:eastAsia="zh-CN"/>
        </w:rPr>
        <w:t>花岗岩板23万平方米、大理石板8万平方米、线条1500米、雕刻件1500平方米</w:t>
      </w:r>
      <w:r>
        <w:rPr>
          <w:rFonts w:hint="eastAsia" w:ascii="宋体" w:hAnsi="宋体" w:cs="宋体"/>
          <w:sz w:val="24"/>
          <w:szCs w:val="24"/>
        </w:rPr>
        <w:t>生产规模（包括第一阶段验收年产</w:t>
      </w:r>
      <w:r>
        <w:rPr>
          <w:rFonts w:hint="eastAsia" w:ascii="Times New Roman" w:hAnsi="Times New Roman" w:cs="Times New Roman"/>
          <w:sz w:val="24"/>
          <w:szCs w:val="24"/>
          <w:lang w:eastAsia="zh-CN"/>
        </w:rPr>
        <w:t>花岗岩板23万平方米、大理石板8万平方米、线条1000米、雕刻件500平方米</w:t>
      </w:r>
      <w:r>
        <w:rPr>
          <w:rFonts w:hint="eastAsia" w:ascii="宋体" w:hAnsi="宋体" w:cs="宋体"/>
          <w:sz w:val="24"/>
          <w:szCs w:val="24"/>
        </w:rPr>
        <w:t>）的主体工程、辅助工程、公用工程及其配套的环保工程等建设内容（水刀拼花生产工艺及其配套的环保设施不属于本阶段验收内容）。</w:t>
      </w:r>
    </w:p>
    <w:p>
      <w:pPr>
        <w:rPr>
          <w:b/>
          <w:bCs/>
          <w:sz w:val="28"/>
          <w:szCs w:val="28"/>
        </w:rPr>
      </w:pPr>
      <w:r>
        <w:rPr>
          <w:b/>
          <w:bCs/>
          <w:sz w:val="28"/>
          <w:szCs w:val="28"/>
        </w:rPr>
        <w:t>二、工程变动情况</w:t>
      </w:r>
    </w:p>
    <w:p>
      <w:pPr>
        <w:spacing w:line="360" w:lineRule="auto"/>
        <w:ind w:firstLine="480" w:firstLineChars="200"/>
        <w:rPr>
          <w:rFonts w:hint="eastAsia"/>
          <w:sz w:val="24"/>
          <w:highlight w:val="yellow"/>
        </w:rPr>
      </w:pPr>
      <w:r>
        <w:rPr>
          <w:rFonts w:hint="eastAsia" w:ascii="宋体" w:hAnsi="宋体" w:cs="宋体"/>
          <w:sz w:val="24"/>
          <w:szCs w:val="24"/>
        </w:rPr>
        <w:t>本项目分阶段环保验收，一些建设内容发生变动均不属于重大变化情况内容，详</w:t>
      </w:r>
      <w:r>
        <w:rPr>
          <w:sz w:val="24"/>
          <w:szCs w:val="24"/>
        </w:rPr>
        <w:t>见</w:t>
      </w:r>
      <w:r>
        <w:rPr>
          <w:rFonts w:hint="eastAsia"/>
          <w:sz w:val="24"/>
          <w:szCs w:val="24"/>
        </w:rPr>
        <w:t>下表</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napToGrid/>
        <w:jc w:val="center"/>
        <w:textAlignment w:val="auto"/>
        <w:outlineLvl w:val="4"/>
        <w:rPr>
          <w:rFonts w:hint="eastAsia"/>
          <w:b/>
          <w:sz w:val="24"/>
        </w:rPr>
      </w:pPr>
      <w:r>
        <w:rPr>
          <w:rFonts w:hint="eastAsia"/>
          <w:b/>
          <w:sz w:val="24"/>
        </w:rPr>
        <w:t>表2-1  项目</w:t>
      </w:r>
      <w:r>
        <w:rPr>
          <w:b/>
          <w:sz w:val="24"/>
        </w:rPr>
        <w:t>变化情况一览表</w:t>
      </w:r>
    </w:p>
    <w:tbl>
      <w:tblPr>
        <w:tblStyle w:val="8"/>
        <w:tblW w:w="5064"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83"/>
        <w:gridCol w:w="937"/>
        <w:gridCol w:w="2316"/>
        <w:gridCol w:w="815"/>
        <w:gridCol w:w="31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tblHeader/>
          <w:jc w:val="center"/>
        </w:trPr>
        <w:tc>
          <w:tcPr>
            <w:tcW w:w="3520" w:type="dxa"/>
            <w:gridSpan w:val="2"/>
            <w:noWrap/>
            <w:vAlign w:val="center"/>
          </w:tcPr>
          <w:p>
            <w:pPr>
              <w:jc w:val="center"/>
              <w:rPr>
                <w:szCs w:val="21"/>
              </w:rPr>
            </w:pPr>
            <w:r>
              <w:rPr>
                <w:b/>
                <w:bCs/>
                <w:szCs w:val="21"/>
              </w:rPr>
              <w:t>环评及批复阶段要求</w:t>
            </w:r>
          </w:p>
        </w:tc>
        <w:tc>
          <w:tcPr>
            <w:tcW w:w="3131" w:type="dxa"/>
            <w:gridSpan w:val="2"/>
            <w:noWrap/>
            <w:vAlign w:val="center"/>
          </w:tcPr>
          <w:p>
            <w:pPr>
              <w:jc w:val="center"/>
              <w:rPr>
                <w:szCs w:val="21"/>
              </w:rPr>
            </w:pPr>
            <w:r>
              <w:rPr>
                <w:b/>
                <w:bCs/>
                <w:szCs w:val="21"/>
              </w:rPr>
              <w:t>实际建设情况</w:t>
            </w:r>
          </w:p>
        </w:tc>
        <w:tc>
          <w:tcPr>
            <w:tcW w:w="3101" w:type="dxa"/>
            <w:noWrap/>
            <w:vAlign w:val="center"/>
          </w:tcPr>
          <w:p>
            <w:pPr>
              <w:jc w:val="center"/>
              <w:rPr>
                <w:szCs w:val="21"/>
              </w:rPr>
            </w:pPr>
            <w:r>
              <w:rPr>
                <w:b/>
                <w:bCs/>
                <w:szCs w:val="21"/>
              </w:rPr>
              <w:t>变动原因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520" w:type="dxa"/>
            <w:gridSpan w:val="2"/>
            <w:noWrap/>
            <w:vAlign w:val="center"/>
          </w:tcPr>
          <w:p>
            <w:pPr>
              <w:pStyle w:val="11"/>
              <w:spacing w:line="240" w:lineRule="auto"/>
              <w:ind w:firstLine="0" w:firstLineChars="0"/>
              <w:rPr>
                <w:rFonts w:hint="eastAsia"/>
                <w:szCs w:val="21"/>
                <w:lang w:eastAsia="zh-CN"/>
              </w:rPr>
            </w:pPr>
            <w:r>
              <w:rPr>
                <w:rFonts w:hint="eastAsia" w:ascii="Times New Roman" w:hAnsi="Times New Roman" w:cs="Times New Roman"/>
                <w:sz w:val="21"/>
                <w:szCs w:val="21"/>
                <w:lang w:eastAsia="zh-CN"/>
              </w:rPr>
              <w:t>生活污水：</w:t>
            </w:r>
            <w:r>
              <w:rPr>
                <w:sz w:val="21"/>
                <w:szCs w:val="21"/>
              </w:rPr>
              <w:t>远期：待所在区域污水具备接入区域污水处理厂条件后，生活污水应全部纳入集中处置</w:t>
            </w:r>
          </w:p>
        </w:tc>
        <w:tc>
          <w:tcPr>
            <w:tcW w:w="3131" w:type="dxa"/>
            <w:gridSpan w:val="2"/>
            <w:noWrap/>
            <w:vAlign w:val="center"/>
          </w:tcPr>
          <w:p>
            <w:pPr>
              <w:jc w:val="center"/>
              <w:rPr>
                <w:rFonts w:hint="eastAsia"/>
                <w:bCs/>
                <w:szCs w:val="21"/>
              </w:rPr>
            </w:pPr>
            <w:r>
              <w:rPr>
                <w:szCs w:val="21"/>
              </w:rPr>
              <w:t>生活污水经三级化粪池预处理后委托他人清运至周边农田施肥</w:t>
            </w:r>
          </w:p>
        </w:tc>
        <w:tc>
          <w:tcPr>
            <w:tcW w:w="3101" w:type="dxa"/>
            <w:noWrap/>
            <w:vAlign w:val="center"/>
          </w:tcPr>
          <w:p>
            <w:pPr>
              <w:pStyle w:val="11"/>
              <w:spacing w:line="240" w:lineRule="auto"/>
              <w:ind w:firstLine="0" w:firstLineChars="0"/>
              <w:rPr>
                <w:sz w:val="21"/>
                <w:szCs w:val="21"/>
              </w:rPr>
            </w:pPr>
            <w:r>
              <w:rPr>
                <w:sz w:val="21"/>
                <w:szCs w:val="21"/>
              </w:rPr>
              <w:t>1、项目区域生活污水管网尚未与污水处理厂对接；</w:t>
            </w:r>
          </w:p>
          <w:p>
            <w:pPr>
              <w:pStyle w:val="11"/>
              <w:spacing w:line="240" w:lineRule="auto"/>
              <w:ind w:firstLine="0" w:firstLineChars="0"/>
              <w:rPr>
                <w:rFonts w:hint="eastAsia"/>
                <w:kern w:val="2"/>
                <w:sz w:val="21"/>
                <w:szCs w:val="21"/>
              </w:rPr>
            </w:pPr>
            <w:r>
              <w:rPr>
                <w:sz w:val="21"/>
                <w:szCs w:val="21"/>
              </w:rPr>
              <w:t>2、项目生活污水量少，污染物浓度低，利用为项目周边农田有机肥料，不属于重大变动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520" w:type="dxa"/>
            <w:gridSpan w:val="2"/>
            <w:noWrap/>
            <w:vAlign w:val="center"/>
          </w:tcPr>
          <w:p>
            <w:pPr>
              <w:widowControl/>
              <w:ind w:left="-105" w:leftChars="-50" w:right="-105" w:rightChars="-50"/>
              <w:jc w:val="center"/>
              <w:rPr>
                <w:szCs w:val="21"/>
              </w:rPr>
            </w:pPr>
            <w:r>
              <w:rPr>
                <w:rFonts w:hint="eastAsia"/>
                <w:szCs w:val="21"/>
                <w:lang w:eastAsia="zh-CN"/>
              </w:rPr>
              <w:t>有机废气</w:t>
            </w:r>
            <w:r>
              <w:rPr>
                <w:rFonts w:hint="eastAsia"/>
                <w:szCs w:val="21"/>
              </w:rPr>
              <w:t>：集气系统+UV光解+排气筒</w:t>
            </w:r>
          </w:p>
        </w:tc>
        <w:tc>
          <w:tcPr>
            <w:tcW w:w="3131" w:type="dxa"/>
            <w:gridSpan w:val="2"/>
            <w:noWrap/>
            <w:vAlign w:val="center"/>
          </w:tcPr>
          <w:p>
            <w:pPr>
              <w:jc w:val="center"/>
              <w:rPr>
                <w:szCs w:val="21"/>
              </w:rPr>
            </w:pPr>
            <w:r>
              <w:rPr>
                <w:rFonts w:hint="eastAsia"/>
                <w:bCs/>
                <w:szCs w:val="21"/>
              </w:rPr>
              <w:t>未建设</w:t>
            </w:r>
          </w:p>
        </w:tc>
        <w:tc>
          <w:tcPr>
            <w:tcW w:w="3101" w:type="dxa"/>
            <w:noWrap/>
            <w:vAlign w:val="center"/>
          </w:tcPr>
          <w:p>
            <w:pPr>
              <w:pStyle w:val="11"/>
              <w:keepNext w:val="0"/>
              <w:keepLines w:val="0"/>
              <w:pageBreakBefore w:val="0"/>
              <w:kinsoku/>
              <w:wordWrap/>
              <w:overflowPunct/>
              <w:topLinePunct w:val="0"/>
              <w:autoSpaceDE/>
              <w:autoSpaceDN/>
              <w:bidi w:val="0"/>
              <w:spacing w:line="240" w:lineRule="auto"/>
              <w:ind w:left="-105" w:leftChars="-50" w:right="-105" w:rightChars="-50" w:firstLine="0" w:firstLineChars="0"/>
              <w:textAlignment w:val="auto"/>
              <w:rPr>
                <w:sz w:val="21"/>
                <w:szCs w:val="21"/>
              </w:rPr>
            </w:pPr>
            <w:r>
              <w:rPr>
                <w:rFonts w:hint="eastAsia"/>
                <w:bCs/>
                <w:sz w:val="21"/>
                <w:szCs w:val="21"/>
                <w:lang w:eastAsia="zh-CN"/>
              </w:rPr>
              <w:t>项目分阶段验收，本阶段验收无刷胶工序，未设有机废气处理设施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520" w:type="dxa"/>
            <w:gridSpan w:val="2"/>
            <w:noWrap/>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sz w:val="21"/>
                <w:szCs w:val="21"/>
                <w:lang w:eastAsia="zh-CN"/>
              </w:rPr>
              <w:t>燃料燃烧废气：烘干工序：</w:t>
            </w:r>
            <w:r>
              <w:rPr>
                <w:rFonts w:hint="default" w:ascii="Times New Roman" w:hAnsi="Times New Roman" w:eastAsia="宋体" w:cs="Times New Roman"/>
                <w:sz w:val="21"/>
                <w:szCs w:val="21"/>
              </w:rPr>
              <w:t>15m高排气筒（2#）</w:t>
            </w:r>
          </w:p>
        </w:tc>
        <w:tc>
          <w:tcPr>
            <w:tcW w:w="3131" w:type="dxa"/>
            <w:gridSpan w:val="2"/>
            <w:noWrap/>
            <w:vAlign w:val="center"/>
          </w:tcPr>
          <w:p>
            <w:pPr>
              <w:pStyle w:val="11"/>
              <w:spacing w:line="240" w:lineRule="auto"/>
              <w:ind w:firstLine="0" w:firstLineChars="0"/>
              <w:rPr>
                <w:rFonts w:hint="eastAsia" w:ascii="Times New Roman" w:hAnsi="Times New Roman" w:eastAsia="宋体" w:cs="Times New Roman"/>
                <w:color w:val="000000"/>
                <w:kern w:val="0"/>
                <w:sz w:val="21"/>
                <w:szCs w:val="21"/>
                <w:lang w:val="en-US" w:eastAsia="zh-CN" w:bidi="ar-SA"/>
              </w:rPr>
            </w:pPr>
            <w:r>
              <w:rPr>
                <w:rFonts w:hint="eastAsia" w:ascii="Times New Roman" w:hAnsi="Times New Roman" w:eastAsia="宋体" w:cs="Times New Roman"/>
                <w:bCs/>
                <w:kern w:val="2"/>
                <w:sz w:val="21"/>
                <w:szCs w:val="21"/>
                <w:lang w:val="en-US" w:eastAsia="zh-CN" w:bidi="ar-SA"/>
              </w:rPr>
              <w:t>未建设</w:t>
            </w:r>
          </w:p>
        </w:tc>
        <w:tc>
          <w:tcPr>
            <w:tcW w:w="3101" w:type="dxa"/>
            <w:noWrap/>
            <w:vAlign w:val="center"/>
          </w:tcPr>
          <w:p>
            <w:pPr>
              <w:pStyle w:val="11"/>
              <w:keepNext w:val="0"/>
              <w:keepLines w:val="0"/>
              <w:pageBreakBefore w:val="0"/>
              <w:kinsoku/>
              <w:wordWrap/>
              <w:overflowPunct/>
              <w:topLinePunct w:val="0"/>
              <w:autoSpaceDE/>
              <w:autoSpaceDN/>
              <w:bidi w:val="0"/>
              <w:spacing w:line="240" w:lineRule="auto"/>
              <w:ind w:left="-105" w:leftChars="-50" w:right="-105" w:rightChars="-50" w:firstLine="0" w:firstLineChars="0"/>
              <w:textAlignment w:val="auto"/>
              <w:rPr>
                <w:rFonts w:hint="eastAsia" w:ascii="Times New Roman" w:hAnsi="Times New Roman" w:eastAsia="宋体" w:cs="Times New Roman"/>
                <w:kern w:val="0"/>
                <w:sz w:val="21"/>
                <w:szCs w:val="21"/>
                <w:lang w:val="en-US" w:eastAsia="zh-CN" w:bidi="ar-SA"/>
              </w:rPr>
            </w:pPr>
            <w:r>
              <w:rPr>
                <w:rFonts w:hint="eastAsia"/>
                <w:bCs/>
                <w:sz w:val="21"/>
                <w:szCs w:val="21"/>
                <w:lang w:eastAsia="zh-CN"/>
              </w:rPr>
              <w:t>项目分阶段验收，本阶段验收无烘干工序，未设排气筒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520" w:type="dxa"/>
            <w:gridSpan w:val="2"/>
            <w:noWrap/>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sz w:val="21"/>
                <w:szCs w:val="21"/>
                <w:lang w:eastAsia="zh-CN"/>
              </w:rPr>
              <w:t>空桶：设暂存间，由生产厂家回收</w:t>
            </w:r>
          </w:p>
        </w:tc>
        <w:tc>
          <w:tcPr>
            <w:tcW w:w="3131" w:type="dxa"/>
            <w:gridSpan w:val="2"/>
            <w:noWrap/>
            <w:vAlign w:val="center"/>
          </w:tcPr>
          <w:p>
            <w:pPr>
              <w:pStyle w:val="5"/>
              <w:jc w:val="center"/>
              <w:rPr>
                <w:rFonts w:hint="eastAsia" w:ascii="Times New Roman" w:hAnsi="Times New Roman" w:eastAsia="宋体" w:cs="Times New Roman"/>
                <w:bCs/>
                <w:kern w:val="2"/>
                <w:sz w:val="21"/>
                <w:szCs w:val="21"/>
                <w:lang w:val="en-US" w:eastAsia="zh-CN" w:bidi="ar-SA"/>
              </w:rPr>
            </w:pPr>
            <w:r>
              <w:rPr>
                <w:rFonts w:hint="eastAsia"/>
              </w:rPr>
              <w:t>未设置危废暂存间（第二阶段工程无</w:t>
            </w:r>
            <w:r>
              <w:rPr>
                <w:rFonts w:hint="eastAsia"/>
                <w:color w:val="000000"/>
                <w:szCs w:val="21"/>
              </w:rPr>
              <w:t>胶水空桶）</w:t>
            </w:r>
          </w:p>
        </w:tc>
        <w:tc>
          <w:tcPr>
            <w:tcW w:w="3101" w:type="dxa"/>
            <w:noWrap/>
            <w:vAlign w:val="center"/>
          </w:tcPr>
          <w:p>
            <w:pPr>
              <w:pStyle w:val="5"/>
              <w:jc w:val="center"/>
              <w:rPr>
                <w:rFonts w:hint="eastAsia" w:ascii="Times New Roman" w:hAnsi="Times New Roman" w:eastAsia="宋体" w:cs="Times New Roman"/>
                <w:bCs/>
                <w:kern w:val="2"/>
                <w:sz w:val="21"/>
                <w:szCs w:val="21"/>
                <w:lang w:val="en-US" w:eastAsia="zh-CN" w:bidi="ar-SA"/>
              </w:rPr>
            </w:pPr>
            <w:r>
              <w:rPr>
                <w:rFonts w:hint="eastAsia"/>
              </w:rPr>
              <w:t>危废暂存间设置及危废委托处理处置情况不属于本次验收内容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3520" w:type="dxa"/>
            <w:gridSpan w:val="2"/>
            <w:noWrap/>
            <w:vAlign w:val="center"/>
          </w:tcPr>
          <w:p>
            <w:pPr>
              <w:pStyle w:val="11"/>
              <w:spacing w:line="240" w:lineRule="auto"/>
              <w:ind w:left="-105" w:leftChars="-50" w:right="-105" w:rightChars="-50" w:firstLine="0" w:firstLineChars="0"/>
              <w:rPr>
                <w:sz w:val="21"/>
                <w:szCs w:val="21"/>
              </w:rPr>
            </w:pPr>
            <w:r>
              <w:rPr>
                <w:sz w:val="21"/>
                <w:szCs w:val="21"/>
              </w:rPr>
              <w:fldChar w:fldCharType="begin" w:fldLock="1"/>
            </w:r>
            <w:r>
              <w:rPr>
                <w:sz w:val="21"/>
                <w:szCs w:val="21"/>
              </w:rPr>
              <w:instrText xml:space="preserve"> REF 项目名称 \h </w:instrText>
            </w:r>
            <w:r>
              <w:rPr>
                <w:sz w:val="21"/>
                <w:szCs w:val="21"/>
              </w:rPr>
              <w:fldChar w:fldCharType="separate"/>
            </w:r>
            <w:r>
              <w:rPr>
                <w:rFonts w:hint="eastAsia"/>
                <w:sz w:val="21"/>
                <w:szCs w:val="21"/>
                <w:lang w:eastAsia="zh-CN"/>
              </w:rPr>
              <w:t>花岗岩板23万平方米、大理石板8万平方米、线条3000米、雕刻件2000平方米、水刀拼花2000平方米</w:t>
            </w:r>
            <w:r>
              <w:rPr>
                <w:sz w:val="21"/>
                <w:szCs w:val="21"/>
              </w:rPr>
              <w:fldChar w:fldCharType="end"/>
            </w:r>
          </w:p>
        </w:tc>
        <w:tc>
          <w:tcPr>
            <w:tcW w:w="3131" w:type="dxa"/>
            <w:gridSpan w:val="2"/>
            <w:noWrap/>
            <w:vAlign w:val="center"/>
          </w:tcPr>
          <w:p>
            <w:pPr>
              <w:pStyle w:val="11"/>
              <w:spacing w:line="240" w:lineRule="auto"/>
              <w:ind w:firstLine="0" w:firstLineChars="0"/>
              <w:rPr>
                <w:rFonts w:hint="eastAsia" w:eastAsia="宋体"/>
                <w:sz w:val="21"/>
                <w:szCs w:val="21"/>
                <w:lang w:eastAsia="zh-CN"/>
              </w:rPr>
            </w:pPr>
            <w:r>
              <w:rPr>
                <w:rFonts w:hint="eastAsia"/>
                <w:sz w:val="21"/>
                <w:szCs w:val="21"/>
                <w:lang w:eastAsia="zh-CN"/>
              </w:rPr>
              <w:t>花岗岩板23万平方米、大理石板8万平方米、线条1500米、雕刻件1500平方米</w:t>
            </w:r>
          </w:p>
        </w:tc>
        <w:tc>
          <w:tcPr>
            <w:tcW w:w="3101" w:type="dxa"/>
            <w:vMerge w:val="restart"/>
            <w:noWrap/>
            <w:vAlign w:val="center"/>
          </w:tcPr>
          <w:p>
            <w:pPr>
              <w:pStyle w:val="11"/>
              <w:spacing w:line="240" w:lineRule="auto"/>
              <w:ind w:firstLine="0" w:firstLineChars="0"/>
              <w:rPr>
                <w:sz w:val="21"/>
                <w:szCs w:val="21"/>
              </w:rPr>
            </w:pPr>
            <w:r>
              <w:rPr>
                <w:sz w:val="21"/>
                <w:szCs w:val="21"/>
              </w:rPr>
              <w:t>部分设备未建设到位，项目分阶段环保验收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583" w:type="dxa"/>
            <w:noWrap/>
            <w:vAlign w:val="center"/>
          </w:tcPr>
          <w:p>
            <w:pPr>
              <w:pStyle w:val="13"/>
              <w:keepNext w:val="0"/>
              <w:keepLines w:val="0"/>
              <w:pageBreakBefore w:val="0"/>
              <w:kinsoku/>
              <w:wordWrap/>
              <w:overflowPunct/>
              <w:topLinePunct w:val="0"/>
              <w:bidi w:val="0"/>
              <w:adjustRightInd/>
              <w:snapToGrid/>
              <w:jc w:val="center"/>
              <w:outlineLvl w:val="9"/>
              <w:rPr>
                <w:rFonts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sz w:val="21"/>
                <w:szCs w:val="21"/>
              </w:rPr>
              <w:t>水磨机（手扶磨）</w:t>
            </w:r>
          </w:p>
        </w:tc>
        <w:tc>
          <w:tcPr>
            <w:tcW w:w="937" w:type="dxa"/>
            <w:noWrap/>
            <w:vAlign w:val="center"/>
          </w:tcPr>
          <w:p>
            <w:pPr>
              <w:keepNext w:val="0"/>
              <w:keepLines w:val="0"/>
              <w:pageBreakBefore w:val="0"/>
              <w:kinsoku/>
              <w:wordWrap/>
              <w:overflowPunct/>
              <w:topLinePunct w:val="0"/>
              <w:bidi w:val="0"/>
              <w:adjustRightInd/>
              <w:snapToGrid/>
              <w:jc w:val="center"/>
              <w:outlineLvl w:val="9"/>
              <w:rPr>
                <w:szCs w:val="21"/>
              </w:rPr>
            </w:pPr>
            <w:r>
              <w:rPr>
                <w:rFonts w:hint="default" w:ascii="Times New Roman" w:hAnsi="Times New Roman" w:eastAsia="宋体" w:cs="Times New Roman"/>
                <w:sz w:val="21"/>
                <w:szCs w:val="21"/>
              </w:rPr>
              <w:t>6</w:t>
            </w:r>
          </w:p>
        </w:tc>
        <w:tc>
          <w:tcPr>
            <w:tcW w:w="2316" w:type="dxa"/>
            <w:noWrap/>
            <w:vAlign w:val="center"/>
          </w:tcPr>
          <w:p>
            <w:pPr>
              <w:pStyle w:val="13"/>
              <w:keepNext w:val="0"/>
              <w:keepLines w:val="0"/>
              <w:pageBreakBefore w:val="0"/>
              <w:kinsoku/>
              <w:wordWrap/>
              <w:overflowPunct/>
              <w:topLinePunct w:val="0"/>
              <w:bidi w:val="0"/>
              <w:adjustRightInd/>
              <w:snapToGrid/>
              <w:jc w:val="center"/>
              <w:outlineLvl w:val="9"/>
            </w:pPr>
            <w:r>
              <w:rPr>
                <w:rFonts w:hint="default" w:ascii="Times New Roman" w:hAnsi="Times New Roman" w:eastAsia="宋体" w:cs="Times New Roman"/>
                <w:sz w:val="21"/>
                <w:szCs w:val="21"/>
              </w:rPr>
              <w:t>水磨机（手扶磨）</w:t>
            </w:r>
          </w:p>
        </w:tc>
        <w:tc>
          <w:tcPr>
            <w:tcW w:w="815" w:type="dxa"/>
            <w:noWrap/>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pPr>
            <w:r>
              <w:rPr>
                <w:rFonts w:hint="default" w:ascii="Times New Roman" w:hAnsi="Times New Roman" w:eastAsia="宋体" w:cs="Times New Roman"/>
                <w:color w:val="auto"/>
                <w:kern w:val="0"/>
                <w:sz w:val="21"/>
                <w:szCs w:val="21"/>
                <w:highlight w:val="none"/>
                <w:lang w:val="en-US" w:eastAsia="zh-CN"/>
              </w:rPr>
              <w:t>5</w:t>
            </w:r>
          </w:p>
        </w:tc>
        <w:tc>
          <w:tcPr>
            <w:tcW w:w="3101" w:type="dxa"/>
            <w:vMerge w:val="continue"/>
            <w:noWrap/>
            <w:vAlign w:val="center"/>
          </w:tcPr>
          <w:p>
            <w:pPr>
              <w:pStyle w:val="11"/>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583" w:type="dxa"/>
            <w:noWrap/>
            <w:vAlign w:val="center"/>
          </w:tcPr>
          <w:p>
            <w:pPr>
              <w:pStyle w:val="13"/>
              <w:keepNext w:val="0"/>
              <w:keepLines w:val="0"/>
              <w:pageBreakBefore w:val="0"/>
              <w:kinsoku/>
              <w:wordWrap/>
              <w:overflowPunct/>
              <w:topLinePunct w:val="0"/>
              <w:bidi w:val="0"/>
              <w:adjustRightInd/>
              <w:snapToGrid/>
              <w:jc w:val="center"/>
              <w:outlineLvl w:val="9"/>
              <w:rPr>
                <w:rFonts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sz w:val="21"/>
                <w:szCs w:val="21"/>
              </w:rPr>
              <w:t>切边机</w:t>
            </w:r>
          </w:p>
        </w:tc>
        <w:tc>
          <w:tcPr>
            <w:tcW w:w="937" w:type="dxa"/>
            <w:noWrap/>
            <w:vAlign w:val="center"/>
          </w:tcPr>
          <w:p>
            <w:pPr>
              <w:keepNext w:val="0"/>
              <w:keepLines w:val="0"/>
              <w:pageBreakBefore w:val="0"/>
              <w:kinsoku/>
              <w:wordWrap/>
              <w:overflowPunct/>
              <w:topLinePunct w:val="0"/>
              <w:bidi w:val="0"/>
              <w:adjustRightInd/>
              <w:snapToGrid/>
              <w:jc w:val="center"/>
              <w:outlineLvl w:val="9"/>
              <w:rPr>
                <w:szCs w:val="21"/>
              </w:rPr>
            </w:pPr>
            <w:r>
              <w:rPr>
                <w:rFonts w:hint="default" w:ascii="Times New Roman" w:hAnsi="Times New Roman" w:eastAsia="宋体" w:cs="Times New Roman"/>
                <w:sz w:val="21"/>
                <w:szCs w:val="21"/>
              </w:rPr>
              <w:t>5</w:t>
            </w:r>
          </w:p>
        </w:tc>
        <w:tc>
          <w:tcPr>
            <w:tcW w:w="2316" w:type="dxa"/>
            <w:noWrap/>
            <w:vAlign w:val="center"/>
          </w:tcPr>
          <w:p>
            <w:pPr>
              <w:pStyle w:val="13"/>
              <w:keepNext w:val="0"/>
              <w:keepLines w:val="0"/>
              <w:pageBreakBefore w:val="0"/>
              <w:kinsoku/>
              <w:wordWrap/>
              <w:overflowPunct/>
              <w:topLinePunct w:val="0"/>
              <w:bidi w:val="0"/>
              <w:adjustRightInd/>
              <w:snapToGrid/>
              <w:jc w:val="center"/>
              <w:outlineLvl w:val="9"/>
            </w:pPr>
            <w:r>
              <w:rPr>
                <w:rFonts w:hint="default" w:ascii="Times New Roman" w:hAnsi="Times New Roman" w:eastAsia="宋体" w:cs="Times New Roman"/>
                <w:sz w:val="21"/>
                <w:szCs w:val="21"/>
              </w:rPr>
              <w:t>切边机</w:t>
            </w:r>
          </w:p>
        </w:tc>
        <w:tc>
          <w:tcPr>
            <w:tcW w:w="815" w:type="dxa"/>
            <w:noWrap/>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pPr>
            <w:r>
              <w:rPr>
                <w:rFonts w:hint="eastAsia" w:cs="Times New Roman"/>
                <w:color w:val="auto"/>
                <w:kern w:val="0"/>
                <w:sz w:val="21"/>
                <w:szCs w:val="21"/>
                <w:highlight w:val="none"/>
                <w:lang w:val="en-US" w:eastAsia="zh-CN"/>
              </w:rPr>
              <w:t>4</w:t>
            </w:r>
          </w:p>
        </w:tc>
        <w:tc>
          <w:tcPr>
            <w:tcW w:w="3101" w:type="dxa"/>
            <w:vMerge w:val="continue"/>
            <w:noWrap/>
            <w:vAlign w:val="center"/>
          </w:tcPr>
          <w:p>
            <w:pPr>
              <w:pStyle w:val="11"/>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583" w:type="dxa"/>
            <w:noWrap/>
            <w:vAlign w:val="center"/>
          </w:tcPr>
          <w:p>
            <w:pPr>
              <w:keepNext w:val="0"/>
              <w:keepLines w:val="0"/>
              <w:pageBreakBefore w:val="0"/>
              <w:kinsoku/>
              <w:wordWrap/>
              <w:overflowPunct/>
              <w:topLinePunct w:val="0"/>
              <w:bidi w:val="0"/>
              <w:adjustRightInd/>
              <w:snapToGrid/>
              <w:jc w:val="center"/>
              <w:outlineLvl w:val="9"/>
              <w:rPr>
                <w:rFonts w:ascii="Times New Roman" w:hAnsi="Times New Roman" w:eastAsia="宋体" w:cs="Times New Roman"/>
                <w:kern w:val="2"/>
                <w:sz w:val="21"/>
                <w:szCs w:val="22"/>
                <w:lang w:val="en-US" w:eastAsia="zh-CN" w:bidi="ar-SA"/>
              </w:rPr>
            </w:pPr>
            <w:r>
              <w:rPr>
                <w:rStyle w:val="10"/>
                <w:rFonts w:hint="default" w:ascii="Times New Roman" w:hAnsi="Times New Roman" w:eastAsia="宋体" w:cs="Times New Roman"/>
                <w:sz w:val="21"/>
                <w:szCs w:val="21"/>
              </w:rPr>
              <w:t>荔枝面机</w:t>
            </w:r>
          </w:p>
        </w:tc>
        <w:tc>
          <w:tcPr>
            <w:tcW w:w="937" w:type="dxa"/>
            <w:noWrap/>
            <w:vAlign w:val="center"/>
          </w:tcPr>
          <w:p>
            <w:pPr>
              <w:keepNext w:val="0"/>
              <w:keepLines w:val="0"/>
              <w:pageBreakBefore w:val="0"/>
              <w:kinsoku/>
              <w:wordWrap/>
              <w:overflowPunct/>
              <w:topLinePunct w:val="0"/>
              <w:bidi w:val="0"/>
              <w:adjustRightInd/>
              <w:snapToGrid/>
              <w:jc w:val="center"/>
              <w:outlineLvl w:val="9"/>
              <w:rPr>
                <w:szCs w:val="21"/>
              </w:rPr>
            </w:pPr>
            <w:r>
              <w:rPr>
                <w:rFonts w:hint="default" w:ascii="Times New Roman" w:hAnsi="Times New Roman" w:eastAsia="宋体" w:cs="Times New Roman"/>
                <w:sz w:val="21"/>
                <w:szCs w:val="21"/>
              </w:rPr>
              <w:t>3</w:t>
            </w:r>
          </w:p>
        </w:tc>
        <w:tc>
          <w:tcPr>
            <w:tcW w:w="2316" w:type="dxa"/>
            <w:noWrap/>
            <w:vAlign w:val="center"/>
          </w:tcPr>
          <w:p>
            <w:pPr>
              <w:keepNext w:val="0"/>
              <w:keepLines w:val="0"/>
              <w:pageBreakBefore w:val="0"/>
              <w:kinsoku/>
              <w:wordWrap/>
              <w:overflowPunct/>
              <w:topLinePunct w:val="0"/>
              <w:bidi w:val="0"/>
              <w:adjustRightInd/>
              <w:snapToGrid/>
              <w:jc w:val="center"/>
              <w:outlineLvl w:val="9"/>
              <w:rPr>
                <w:szCs w:val="21"/>
              </w:rPr>
            </w:pPr>
            <w:r>
              <w:rPr>
                <w:rStyle w:val="10"/>
                <w:rFonts w:hint="default" w:ascii="Times New Roman" w:hAnsi="Times New Roman" w:eastAsia="宋体" w:cs="Times New Roman"/>
                <w:sz w:val="21"/>
                <w:szCs w:val="21"/>
              </w:rPr>
              <w:t>荔枝面机</w:t>
            </w:r>
          </w:p>
        </w:tc>
        <w:tc>
          <w:tcPr>
            <w:tcW w:w="815" w:type="dxa"/>
            <w:noWrap/>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pPr>
            <w:r>
              <w:rPr>
                <w:rFonts w:hint="default" w:ascii="Times New Roman" w:hAnsi="Times New Roman" w:eastAsia="宋体" w:cs="Times New Roman"/>
                <w:color w:val="auto"/>
                <w:kern w:val="0"/>
                <w:sz w:val="21"/>
                <w:szCs w:val="21"/>
                <w:highlight w:val="none"/>
                <w:lang w:val="en-US" w:eastAsia="zh-CN"/>
              </w:rPr>
              <w:t>1</w:t>
            </w:r>
          </w:p>
        </w:tc>
        <w:tc>
          <w:tcPr>
            <w:tcW w:w="3101" w:type="dxa"/>
            <w:vMerge w:val="continue"/>
            <w:noWrap/>
            <w:vAlign w:val="center"/>
          </w:tcPr>
          <w:p>
            <w:pPr>
              <w:pStyle w:val="11"/>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583" w:type="dxa"/>
            <w:noWrap/>
            <w:vAlign w:val="center"/>
          </w:tcPr>
          <w:p>
            <w:pPr>
              <w:keepNext w:val="0"/>
              <w:keepLines w:val="0"/>
              <w:pageBreakBefore w:val="0"/>
              <w:kinsoku/>
              <w:wordWrap/>
              <w:overflowPunct/>
              <w:topLinePunct w:val="0"/>
              <w:bidi w:val="0"/>
              <w:adjustRightInd/>
              <w:snapToGrid/>
              <w:jc w:val="center"/>
              <w:outlineLvl w:val="9"/>
              <w:rPr>
                <w:rFonts w:ascii="Times New Roman" w:hAnsi="Times New Roman" w:eastAsia="宋体" w:cs="Times New Roman"/>
                <w:kern w:val="2"/>
                <w:sz w:val="21"/>
                <w:szCs w:val="22"/>
                <w:lang w:val="en-US" w:eastAsia="zh-CN" w:bidi="ar-SA"/>
              </w:rPr>
            </w:pPr>
            <w:r>
              <w:rPr>
                <w:rStyle w:val="10"/>
                <w:rFonts w:hint="default" w:ascii="Times New Roman" w:hAnsi="Times New Roman" w:eastAsia="宋体" w:cs="Times New Roman"/>
                <w:sz w:val="21"/>
                <w:szCs w:val="21"/>
              </w:rPr>
              <w:t>红外线切边机</w:t>
            </w:r>
          </w:p>
        </w:tc>
        <w:tc>
          <w:tcPr>
            <w:tcW w:w="937" w:type="dxa"/>
            <w:noWrap/>
            <w:vAlign w:val="center"/>
          </w:tcPr>
          <w:p>
            <w:pPr>
              <w:keepNext w:val="0"/>
              <w:keepLines w:val="0"/>
              <w:pageBreakBefore w:val="0"/>
              <w:kinsoku/>
              <w:wordWrap/>
              <w:overflowPunct/>
              <w:topLinePunct w:val="0"/>
              <w:bidi w:val="0"/>
              <w:adjustRightInd/>
              <w:snapToGrid/>
              <w:jc w:val="center"/>
              <w:outlineLvl w:val="9"/>
              <w:rPr>
                <w:szCs w:val="21"/>
              </w:rPr>
            </w:pPr>
            <w:r>
              <w:rPr>
                <w:rFonts w:hint="default" w:ascii="Times New Roman" w:hAnsi="Times New Roman" w:eastAsia="宋体" w:cs="Times New Roman"/>
                <w:sz w:val="21"/>
                <w:szCs w:val="21"/>
              </w:rPr>
              <w:t>25</w:t>
            </w:r>
          </w:p>
        </w:tc>
        <w:tc>
          <w:tcPr>
            <w:tcW w:w="2316" w:type="dxa"/>
            <w:noWrap/>
            <w:vAlign w:val="center"/>
          </w:tcPr>
          <w:p>
            <w:pPr>
              <w:keepNext w:val="0"/>
              <w:keepLines w:val="0"/>
              <w:pageBreakBefore w:val="0"/>
              <w:kinsoku/>
              <w:wordWrap/>
              <w:overflowPunct/>
              <w:topLinePunct w:val="0"/>
              <w:bidi w:val="0"/>
              <w:adjustRightInd/>
              <w:snapToGrid/>
              <w:jc w:val="center"/>
              <w:outlineLvl w:val="9"/>
              <w:rPr>
                <w:szCs w:val="21"/>
              </w:rPr>
            </w:pPr>
            <w:r>
              <w:rPr>
                <w:rStyle w:val="10"/>
                <w:rFonts w:hint="default" w:ascii="Times New Roman" w:hAnsi="Times New Roman" w:eastAsia="宋体" w:cs="Times New Roman"/>
                <w:sz w:val="21"/>
                <w:szCs w:val="21"/>
              </w:rPr>
              <w:t>红外线切边机</w:t>
            </w:r>
          </w:p>
        </w:tc>
        <w:tc>
          <w:tcPr>
            <w:tcW w:w="815" w:type="dxa"/>
            <w:noWrap/>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pPr>
            <w:r>
              <w:rPr>
                <w:rFonts w:hint="default" w:ascii="Times New Roman" w:hAnsi="Times New Roman" w:eastAsia="宋体" w:cs="Times New Roman"/>
                <w:color w:val="auto"/>
                <w:kern w:val="0"/>
                <w:sz w:val="21"/>
                <w:szCs w:val="21"/>
                <w:highlight w:val="none"/>
                <w:lang w:val="en-US" w:eastAsia="zh-CN"/>
              </w:rPr>
              <w:t>17</w:t>
            </w:r>
          </w:p>
        </w:tc>
        <w:tc>
          <w:tcPr>
            <w:tcW w:w="3101" w:type="dxa"/>
            <w:vMerge w:val="continue"/>
            <w:noWrap/>
            <w:vAlign w:val="center"/>
          </w:tcPr>
          <w:p>
            <w:pPr>
              <w:pStyle w:val="11"/>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583" w:type="dxa"/>
            <w:noWrap/>
            <w:vAlign w:val="center"/>
          </w:tcPr>
          <w:p>
            <w:pPr>
              <w:keepNext w:val="0"/>
              <w:keepLines w:val="0"/>
              <w:pageBreakBefore w:val="0"/>
              <w:kinsoku/>
              <w:wordWrap/>
              <w:overflowPunct/>
              <w:topLinePunct w:val="0"/>
              <w:bidi w:val="0"/>
              <w:adjustRightInd/>
              <w:snapToGrid/>
              <w:jc w:val="center"/>
              <w:outlineLvl w:val="9"/>
              <w:rPr>
                <w:rFonts w:hint="eastAsia" w:ascii="Times New Roman" w:hAnsi="Times New Roman" w:eastAsia="宋体" w:cs="Times New Roman"/>
                <w:kern w:val="2"/>
                <w:sz w:val="21"/>
                <w:szCs w:val="22"/>
                <w:lang w:val="en-US" w:eastAsia="zh-CN" w:bidi="ar-SA"/>
              </w:rPr>
            </w:pPr>
            <w:r>
              <w:rPr>
                <w:rStyle w:val="10"/>
                <w:rFonts w:hint="default" w:ascii="Times New Roman" w:hAnsi="Times New Roman" w:eastAsia="宋体" w:cs="Times New Roman"/>
                <w:sz w:val="21"/>
                <w:szCs w:val="21"/>
              </w:rPr>
              <w:t>翻石机</w:t>
            </w:r>
          </w:p>
        </w:tc>
        <w:tc>
          <w:tcPr>
            <w:tcW w:w="937" w:type="dxa"/>
            <w:noWrap/>
            <w:vAlign w:val="center"/>
          </w:tcPr>
          <w:p>
            <w:pPr>
              <w:keepNext w:val="0"/>
              <w:keepLines w:val="0"/>
              <w:pageBreakBefore w:val="0"/>
              <w:kinsoku/>
              <w:wordWrap/>
              <w:overflowPunct/>
              <w:topLinePunct w:val="0"/>
              <w:bidi w:val="0"/>
              <w:adjustRightInd/>
              <w:snapToGrid/>
              <w:jc w:val="center"/>
              <w:outlineLvl w:val="9"/>
              <w:rPr>
                <w:rFonts w:hint="eastAsia" w:ascii="Times New Roman" w:hAnsi="Times New Roman" w:eastAsia="宋体" w:cs="Times New Roman"/>
                <w:kern w:val="2"/>
                <w:sz w:val="21"/>
                <w:szCs w:val="22"/>
                <w:lang w:val="en-US" w:eastAsia="zh-CN" w:bidi="ar-SA"/>
              </w:rPr>
            </w:pPr>
            <w:r>
              <w:rPr>
                <w:rFonts w:hint="default" w:ascii="Times New Roman" w:hAnsi="Times New Roman" w:eastAsia="宋体" w:cs="Times New Roman"/>
                <w:sz w:val="21"/>
                <w:szCs w:val="21"/>
              </w:rPr>
              <w:t>3</w:t>
            </w:r>
          </w:p>
        </w:tc>
        <w:tc>
          <w:tcPr>
            <w:tcW w:w="2316" w:type="dxa"/>
            <w:noWrap/>
            <w:vAlign w:val="center"/>
          </w:tcPr>
          <w:p>
            <w:pPr>
              <w:keepNext w:val="0"/>
              <w:keepLines w:val="0"/>
              <w:pageBreakBefore w:val="0"/>
              <w:kinsoku/>
              <w:wordWrap/>
              <w:overflowPunct/>
              <w:topLinePunct w:val="0"/>
              <w:bidi w:val="0"/>
              <w:adjustRightInd/>
              <w:snapToGrid/>
              <w:jc w:val="center"/>
              <w:outlineLvl w:val="9"/>
              <w:rPr>
                <w:szCs w:val="21"/>
              </w:rPr>
            </w:pPr>
            <w:r>
              <w:rPr>
                <w:rStyle w:val="10"/>
                <w:rFonts w:hint="default" w:ascii="Times New Roman" w:hAnsi="Times New Roman" w:eastAsia="宋体" w:cs="Times New Roman"/>
                <w:sz w:val="21"/>
                <w:szCs w:val="21"/>
              </w:rPr>
              <w:t>翻石机</w:t>
            </w:r>
          </w:p>
        </w:tc>
        <w:tc>
          <w:tcPr>
            <w:tcW w:w="815" w:type="dxa"/>
            <w:noWrap/>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eastAsia="宋体"/>
                <w:szCs w:val="21"/>
                <w:lang w:eastAsia="zh-CN"/>
              </w:rPr>
            </w:pPr>
            <w:r>
              <w:rPr>
                <w:rFonts w:hint="default" w:ascii="Times New Roman" w:hAnsi="Times New Roman" w:eastAsia="宋体" w:cs="Times New Roman"/>
                <w:color w:val="auto"/>
                <w:kern w:val="0"/>
                <w:sz w:val="21"/>
                <w:szCs w:val="21"/>
                <w:highlight w:val="none"/>
                <w:lang w:val="en-US" w:eastAsia="zh-CN"/>
              </w:rPr>
              <w:t>2</w:t>
            </w:r>
          </w:p>
        </w:tc>
        <w:tc>
          <w:tcPr>
            <w:tcW w:w="3101" w:type="dxa"/>
            <w:vMerge w:val="continue"/>
            <w:noWrap/>
            <w:vAlign w:val="center"/>
          </w:tcPr>
          <w:p>
            <w:pPr>
              <w:pStyle w:val="11"/>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583" w:type="dxa"/>
            <w:noWrap/>
            <w:vAlign w:val="center"/>
          </w:tcPr>
          <w:p>
            <w:pPr>
              <w:keepNext w:val="0"/>
              <w:keepLines w:val="0"/>
              <w:pageBreakBefore w:val="0"/>
              <w:kinsoku/>
              <w:wordWrap/>
              <w:overflowPunct/>
              <w:topLinePunct w:val="0"/>
              <w:bidi w:val="0"/>
              <w:adjustRightInd/>
              <w:snapToGrid/>
              <w:jc w:val="center"/>
              <w:outlineLvl w:val="9"/>
              <w:rPr>
                <w:rFonts w:ascii="Times New Roman" w:hAnsi="Times New Roman" w:eastAsia="宋体" w:cs="Times New Roman"/>
                <w:kern w:val="2"/>
                <w:sz w:val="21"/>
                <w:szCs w:val="22"/>
                <w:lang w:val="en-US" w:eastAsia="zh-CN" w:bidi="ar-SA"/>
              </w:rPr>
            </w:pPr>
            <w:r>
              <w:rPr>
                <w:rStyle w:val="10"/>
                <w:rFonts w:hint="default" w:ascii="Times New Roman" w:hAnsi="Times New Roman" w:eastAsia="宋体" w:cs="Times New Roman"/>
                <w:sz w:val="21"/>
                <w:szCs w:val="21"/>
              </w:rPr>
              <w:t>砂锯</w:t>
            </w:r>
          </w:p>
        </w:tc>
        <w:tc>
          <w:tcPr>
            <w:tcW w:w="937" w:type="dxa"/>
            <w:noWrap/>
            <w:vAlign w:val="center"/>
          </w:tcPr>
          <w:p>
            <w:pPr>
              <w:keepNext w:val="0"/>
              <w:keepLines w:val="0"/>
              <w:pageBreakBefore w:val="0"/>
              <w:kinsoku/>
              <w:wordWrap/>
              <w:overflowPunct/>
              <w:topLinePunct w:val="0"/>
              <w:bidi w:val="0"/>
              <w:adjustRightInd/>
              <w:snapToGrid/>
              <w:jc w:val="center"/>
              <w:outlineLvl w:val="9"/>
              <w:rPr>
                <w:rFonts w:hint="eastAsia" w:ascii="Times New Roman" w:hAnsi="Times New Roman" w:eastAsia="宋体" w:cs="Times New Roman"/>
                <w:kern w:val="2"/>
                <w:sz w:val="21"/>
                <w:szCs w:val="22"/>
                <w:lang w:val="en-US" w:eastAsia="zh-CN" w:bidi="ar-SA"/>
              </w:rPr>
            </w:pPr>
            <w:r>
              <w:rPr>
                <w:rFonts w:hint="default" w:ascii="Times New Roman" w:hAnsi="Times New Roman" w:eastAsia="宋体" w:cs="Times New Roman"/>
                <w:sz w:val="21"/>
                <w:szCs w:val="21"/>
              </w:rPr>
              <w:t>3</w:t>
            </w:r>
          </w:p>
        </w:tc>
        <w:tc>
          <w:tcPr>
            <w:tcW w:w="2316" w:type="dxa"/>
            <w:noWrap/>
            <w:vAlign w:val="center"/>
          </w:tcPr>
          <w:p>
            <w:pPr>
              <w:keepNext w:val="0"/>
              <w:keepLines w:val="0"/>
              <w:pageBreakBefore w:val="0"/>
              <w:kinsoku/>
              <w:wordWrap/>
              <w:overflowPunct/>
              <w:topLinePunct w:val="0"/>
              <w:bidi w:val="0"/>
              <w:adjustRightInd/>
              <w:snapToGrid/>
              <w:jc w:val="center"/>
              <w:outlineLvl w:val="9"/>
              <w:rPr>
                <w:szCs w:val="21"/>
              </w:rPr>
            </w:pPr>
            <w:r>
              <w:rPr>
                <w:rStyle w:val="10"/>
                <w:rFonts w:hint="default" w:ascii="Times New Roman" w:hAnsi="Times New Roman" w:eastAsia="宋体" w:cs="Times New Roman"/>
                <w:sz w:val="21"/>
                <w:szCs w:val="21"/>
              </w:rPr>
              <w:t>砂锯</w:t>
            </w:r>
          </w:p>
        </w:tc>
        <w:tc>
          <w:tcPr>
            <w:tcW w:w="815" w:type="dxa"/>
            <w:noWrap/>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szCs w:val="21"/>
              </w:rPr>
            </w:pPr>
            <w:r>
              <w:rPr>
                <w:rFonts w:hint="default" w:ascii="Times New Roman" w:hAnsi="Times New Roman" w:eastAsia="宋体" w:cs="Times New Roman"/>
                <w:color w:val="auto"/>
                <w:kern w:val="0"/>
                <w:sz w:val="21"/>
                <w:szCs w:val="21"/>
                <w:highlight w:val="none"/>
                <w:lang w:val="en-US" w:eastAsia="zh-CN"/>
              </w:rPr>
              <w:t>0</w:t>
            </w:r>
          </w:p>
        </w:tc>
        <w:tc>
          <w:tcPr>
            <w:tcW w:w="3101" w:type="dxa"/>
            <w:vMerge w:val="continue"/>
            <w:noWrap/>
            <w:vAlign w:val="center"/>
          </w:tcPr>
          <w:p>
            <w:pPr>
              <w:pStyle w:val="11"/>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583" w:type="dxa"/>
            <w:noWrap/>
            <w:vAlign w:val="center"/>
          </w:tcPr>
          <w:p>
            <w:pPr>
              <w:keepNext w:val="0"/>
              <w:keepLines w:val="0"/>
              <w:pageBreakBefore w:val="0"/>
              <w:kinsoku/>
              <w:wordWrap/>
              <w:overflowPunct/>
              <w:topLinePunct w:val="0"/>
              <w:bidi w:val="0"/>
              <w:adjustRightInd/>
              <w:snapToGrid/>
              <w:jc w:val="center"/>
              <w:outlineLvl w:val="9"/>
              <w:rPr>
                <w:rFonts w:ascii="Times New Roman" w:hAnsi="Times New Roman" w:eastAsia="宋体" w:cs="Times New Roman"/>
                <w:kern w:val="2"/>
                <w:sz w:val="21"/>
                <w:szCs w:val="22"/>
                <w:lang w:val="en-US" w:eastAsia="zh-CN" w:bidi="ar-SA"/>
              </w:rPr>
            </w:pPr>
            <w:r>
              <w:rPr>
                <w:rStyle w:val="10"/>
                <w:rFonts w:hint="default" w:ascii="Times New Roman" w:hAnsi="Times New Roman" w:eastAsia="宋体" w:cs="Times New Roman"/>
                <w:sz w:val="21"/>
                <w:szCs w:val="21"/>
              </w:rPr>
              <w:t>线条机</w:t>
            </w:r>
          </w:p>
        </w:tc>
        <w:tc>
          <w:tcPr>
            <w:tcW w:w="937" w:type="dxa"/>
            <w:noWrap/>
            <w:vAlign w:val="center"/>
          </w:tcPr>
          <w:p>
            <w:pPr>
              <w:keepNext w:val="0"/>
              <w:keepLines w:val="0"/>
              <w:pageBreakBefore w:val="0"/>
              <w:kinsoku/>
              <w:wordWrap/>
              <w:overflowPunct/>
              <w:topLinePunct w:val="0"/>
              <w:bidi w:val="0"/>
              <w:adjustRightInd/>
              <w:snapToGrid/>
              <w:jc w:val="center"/>
              <w:outlineLvl w:val="9"/>
              <w:rPr>
                <w:rFonts w:hint="eastAsia" w:ascii="Times New Roman" w:hAnsi="Times New Roman" w:eastAsia="宋体" w:cs="Times New Roman"/>
                <w:kern w:val="2"/>
                <w:sz w:val="21"/>
                <w:szCs w:val="22"/>
                <w:lang w:val="en-US" w:eastAsia="zh-CN" w:bidi="ar-SA"/>
              </w:rPr>
            </w:pPr>
            <w:r>
              <w:rPr>
                <w:rFonts w:hint="default" w:ascii="Times New Roman" w:hAnsi="Times New Roman" w:eastAsia="宋体" w:cs="Times New Roman"/>
                <w:sz w:val="21"/>
                <w:szCs w:val="21"/>
              </w:rPr>
              <w:t>5</w:t>
            </w:r>
          </w:p>
        </w:tc>
        <w:tc>
          <w:tcPr>
            <w:tcW w:w="2316" w:type="dxa"/>
            <w:noWrap/>
            <w:vAlign w:val="center"/>
          </w:tcPr>
          <w:p>
            <w:pPr>
              <w:keepNext w:val="0"/>
              <w:keepLines w:val="0"/>
              <w:pageBreakBefore w:val="0"/>
              <w:kinsoku/>
              <w:wordWrap/>
              <w:overflowPunct/>
              <w:topLinePunct w:val="0"/>
              <w:bidi w:val="0"/>
              <w:adjustRightInd/>
              <w:snapToGrid/>
              <w:jc w:val="center"/>
              <w:outlineLvl w:val="9"/>
              <w:rPr>
                <w:szCs w:val="21"/>
              </w:rPr>
            </w:pPr>
            <w:r>
              <w:rPr>
                <w:rStyle w:val="10"/>
                <w:rFonts w:hint="default" w:ascii="Times New Roman" w:hAnsi="Times New Roman" w:eastAsia="宋体" w:cs="Times New Roman"/>
                <w:sz w:val="21"/>
                <w:szCs w:val="21"/>
              </w:rPr>
              <w:t>线条机</w:t>
            </w:r>
          </w:p>
        </w:tc>
        <w:tc>
          <w:tcPr>
            <w:tcW w:w="815" w:type="dxa"/>
            <w:noWrap/>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szCs w:val="21"/>
              </w:rPr>
            </w:pPr>
            <w:r>
              <w:rPr>
                <w:rFonts w:hint="default" w:ascii="Times New Roman" w:hAnsi="Times New Roman" w:eastAsia="宋体" w:cs="Times New Roman"/>
                <w:color w:val="auto"/>
                <w:kern w:val="0"/>
                <w:sz w:val="21"/>
                <w:szCs w:val="21"/>
                <w:highlight w:val="none"/>
                <w:lang w:val="en-US" w:eastAsia="zh-CN"/>
              </w:rPr>
              <w:t>1</w:t>
            </w:r>
          </w:p>
        </w:tc>
        <w:tc>
          <w:tcPr>
            <w:tcW w:w="3101" w:type="dxa"/>
            <w:vMerge w:val="continue"/>
            <w:noWrap/>
            <w:vAlign w:val="center"/>
          </w:tcPr>
          <w:p>
            <w:pPr>
              <w:pStyle w:val="11"/>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583" w:type="dxa"/>
            <w:noWrap/>
            <w:vAlign w:val="center"/>
          </w:tcPr>
          <w:p>
            <w:pPr>
              <w:keepNext w:val="0"/>
              <w:keepLines w:val="0"/>
              <w:pageBreakBefore w:val="0"/>
              <w:kinsoku/>
              <w:wordWrap/>
              <w:overflowPunct/>
              <w:topLinePunct w:val="0"/>
              <w:bidi w:val="0"/>
              <w:adjustRightInd/>
              <w:snapToGrid/>
              <w:jc w:val="center"/>
              <w:outlineLvl w:val="9"/>
              <w:rPr>
                <w:rFonts w:ascii="Times New Roman" w:hAnsi="Times New Roman" w:eastAsia="宋体" w:cs="Times New Roman"/>
                <w:kern w:val="2"/>
                <w:sz w:val="21"/>
                <w:szCs w:val="22"/>
                <w:lang w:val="en-US" w:eastAsia="zh-CN" w:bidi="ar-SA"/>
              </w:rPr>
            </w:pPr>
            <w:r>
              <w:rPr>
                <w:rStyle w:val="10"/>
                <w:rFonts w:hint="default" w:ascii="Times New Roman" w:hAnsi="Times New Roman" w:eastAsia="宋体" w:cs="Times New Roman"/>
                <w:sz w:val="21"/>
                <w:szCs w:val="21"/>
              </w:rPr>
              <w:t>仿形机</w:t>
            </w:r>
          </w:p>
        </w:tc>
        <w:tc>
          <w:tcPr>
            <w:tcW w:w="937" w:type="dxa"/>
            <w:noWrap/>
            <w:vAlign w:val="center"/>
          </w:tcPr>
          <w:p>
            <w:pPr>
              <w:keepNext w:val="0"/>
              <w:keepLines w:val="0"/>
              <w:pageBreakBefore w:val="0"/>
              <w:kinsoku/>
              <w:wordWrap/>
              <w:overflowPunct/>
              <w:topLinePunct w:val="0"/>
              <w:bidi w:val="0"/>
              <w:adjustRightInd/>
              <w:snapToGrid/>
              <w:jc w:val="center"/>
              <w:outlineLvl w:val="9"/>
              <w:rPr>
                <w:rFonts w:hint="eastAsia" w:ascii="Times New Roman" w:hAnsi="Times New Roman" w:eastAsia="宋体" w:cs="Times New Roman"/>
                <w:kern w:val="2"/>
                <w:sz w:val="21"/>
                <w:szCs w:val="22"/>
                <w:lang w:val="en-US" w:eastAsia="zh-CN" w:bidi="ar-SA"/>
              </w:rPr>
            </w:pPr>
            <w:r>
              <w:rPr>
                <w:rFonts w:hint="default" w:ascii="Times New Roman" w:hAnsi="Times New Roman" w:eastAsia="宋体" w:cs="Times New Roman"/>
                <w:sz w:val="21"/>
                <w:szCs w:val="21"/>
              </w:rPr>
              <w:t>8</w:t>
            </w:r>
          </w:p>
        </w:tc>
        <w:tc>
          <w:tcPr>
            <w:tcW w:w="2316" w:type="dxa"/>
            <w:noWrap/>
            <w:vAlign w:val="center"/>
          </w:tcPr>
          <w:p>
            <w:pPr>
              <w:keepNext w:val="0"/>
              <w:keepLines w:val="0"/>
              <w:pageBreakBefore w:val="0"/>
              <w:kinsoku/>
              <w:wordWrap/>
              <w:overflowPunct/>
              <w:topLinePunct w:val="0"/>
              <w:bidi w:val="0"/>
              <w:adjustRightInd/>
              <w:snapToGrid/>
              <w:jc w:val="center"/>
              <w:outlineLvl w:val="9"/>
            </w:pPr>
            <w:r>
              <w:rPr>
                <w:rStyle w:val="10"/>
                <w:rFonts w:hint="default" w:ascii="Times New Roman" w:hAnsi="Times New Roman" w:eastAsia="宋体" w:cs="Times New Roman"/>
                <w:sz w:val="21"/>
                <w:szCs w:val="21"/>
              </w:rPr>
              <w:t>仿形机</w:t>
            </w:r>
          </w:p>
        </w:tc>
        <w:tc>
          <w:tcPr>
            <w:tcW w:w="815" w:type="dxa"/>
            <w:noWrap/>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szCs w:val="21"/>
              </w:rPr>
            </w:pPr>
            <w:r>
              <w:rPr>
                <w:rFonts w:hint="default" w:ascii="Times New Roman" w:hAnsi="Times New Roman" w:eastAsia="宋体" w:cs="Times New Roman"/>
                <w:color w:val="auto"/>
                <w:kern w:val="0"/>
                <w:sz w:val="21"/>
                <w:szCs w:val="21"/>
                <w:highlight w:val="none"/>
                <w:lang w:val="en-US" w:eastAsia="zh-CN"/>
              </w:rPr>
              <w:t>2</w:t>
            </w:r>
          </w:p>
        </w:tc>
        <w:tc>
          <w:tcPr>
            <w:tcW w:w="3101" w:type="dxa"/>
            <w:vMerge w:val="continue"/>
            <w:noWrap/>
            <w:vAlign w:val="center"/>
          </w:tcPr>
          <w:p>
            <w:pPr>
              <w:pStyle w:val="11"/>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583" w:type="dxa"/>
            <w:noWrap/>
            <w:vAlign w:val="center"/>
          </w:tcPr>
          <w:p>
            <w:pPr>
              <w:keepNext w:val="0"/>
              <w:keepLines w:val="0"/>
              <w:pageBreakBefore w:val="0"/>
              <w:kinsoku/>
              <w:wordWrap/>
              <w:overflowPunct/>
              <w:topLinePunct w:val="0"/>
              <w:bidi w:val="0"/>
              <w:adjustRightInd/>
              <w:snapToGrid/>
              <w:jc w:val="center"/>
              <w:outlineLvl w:val="9"/>
              <w:rPr>
                <w:rFonts w:ascii="Times New Roman" w:hAnsi="Times New Roman" w:eastAsia="宋体" w:cs="Times New Roman"/>
                <w:kern w:val="2"/>
                <w:sz w:val="21"/>
                <w:szCs w:val="22"/>
                <w:lang w:val="en-US" w:eastAsia="zh-CN" w:bidi="ar-SA"/>
              </w:rPr>
            </w:pPr>
            <w:r>
              <w:rPr>
                <w:rStyle w:val="10"/>
                <w:rFonts w:hint="default" w:ascii="Times New Roman" w:hAnsi="Times New Roman" w:eastAsia="宋体" w:cs="Times New Roman"/>
                <w:sz w:val="21"/>
                <w:szCs w:val="21"/>
              </w:rPr>
              <w:t>自动线条磨边机</w:t>
            </w:r>
          </w:p>
        </w:tc>
        <w:tc>
          <w:tcPr>
            <w:tcW w:w="937" w:type="dxa"/>
            <w:noWrap/>
            <w:vAlign w:val="center"/>
          </w:tcPr>
          <w:p>
            <w:pPr>
              <w:keepNext w:val="0"/>
              <w:keepLines w:val="0"/>
              <w:pageBreakBefore w:val="0"/>
              <w:kinsoku/>
              <w:wordWrap/>
              <w:overflowPunct/>
              <w:topLinePunct w:val="0"/>
              <w:bidi w:val="0"/>
              <w:adjustRightInd/>
              <w:snapToGrid/>
              <w:jc w:val="center"/>
              <w:outlineLvl w:val="9"/>
              <w:rPr>
                <w:rFonts w:hint="eastAsia" w:ascii="Times New Roman" w:hAnsi="Times New Roman" w:eastAsia="宋体" w:cs="Times New Roman"/>
                <w:kern w:val="2"/>
                <w:sz w:val="21"/>
                <w:szCs w:val="22"/>
                <w:lang w:val="en-US" w:eastAsia="zh-CN" w:bidi="ar-SA"/>
              </w:rPr>
            </w:pPr>
            <w:r>
              <w:rPr>
                <w:rFonts w:hint="default" w:ascii="Times New Roman" w:hAnsi="Times New Roman" w:eastAsia="宋体" w:cs="Times New Roman"/>
                <w:sz w:val="21"/>
                <w:szCs w:val="21"/>
              </w:rPr>
              <w:t>5</w:t>
            </w:r>
          </w:p>
        </w:tc>
        <w:tc>
          <w:tcPr>
            <w:tcW w:w="2316" w:type="dxa"/>
            <w:noWrap/>
            <w:vAlign w:val="center"/>
          </w:tcPr>
          <w:p>
            <w:pPr>
              <w:keepNext w:val="0"/>
              <w:keepLines w:val="0"/>
              <w:pageBreakBefore w:val="0"/>
              <w:kinsoku/>
              <w:wordWrap/>
              <w:overflowPunct/>
              <w:topLinePunct w:val="0"/>
              <w:bidi w:val="0"/>
              <w:adjustRightInd/>
              <w:snapToGrid/>
              <w:jc w:val="center"/>
              <w:outlineLvl w:val="9"/>
              <w:rPr>
                <w:rStyle w:val="10"/>
              </w:rPr>
            </w:pPr>
            <w:r>
              <w:rPr>
                <w:rStyle w:val="10"/>
                <w:rFonts w:hint="default" w:ascii="Times New Roman" w:hAnsi="Times New Roman" w:eastAsia="宋体" w:cs="Times New Roman"/>
                <w:sz w:val="21"/>
                <w:szCs w:val="21"/>
              </w:rPr>
              <w:t>自动线条磨边机</w:t>
            </w:r>
          </w:p>
        </w:tc>
        <w:tc>
          <w:tcPr>
            <w:tcW w:w="815" w:type="dxa"/>
            <w:noWrap/>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eastAsia="宋体"/>
                <w:szCs w:val="21"/>
                <w:lang w:eastAsia="zh-CN"/>
              </w:rPr>
            </w:pPr>
            <w:r>
              <w:rPr>
                <w:rFonts w:hint="default" w:ascii="Times New Roman" w:hAnsi="Times New Roman" w:eastAsia="宋体" w:cs="Times New Roman"/>
                <w:color w:val="auto"/>
                <w:kern w:val="0"/>
                <w:sz w:val="21"/>
                <w:szCs w:val="21"/>
                <w:highlight w:val="none"/>
                <w:lang w:val="en-US" w:eastAsia="zh-CN"/>
              </w:rPr>
              <w:t>1</w:t>
            </w:r>
          </w:p>
        </w:tc>
        <w:tc>
          <w:tcPr>
            <w:tcW w:w="3101" w:type="dxa"/>
            <w:vMerge w:val="continue"/>
            <w:noWrap/>
            <w:vAlign w:val="center"/>
          </w:tcPr>
          <w:p>
            <w:pPr>
              <w:pStyle w:val="11"/>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583" w:type="dxa"/>
            <w:noWrap/>
            <w:vAlign w:val="center"/>
          </w:tcPr>
          <w:p>
            <w:pPr>
              <w:keepNext w:val="0"/>
              <w:keepLines w:val="0"/>
              <w:pageBreakBefore w:val="0"/>
              <w:kinsoku/>
              <w:wordWrap/>
              <w:overflowPunct/>
              <w:topLinePunct w:val="0"/>
              <w:bidi w:val="0"/>
              <w:adjustRightInd/>
              <w:snapToGrid/>
              <w:jc w:val="center"/>
              <w:outlineLvl w:val="9"/>
              <w:rPr>
                <w:rFonts w:ascii="Times New Roman" w:hAnsi="Times New Roman" w:eastAsia="宋体" w:cs="Times New Roman"/>
                <w:kern w:val="2"/>
                <w:sz w:val="21"/>
                <w:szCs w:val="22"/>
                <w:lang w:val="en-US" w:eastAsia="zh-CN" w:bidi="ar-SA"/>
              </w:rPr>
            </w:pPr>
            <w:r>
              <w:rPr>
                <w:rStyle w:val="10"/>
                <w:rFonts w:hint="default" w:ascii="Times New Roman" w:hAnsi="Times New Roman" w:eastAsia="宋体" w:cs="Times New Roman"/>
                <w:sz w:val="21"/>
                <w:szCs w:val="21"/>
              </w:rPr>
              <w:t>自动线条切边机</w:t>
            </w:r>
          </w:p>
        </w:tc>
        <w:tc>
          <w:tcPr>
            <w:tcW w:w="937" w:type="dxa"/>
            <w:noWrap/>
            <w:vAlign w:val="center"/>
          </w:tcPr>
          <w:p>
            <w:pPr>
              <w:keepNext w:val="0"/>
              <w:keepLines w:val="0"/>
              <w:pageBreakBefore w:val="0"/>
              <w:kinsoku/>
              <w:wordWrap/>
              <w:overflowPunct/>
              <w:topLinePunct w:val="0"/>
              <w:bidi w:val="0"/>
              <w:adjustRightInd/>
              <w:snapToGrid/>
              <w:jc w:val="center"/>
              <w:outlineLvl w:val="9"/>
              <w:rPr>
                <w:rFonts w:hint="eastAsia" w:ascii="Times New Roman" w:hAnsi="Times New Roman" w:eastAsia="宋体" w:cs="Times New Roman"/>
                <w:kern w:val="2"/>
                <w:sz w:val="21"/>
                <w:szCs w:val="22"/>
                <w:lang w:val="en-US" w:eastAsia="zh-CN" w:bidi="ar-SA"/>
              </w:rPr>
            </w:pPr>
            <w:r>
              <w:rPr>
                <w:rFonts w:hint="default" w:ascii="Times New Roman" w:hAnsi="Times New Roman" w:eastAsia="宋体" w:cs="Times New Roman"/>
                <w:sz w:val="21"/>
                <w:szCs w:val="21"/>
              </w:rPr>
              <w:t>5</w:t>
            </w:r>
          </w:p>
        </w:tc>
        <w:tc>
          <w:tcPr>
            <w:tcW w:w="2316" w:type="dxa"/>
            <w:noWrap/>
            <w:vAlign w:val="center"/>
          </w:tcPr>
          <w:p>
            <w:pPr>
              <w:keepNext w:val="0"/>
              <w:keepLines w:val="0"/>
              <w:pageBreakBefore w:val="0"/>
              <w:kinsoku/>
              <w:wordWrap/>
              <w:overflowPunct/>
              <w:topLinePunct w:val="0"/>
              <w:bidi w:val="0"/>
              <w:adjustRightInd/>
              <w:snapToGrid/>
              <w:jc w:val="center"/>
              <w:outlineLvl w:val="9"/>
              <w:rPr>
                <w:rStyle w:val="10"/>
              </w:rPr>
            </w:pPr>
            <w:r>
              <w:rPr>
                <w:rStyle w:val="10"/>
                <w:rFonts w:hint="default" w:ascii="Times New Roman" w:hAnsi="Times New Roman" w:eastAsia="宋体" w:cs="Times New Roman"/>
                <w:sz w:val="21"/>
                <w:szCs w:val="21"/>
              </w:rPr>
              <w:t>自动线条切边机</w:t>
            </w:r>
          </w:p>
        </w:tc>
        <w:tc>
          <w:tcPr>
            <w:tcW w:w="815" w:type="dxa"/>
            <w:noWrap/>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szCs w:val="21"/>
              </w:rPr>
            </w:pPr>
            <w:r>
              <w:rPr>
                <w:rFonts w:hint="default" w:ascii="Times New Roman" w:hAnsi="Times New Roman" w:eastAsia="宋体" w:cs="Times New Roman"/>
                <w:color w:val="auto"/>
                <w:kern w:val="0"/>
                <w:sz w:val="21"/>
                <w:szCs w:val="21"/>
                <w:highlight w:val="none"/>
                <w:lang w:val="en-US" w:eastAsia="zh-CN"/>
              </w:rPr>
              <w:t>0</w:t>
            </w:r>
          </w:p>
        </w:tc>
        <w:tc>
          <w:tcPr>
            <w:tcW w:w="3101" w:type="dxa"/>
            <w:vMerge w:val="continue"/>
            <w:noWrap/>
            <w:vAlign w:val="center"/>
          </w:tcPr>
          <w:p>
            <w:pPr>
              <w:pStyle w:val="11"/>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583" w:type="dxa"/>
            <w:noWrap/>
            <w:vAlign w:val="center"/>
          </w:tcPr>
          <w:p>
            <w:pPr>
              <w:keepNext w:val="0"/>
              <w:keepLines w:val="0"/>
              <w:pageBreakBefore w:val="0"/>
              <w:kinsoku/>
              <w:wordWrap/>
              <w:overflowPunct/>
              <w:topLinePunct w:val="0"/>
              <w:bidi w:val="0"/>
              <w:adjustRightInd/>
              <w:snapToGrid/>
              <w:jc w:val="center"/>
              <w:outlineLvl w:val="9"/>
              <w:rPr>
                <w:rFonts w:hint="default" w:ascii="Times New Roman" w:hAnsi="Times New Roman" w:eastAsia="宋体" w:cs="Times New Roman"/>
                <w:kern w:val="0"/>
                <w:sz w:val="21"/>
                <w:szCs w:val="21"/>
                <w:highlight w:val="none"/>
                <w:lang w:val="en-US" w:eastAsia="zh-CN" w:bidi="ar-SA"/>
              </w:rPr>
            </w:pPr>
            <w:r>
              <w:rPr>
                <w:rStyle w:val="10"/>
                <w:rFonts w:hint="default" w:ascii="Times New Roman" w:hAnsi="Times New Roman" w:eastAsia="宋体" w:cs="Times New Roman"/>
                <w:sz w:val="21"/>
                <w:szCs w:val="21"/>
              </w:rPr>
              <w:t>中切机</w:t>
            </w:r>
          </w:p>
        </w:tc>
        <w:tc>
          <w:tcPr>
            <w:tcW w:w="937" w:type="dxa"/>
            <w:noWrap/>
            <w:vAlign w:val="center"/>
          </w:tcPr>
          <w:p>
            <w:pPr>
              <w:keepNext w:val="0"/>
              <w:keepLines w:val="0"/>
              <w:pageBreakBefore w:val="0"/>
              <w:kinsoku/>
              <w:wordWrap/>
              <w:overflowPunct/>
              <w:topLinePunct w:val="0"/>
              <w:bidi w:val="0"/>
              <w:adjustRightInd/>
              <w:snapToGrid/>
              <w:jc w:val="center"/>
              <w:outlineLvl w:val="9"/>
              <w:rPr>
                <w:rFonts w:hint="eastAsia"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3</w:t>
            </w:r>
          </w:p>
        </w:tc>
        <w:tc>
          <w:tcPr>
            <w:tcW w:w="2316" w:type="dxa"/>
            <w:noWrap/>
            <w:vAlign w:val="center"/>
          </w:tcPr>
          <w:p>
            <w:pPr>
              <w:keepNext w:val="0"/>
              <w:keepLines w:val="0"/>
              <w:pageBreakBefore w:val="0"/>
              <w:kinsoku/>
              <w:wordWrap/>
              <w:overflowPunct/>
              <w:topLinePunct w:val="0"/>
              <w:bidi w:val="0"/>
              <w:adjustRightInd/>
              <w:snapToGrid/>
              <w:jc w:val="center"/>
              <w:outlineLvl w:val="9"/>
              <w:rPr>
                <w:rStyle w:val="10"/>
              </w:rPr>
            </w:pPr>
            <w:r>
              <w:rPr>
                <w:rStyle w:val="10"/>
                <w:rFonts w:hint="default" w:ascii="Times New Roman" w:hAnsi="Times New Roman" w:eastAsia="宋体" w:cs="Times New Roman"/>
                <w:sz w:val="21"/>
                <w:szCs w:val="21"/>
              </w:rPr>
              <w:t>中切机</w:t>
            </w:r>
          </w:p>
        </w:tc>
        <w:tc>
          <w:tcPr>
            <w:tcW w:w="815" w:type="dxa"/>
            <w:noWrap/>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szCs w:val="21"/>
              </w:rPr>
            </w:pPr>
            <w:r>
              <w:rPr>
                <w:rFonts w:hint="eastAsia" w:cs="Times New Roman"/>
                <w:color w:val="auto"/>
                <w:kern w:val="0"/>
                <w:sz w:val="21"/>
                <w:szCs w:val="21"/>
                <w:highlight w:val="none"/>
                <w:lang w:val="en-US" w:eastAsia="zh-CN"/>
              </w:rPr>
              <w:t>0</w:t>
            </w:r>
          </w:p>
        </w:tc>
        <w:tc>
          <w:tcPr>
            <w:tcW w:w="3101" w:type="dxa"/>
            <w:vMerge w:val="continue"/>
            <w:noWrap/>
            <w:vAlign w:val="center"/>
          </w:tcPr>
          <w:p>
            <w:pPr>
              <w:pStyle w:val="11"/>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583" w:type="dxa"/>
            <w:noWrap/>
            <w:vAlign w:val="center"/>
          </w:tcPr>
          <w:p>
            <w:pPr>
              <w:keepNext w:val="0"/>
              <w:keepLines w:val="0"/>
              <w:pageBreakBefore w:val="0"/>
              <w:kinsoku/>
              <w:wordWrap/>
              <w:overflowPunct/>
              <w:topLinePunct w:val="0"/>
              <w:bidi w:val="0"/>
              <w:adjustRightInd/>
              <w:snapToGrid/>
              <w:jc w:val="center"/>
              <w:outlineLvl w:val="9"/>
              <w:rPr>
                <w:rFonts w:hint="eastAsia" w:ascii="Times New Roman" w:hAnsi="Times New Roman" w:eastAsia="宋体" w:cs="Times New Roman"/>
                <w:kern w:val="0"/>
                <w:sz w:val="21"/>
                <w:szCs w:val="21"/>
                <w:highlight w:val="none"/>
                <w:lang w:val="en-US" w:eastAsia="zh-CN" w:bidi="ar-SA"/>
              </w:rPr>
            </w:pPr>
            <w:r>
              <w:rPr>
                <w:rStyle w:val="10"/>
                <w:rFonts w:hint="default" w:ascii="Times New Roman" w:hAnsi="Times New Roman" w:eastAsia="宋体" w:cs="Times New Roman"/>
                <w:sz w:val="21"/>
                <w:szCs w:val="21"/>
              </w:rPr>
              <w:t>对剖机</w:t>
            </w:r>
          </w:p>
        </w:tc>
        <w:tc>
          <w:tcPr>
            <w:tcW w:w="937" w:type="dxa"/>
            <w:noWrap/>
            <w:vAlign w:val="center"/>
          </w:tcPr>
          <w:p>
            <w:pPr>
              <w:keepNext w:val="0"/>
              <w:keepLines w:val="0"/>
              <w:pageBreakBefore w:val="0"/>
              <w:kinsoku/>
              <w:wordWrap/>
              <w:overflowPunct/>
              <w:topLinePunct w:val="0"/>
              <w:bidi w:val="0"/>
              <w:adjustRightInd/>
              <w:snapToGrid/>
              <w:jc w:val="center"/>
              <w:outlineLvl w:val="9"/>
              <w:rPr>
                <w:rFonts w:hint="eastAsia"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8</w:t>
            </w:r>
          </w:p>
        </w:tc>
        <w:tc>
          <w:tcPr>
            <w:tcW w:w="2316" w:type="dxa"/>
            <w:noWrap/>
            <w:vAlign w:val="center"/>
          </w:tcPr>
          <w:p>
            <w:pPr>
              <w:keepNext w:val="0"/>
              <w:keepLines w:val="0"/>
              <w:pageBreakBefore w:val="0"/>
              <w:kinsoku/>
              <w:wordWrap/>
              <w:overflowPunct/>
              <w:topLinePunct w:val="0"/>
              <w:bidi w:val="0"/>
              <w:adjustRightInd/>
              <w:snapToGrid/>
              <w:jc w:val="center"/>
              <w:outlineLvl w:val="9"/>
              <w:rPr>
                <w:rFonts w:hint="eastAsia"/>
                <w:kern w:val="0"/>
                <w:szCs w:val="21"/>
              </w:rPr>
            </w:pPr>
            <w:r>
              <w:rPr>
                <w:rStyle w:val="10"/>
                <w:rFonts w:hint="default" w:ascii="Times New Roman" w:hAnsi="Times New Roman" w:eastAsia="宋体" w:cs="Times New Roman"/>
                <w:sz w:val="21"/>
                <w:szCs w:val="21"/>
              </w:rPr>
              <w:t>对剖机</w:t>
            </w:r>
          </w:p>
        </w:tc>
        <w:tc>
          <w:tcPr>
            <w:tcW w:w="815" w:type="dxa"/>
            <w:noWrap/>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lang w:val="en-US" w:eastAsia="zh-CN"/>
              </w:rPr>
            </w:pPr>
            <w:r>
              <w:rPr>
                <w:rFonts w:hint="default" w:ascii="Times New Roman" w:hAnsi="Times New Roman" w:eastAsia="宋体" w:cs="Times New Roman"/>
                <w:color w:val="auto"/>
                <w:kern w:val="0"/>
                <w:sz w:val="21"/>
                <w:szCs w:val="21"/>
                <w:highlight w:val="none"/>
                <w:lang w:val="en-US" w:eastAsia="zh-CN"/>
              </w:rPr>
              <w:t>0</w:t>
            </w:r>
          </w:p>
        </w:tc>
        <w:tc>
          <w:tcPr>
            <w:tcW w:w="3101" w:type="dxa"/>
            <w:vMerge w:val="continue"/>
            <w:noWrap/>
            <w:vAlign w:val="center"/>
          </w:tcPr>
          <w:p>
            <w:pPr>
              <w:pStyle w:val="11"/>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583" w:type="dxa"/>
            <w:noWrap/>
            <w:vAlign w:val="center"/>
          </w:tcPr>
          <w:p>
            <w:pPr>
              <w:keepNext w:val="0"/>
              <w:keepLines w:val="0"/>
              <w:pageBreakBefore w:val="0"/>
              <w:kinsoku/>
              <w:wordWrap/>
              <w:overflowPunct/>
              <w:topLinePunct w:val="0"/>
              <w:bidi w:val="0"/>
              <w:adjustRightInd/>
              <w:snapToGrid/>
              <w:jc w:val="center"/>
              <w:outlineLvl w:val="9"/>
              <w:rPr>
                <w:rFonts w:hint="eastAsia" w:ascii="Times New Roman" w:hAnsi="Times New Roman" w:eastAsia="宋体" w:cs="Times New Roman"/>
                <w:kern w:val="0"/>
                <w:sz w:val="21"/>
                <w:szCs w:val="21"/>
                <w:highlight w:val="none"/>
                <w:lang w:val="en-US" w:eastAsia="zh-CN" w:bidi="ar-SA"/>
              </w:rPr>
            </w:pPr>
            <w:r>
              <w:rPr>
                <w:rStyle w:val="10"/>
                <w:rFonts w:hint="default" w:ascii="Times New Roman" w:hAnsi="Times New Roman" w:eastAsia="宋体" w:cs="Times New Roman"/>
                <w:sz w:val="21"/>
                <w:szCs w:val="21"/>
              </w:rPr>
              <w:t>烘干线（液化气）</w:t>
            </w:r>
          </w:p>
        </w:tc>
        <w:tc>
          <w:tcPr>
            <w:tcW w:w="937" w:type="dxa"/>
            <w:noWrap/>
            <w:vAlign w:val="center"/>
          </w:tcPr>
          <w:p>
            <w:pPr>
              <w:keepNext w:val="0"/>
              <w:keepLines w:val="0"/>
              <w:pageBreakBefore w:val="0"/>
              <w:kinsoku/>
              <w:wordWrap/>
              <w:overflowPunct/>
              <w:topLinePunct w:val="0"/>
              <w:bidi w:val="0"/>
              <w:adjustRightInd/>
              <w:snapToGrid/>
              <w:jc w:val="center"/>
              <w:outlineLvl w:val="9"/>
              <w:rPr>
                <w:rFonts w:hint="eastAsia"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1条</w:t>
            </w:r>
          </w:p>
        </w:tc>
        <w:tc>
          <w:tcPr>
            <w:tcW w:w="2316" w:type="dxa"/>
            <w:noWrap/>
            <w:vAlign w:val="center"/>
          </w:tcPr>
          <w:p>
            <w:pPr>
              <w:keepNext w:val="0"/>
              <w:keepLines w:val="0"/>
              <w:pageBreakBefore w:val="0"/>
              <w:kinsoku/>
              <w:wordWrap/>
              <w:overflowPunct/>
              <w:topLinePunct w:val="0"/>
              <w:bidi w:val="0"/>
              <w:adjustRightInd/>
              <w:snapToGrid/>
              <w:jc w:val="center"/>
              <w:outlineLvl w:val="9"/>
              <w:rPr>
                <w:rFonts w:hint="eastAsia"/>
                <w:kern w:val="0"/>
                <w:szCs w:val="21"/>
              </w:rPr>
            </w:pPr>
            <w:r>
              <w:rPr>
                <w:rStyle w:val="10"/>
                <w:rFonts w:hint="default" w:ascii="Times New Roman" w:hAnsi="Times New Roman" w:eastAsia="宋体" w:cs="Times New Roman"/>
                <w:sz w:val="21"/>
                <w:szCs w:val="21"/>
              </w:rPr>
              <w:t>烘干线（液化气）</w:t>
            </w:r>
          </w:p>
        </w:tc>
        <w:tc>
          <w:tcPr>
            <w:tcW w:w="815" w:type="dxa"/>
            <w:noWrap/>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lang w:val="en-US" w:eastAsia="zh-CN"/>
              </w:rPr>
            </w:pPr>
            <w:r>
              <w:rPr>
                <w:rFonts w:hint="default" w:ascii="Times New Roman" w:hAnsi="Times New Roman" w:eastAsia="宋体" w:cs="Times New Roman"/>
                <w:color w:val="auto"/>
                <w:kern w:val="0"/>
                <w:sz w:val="21"/>
                <w:szCs w:val="21"/>
                <w:highlight w:val="none"/>
                <w:lang w:val="en-US" w:eastAsia="zh-CN"/>
              </w:rPr>
              <w:t>0</w:t>
            </w:r>
            <w:r>
              <w:rPr>
                <w:rFonts w:hint="eastAsia" w:ascii="Times New Roman" w:hAnsi="Times New Roman" w:cs="Times New Roman"/>
                <w:color w:val="auto"/>
                <w:kern w:val="0"/>
                <w:sz w:val="21"/>
                <w:szCs w:val="21"/>
                <w:highlight w:val="none"/>
                <w:lang w:val="en-US" w:eastAsia="zh-CN"/>
              </w:rPr>
              <w:t>条</w:t>
            </w:r>
          </w:p>
        </w:tc>
        <w:tc>
          <w:tcPr>
            <w:tcW w:w="3101" w:type="dxa"/>
            <w:vMerge w:val="continue"/>
            <w:noWrap/>
            <w:vAlign w:val="center"/>
          </w:tcPr>
          <w:p>
            <w:pPr>
              <w:pStyle w:val="11"/>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583" w:type="dxa"/>
            <w:noWrap/>
            <w:vAlign w:val="center"/>
          </w:tcPr>
          <w:p>
            <w:pPr>
              <w:keepNext w:val="0"/>
              <w:keepLines w:val="0"/>
              <w:pageBreakBefore w:val="0"/>
              <w:kinsoku/>
              <w:wordWrap/>
              <w:overflowPunct/>
              <w:topLinePunct w:val="0"/>
              <w:bidi w:val="0"/>
              <w:adjustRightInd/>
              <w:snapToGrid/>
              <w:jc w:val="center"/>
              <w:outlineLvl w:val="9"/>
              <w:rPr>
                <w:rFonts w:hint="eastAsia" w:ascii="Times New Roman" w:hAnsi="Times New Roman" w:eastAsia="宋体" w:cs="Times New Roman"/>
                <w:kern w:val="0"/>
                <w:sz w:val="21"/>
                <w:szCs w:val="21"/>
                <w:highlight w:val="none"/>
                <w:lang w:val="en-US" w:eastAsia="zh-CN" w:bidi="ar-SA"/>
              </w:rPr>
            </w:pPr>
            <w:r>
              <w:rPr>
                <w:rStyle w:val="10"/>
                <w:rFonts w:hint="default" w:ascii="Times New Roman" w:hAnsi="Times New Roman" w:eastAsia="宋体" w:cs="Times New Roman"/>
                <w:sz w:val="21"/>
                <w:szCs w:val="21"/>
              </w:rPr>
              <w:t>水刀拼花机</w:t>
            </w:r>
          </w:p>
        </w:tc>
        <w:tc>
          <w:tcPr>
            <w:tcW w:w="937" w:type="dxa"/>
            <w:noWrap/>
            <w:vAlign w:val="center"/>
          </w:tcPr>
          <w:p>
            <w:pPr>
              <w:keepNext w:val="0"/>
              <w:keepLines w:val="0"/>
              <w:pageBreakBefore w:val="0"/>
              <w:kinsoku/>
              <w:wordWrap/>
              <w:overflowPunct/>
              <w:topLinePunct w:val="0"/>
              <w:bidi w:val="0"/>
              <w:adjustRightInd/>
              <w:snapToGrid/>
              <w:jc w:val="center"/>
              <w:outlineLvl w:val="9"/>
              <w:rPr>
                <w:rFonts w:hint="eastAsia"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8</w:t>
            </w:r>
          </w:p>
        </w:tc>
        <w:tc>
          <w:tcPr>
            <w:tcW w:w="2316" w:type="dxa"/>
            <w:noWrap/>
            <w:vAlign w:val="center"/>
          </w:tcPr>
          <w:p>
            <w:pPr>
              <w:keepNext w:val="0"/>
              <w:keepLines w:val="0"/>
              <w:pageBreakBefore w:val="0"/>
              <w:kinsoku/>
              <w:wordWrap/>
              <w:overflowPunct/>
              <w:topLinePunct w:val="0"/>
              <w:bidi w:val="0"/>
              <w:adjustRightInd/>
              <w:snapToGrid/>
              <w:jc w:val="center"/>
              <w:outlineLvl w:val="9"/>
              <w:rPr>
                <w:rFonts w:hint="eastAsia"/>
                <w:kern w:val="0"/>
                <w:szCs w:val="21"/>
              </w:rPr>
            </w:pPr>
            <w:r>
              <w:rPr>
                <w:rStyle w:val="10"/>
                <w:rFonts w:hint="default" w:ascii="Times New Roman" w:hAnsi="Times New Roman" w:eastAsia="宋体" w:cs="Times New Roman"/>
                <w:sz w:val="21"/>
                <w:szCs w:val="21"/>
              </w:rPr>
              <w:t>水刀拼花机</w:t>
            </w:r>
          </w:p>
        </w:tc>
        <w:tc>
          <w:tcPr>
            <w:tcW w:w="815" w:type="dxa"/>
            <w:noWrap/>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lang w:val="en-US" w:eastAsia="zh-CN"/>
              </w:rPr>
            </w:pPr>
            <w:r>
              <w:rPr>
                <w:rFonts w:hint="default" w:ascii="Times New Roman" w:hAnsi="Times New Roman" w:eastAsia="宋体" w:cs="Times New Roman"/>
                <w:color w:val="auto"/>
                <w:kern w:val="0"/>
                <w:sz w:val="21"/>
                <w:szCs w:val="21"/>
                <w:highlight w:val="none"/>
                <w:lang w:val="en-US" w:eastAsia="zh-CN"/>
              </w:rPr>
              <w:t>0</w:t>
            </w:r>
          </w:p>
        </w:tc>
        <w:tc>
          <w:tcPr>
            <w:tcW w:w="3101" w:type="dxa"/>
            <w:vMerge w:val="continue"/>
            <w:noWrap/>
            <w:vAlign w:val="center"/>
          </w:tcPr>
          <w:p>
            <w:pPr>
              <w:pStyle w:val="11"/>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583" w:type="dxa"/>
            <w:noWrap/>
            <w:vAlign w:val="center"/>
          </w:tcPr>
          <w:p>
            <w:pPr>
              <w:keepNext w:val="0"/>
              <w:keepLines w:val="0"/>
              <w:pageBreakBefore w:val="0"/>
              <w:kinsoku/>
              <w:wordWrap/>
              <w:overflowPunct/>
              <w:topLinePunct w:val="0"/>
              <w:bidi w:val="0"/>
              <w:adjustRightInd/>
              <w:snapToGrid/>
              <w:jc w:val="center"/>
              <w:outlineLvl w:val="9"/>
              <w:rPr>
                <w:rFonts w:hint="eastAsia" w:ascii="Times New Roman" w:hAnsi="Times New Roman" w:eastAsia="宋体" w:cs="Times New Roman"/>
                <w:kern w:val="0"/>
                <w:sz w:val="21"/>
                <w:szCs w:val="21"/>
                <w:highlight w:val="none"/>
                <w:lang w:val="en-US" w:eastAsia="zh-CN" w:bidi="ar-SA"/>
              </w:rPr>
            </w:pPr>
            <w:r>
              <w:rPr>
                <w:rStyle w:val="10"/>
                <w:rFonts w:hint="default" w:ascii="Times New Roman" w:hAnsi="Times New Roman" w:eastAsia="宋体" w:cs="Times New Roman"/>
                <w:sz w:val="21"/>
                <w:szCs w:val="21"/>
              </w:rPr>
              <w:t>雕刻机</w:t>
            </w:r>
          </w:p>
        </w:tc>
        <w:tc>
          <w:tcPr>
            <w:tcW w:w="937" w:type="dxa"/>
            <w:noWrap/>
            <w:vAlign w:val="center"/>
          </w:tcPr>
          <w:p>
            <w:pPr>
              <w:keepNext w:val="0"/>
              <w:keepLines w:val="0"/>
              <w:pageBreakBefore w:val="0"/>
              <w:kinsoku/>
              <w:wordWrap/>
              <w:overflowPunct/>
              <w:topLinePunct w:val="0"/>
              <w:bidi w:val="0"/>
              <w:adjustRightInd/>
              <w:snapToGrid/>
              <w:jc w:val="center"/>
              <w:outlineLvl w:val="9"/>
              <w:rPr>
                <w:rFonts w:hint="eastAsia"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8</w:t>
            </w:r>
          </w:p>
        </w:tc>
        <w:tc>
          <w:tcPr>
            <w:tcW w:w="2316" w:type="dxa"/>
            <w:noWrap/>
            <w:vAlign w:val="center"/>
          </w:tcPr>
          <w:p>
            <w:pPr>
              <w:keepNext w:val="0"/>
              <w:keepLines w:val="0"/>
              <w:pageBreakBefore w:val="0"/>
              <w:kinsoku/>
              <w:wordWrap/>
              <w:overflowPunct/>
              <w:topLinePunct w:val="0"/>
              <w:bidi w:val="0"/>
              <w:adjustRightInd/>
              <w:snapToGrid/>
              <w:jc w:val="center"/>
              <w:outlineLvl w:val="9"/>
              <w:rPr>
                <w:rFonts w:hint="eastAsia"/>
                <w:kern w:val="0"/>
                <w:szCs w:val="21"/>
              </w:rPr>
            </w:pPr>
            <w:r>
              <w:rPr>
                <w:rStyle w:val="10"/>
                <w:rFonts w:hint="default" w:ascii="Times New Roman" w:hAnsi="Times New Roman" w:eastAsia="宋体" w:cs="Times New Roman"/>
                <w:sz w:val="21"/>
                <w:szCs w:val="21"/>
              </w:rPr>
              <w:t>雕刻机</w:t>
            </w:r>
          </w:p>
        </w:tc>
        <w:tc>
          <w:tcPr>
            <w:tcW w:w="815" w:type="dxa"/>
            <w:noWrap/>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lang w:val="en-US" w:eastAsia="zh-CN"/>
              </w:rPr>
            </w:pPr>
            <w:r>
              <w:rPr>
                <w:rFonts w:hint="default" w:ascii="Times New Roman" w:hAnsi="Times New Roman" w:eastAsia="宋体" w:cs="Times New Roman"/>
                <w:color w:val="auto"/>
                <w:kern w:val="0"/>
                <w:sz w:val="21"/>
                <w:szCs w:val="21"/>
                <w:highlight w:val="none"/>
                <w:lang w:val="en-US" w:eastAsia="zh-CN"/>
              </w:rPr>
              <w:t>2</w:t>
            </w:r>
          </w:p>
        </w:tc>
        <w:tc>
          <w:tcPr>
            <w:tcW w:w="3101" w:type="dxa"/>
            <w:vMerge w:val="continue"/>
            <w:noWrap/>
            <w:vAlign w:val="center"/>
          </w:tcPr>
          <w:p>
            <w:pPr>
              <w:pStyle w:val="11"/>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583" w:type="dxa"/>
            <w:noWrap/>
            <w:vAlign w:val="center"/>
          </w:tcPr>
          <w:p>
            <w:pPr>
              <w:keepNext w:val="0"/>
              <w:keepLines w:val="0"/>
              <w:pageBreakBefore w:val="0"/>
              <w:kinsoku/>
              <w:wordWrap/>
              <w:overflowPunct/>
              <w:topLinePunct w:val="0"/>
              <w:bidi w:val="0"/>
              <w:adjustRightInd/>
              <w:snapToGrid/>
              <w:jc w:val="center"/>
              <w:outlineLvl w:val="9"/>
              <w:rPr>
                <w:rFonts w:hint="eastAsia" w:ascii="Times New Roman" w:hAnsi="Times New Roman" w:eastAsia="宋体" w:cs="Times New Roman"/>
                <w:kern w:val="0"/>
                <w:sz w:val="21"/>
                <w:szCs w:val="21"/>
                <w:highlight w:val="none"/>
                <w:lang w:val="en-US" w:eastAsia="zh-CN" w:bidi="ar-SA"/>
              </w:rPr>
            </w:pPr>
            <w:r>
              <w:rPr>
                <w:rStyle w:val="10"/>
                <w:rFonts w:hint="default" w:ascii="Times New Roman" w:hAnsi="Times New Roman" w:eastAsia="宋体" w:cs="Times New Roman"/>
                <w:sz w:val="21"/>
                <w:szCs w:val="21"/>
              </w:rPr>
              <w:t>打蜡机</w:t>
            </w:r>
          </w:p>
        </w:tc>
        <w:tc>
          <w:tcPr>
            <w:tcW w:w="937" w:type="dxa"/>
            <w:noWrap/>
            <w:vAlign w:val="center"/>
          </w:tcPr>
          <w:p>
            <w:pPr>
              <w:keepNext w:val="0"/>
              <w:keepLines w:val="0"/>
              <w:pageBreakBefore w:val="0"/>
              <w:kinsoku/>
              <w:wordWrap/>
              <w:overflowPunct/>
              <w:topLinePunct w:val="0"/>
              <w:bidi w:val="0"/>
              <w:adjustRightInd/>
              <w:snapToGrid/>
              <w:jc w:val="center"/>
              <w:outlineLvl w:val="9"/>
              <w:rPr>
                <w:rFonts w:hint="eastAsia"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2</w:t>
            </w:r>
          </w:p>
        </w:tc>
        <w:tc>
          <w:tcPr>
            <w:tcW w:w="2316" w:type="dxa"/>
            <w:noWrap/>
            <w:vAlign w:val="center"/>
          </w:tcPr>
          <w:p>
            <w:pPr>
              <w:keepNext w:val="0"/>
              <w:keepLines w:val="0"/>
              <w:pageBreakBefore w:val="0"/>
              <w:kinsoku/>
              <w:wordWrap/>
              <w:overflowPunct/>
              <w:topLinePunct w:val="0"/>
              <w:bidi w:val="0"/>
              <w:adjustRightInd/>
              <w:snapToGrid/>
              <w:jc w:val="center"/>
              <w:outlineLvl w:val="9"/>
              <w:rPr>
                <w:rFonts w:hint="eastAsia"/>
                <w:kern w:val="0"/>
                <w:szCs w:val="21"/>
              </w:rPr>
            </w:pPr>
            <w:r>
              <w:rPr>
                <w:rStyle w:val="10"/>
                <w:rFonts w:hint="default" w:ascii="Times New Roman" w:hAnsi="Times New Roman" w:eastAsia="宋体" w:cs="Times New Roman"/>
                <w:sz w:val="21"/>
                <w:szCs w:val="21"/>
              </w:rPr>
              <w:t>打蜡机</w:t>
            </w:r>
          </w:p>
        </w:tc>
        <w:tc>
          <w:tcPr>
            <w:tcW w:w="815" w:type="dxa"/>
            <w:noWrap/>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lang w:val="en-US" w:eastAsia="zh-CN"/>
              </w:rPr>
            </w:pPr>
            <w:r>
              <w:rPr>
                <w:rFonts w:hint="eastAsia" w:cs="Times New Roman"/>
                <w:color w:val="auto"/>
                <w:kern w:val="0"/>
                <w:sz w:val="21"/>
                <w:szCs w:val="21"/>
                <w:highlight w:val="none"/>
                <w:lang w:val="en-US" w:eastAsia="zh-CN"/>
              </w:rPr>
              <w:t>0</w:t>
            </w:r>
          </w:p>
        </w:tc>
        <w:tc>
          <w:tcPr>
            <w:tcW w:w="3101" w:type="dxa"/>
            <w:vMerge w:val="continue"/>
            <w:noWrap/>
            <w:vAlign w:val="center"/>
          </w:tcPr>
          <w:p>
            <w:pPr>
              <w:pStyle w:val="11"/>
              <w:spacing w:line="240" w:lineRule="auto"/>
              <w:ind w:firstLine="0" w:firstLineChars="0"/>
              <w:rPr>
                <w:sz w:val="21"/>
                <w:szCs w:val="21"/>
              </w:rPr>
            </w:pPr>
          </w:p>
        </w:tc>
      </w:tr>
    </w:tbl>
    <w:p>
      <w:pPr>
        <w:spacing w:line="360" w:lineRule="auto"/>
        <w:rPr>
          <w:b/>
          <w:bCs/>
          <w:sz w:val="28"/>
          <w:szCs w:val="28"/>
        </w:rPr>
      </w:pPr>
      <w:r>
        <w:rPr>
          <w:rFonts w:hint="eastAsia"/>
          <w:b/>
          <w:bCs/>
          <w:sz w:val="28"/>
          <w:szCs w:val="28"/>
        </w:rPr>
        <w:t>三、环境保护设施建设情况</w:t>
      </w:r>
    </w:p>
    <w:p>
      <w:pPr>
        <w:spacing w:line="360" w:lineRule="auto"/>
        <w:rPr>
          <w:b/>
          <w:bCs/>
          <w:sz w:val="24"/>
          <w:szCs w:val="24"/>
        </w:rPr>
      </w:pPr>
      <w:r>
        <w:rPr>
          <w:b/>
          <w:bCs/>
          <w:sz w:val="24"/>
          <w:szCs w:val="24"/>
        </w:rPr>
        <w:t>（一）废水</w:t>
      </w:r>
    </w:p>
    <w:p>
      <w:pPr>
        <w:pStyle w:val="7"/>
        <w:widowControl w:val="0"/>
        <w:ind w:left="0" w:right="0" w:rightChars="0" w:firstLine="480" w:firstLineChars="200"/>
        <w:rPr>
          <w:rFonts w:ascii="Times New Roman" w:eastAsia="宋体"/>
          <w:kern w:val="2"/>
          <w:sz w:val="24"/>
          <w:szCs w:val="24"/>
        </w:rPr>
      </w:pPr>
      <w:r>
        <w:rPr>
          <w:rFonts w:ascii="Times New Roman" w:eastAsia="宋体"/>
          <w:kern w:val="2"/>
          <w:sz w:val="24"/>
          <w:szCs w:val="24"/>
        </w:rPr>
        <w:t>生产废水：项目</w:t>
      </w:r>
      <w:r>
        <w:rPr>
          <w:rFonts w:hint="eastAsia" w:ascii="Times New Roman" w:eastAsia="宋体"/>
          <w:kern w:val="2"/>
          <w:sz w:val="24"/>
          <w:szCs w:val="24"/>
        </w:rPr>
        <w:t>第二阶段工程</w:t>
      </w:r>
      <w:r>
        <w:rPr>
          <w:rFonts w:ascii="Times New Roman" w:eastAsia="宋体"/>
          <w:kern w:val="2"/>
          <w:sz w:val="24"/>
          <w:szCs w:val="24"/>
        </w:rPr>
        <w:t>生产废水主要</w:t>
      </w:r>
      <w:r>
        <w:rPr>
          <w:rFonts w:hint="eastAsia" w:ascii="Times New Roman" w:eastAsia="宋体"/>
          <w:kern w:val="2"/>
          <w:sz w:val="24"/>
          <w:szCs w:val="24"/>
        </w:rPr>
        <w:t>为</w:t>
      </w:r>
      <w:r>
        <w:rPr>
          <w:rFonts w:ascii="Times New Roman" w:eastAsia="宋体"/>
          <w:kern w:val="2"/>
          <w:sz w:val="24"/>
          <w:szCs w:val="24"/>
        </w:rPr>
        <w:t>切割、磨光等工序的喷淋冷却水。生产废水主要污染物为悬浮物，经沉淀处理后回用于生产，不外排。生</w:t>
      </w:r>
      <w:r>
        <w:rPr>
          <w:rFonts w:ascii="Times New Roman" w:eastAsia="宋体"/>
          <w:sz w:val="24"/>
          <w:szCs w:val="24"/>
        </w:rPr>
        <w:t>产</w:t>
      </w:r>
      <w:r>
        <w:rPr>
          <w:rFonts w:hint="eastAsia" w:ascii="Times New Roman" w:eastAsia="宋体"/>
          <w:sz w:val="24"/>
          <w:szCs w:val="24"/>
        </w:rPr>
        <w:t>用水量</w:t>
      </w:r>
      <w:r>
        <w:rPr>
          <w:rFonts w:hint="eastAsia" w:ascii="Times New Roman" w:eastAsia="宋体"/>
          <w:sz w:val="24"/>
          <w:szCs w:val="24"/>
          <w:lang w:val="en-US" w:eastAsia="zh-CN"/>
        </w:rPr>
        <w:t>76.3m</w:t>
      </w:r>
      <w:r>
        <w:rPr>
          <w:rFonts w:hint="eastAsia" w:ascii="Times New Roman" w:eastAsia="宋体"/>
          <w:sz w:val="24"/>
          <w:szCs w:val="24"/>
          <w:vertAlign w:val="superscript"/>
          <w:lang w:val="en-US" w:eastAsia="zh-CN"/>
        </w:rPr>
        <w:t>3</w:t>
      </w:r>
      <w:r>
        <w:rPr>
          <w:rFonts w:ascii="Times New Roman" w:eastAsia="宋体"/>
          <w:sz w:val="24"/>
          <w:szCs w:val="24"/>
        </w:rPr>
        <w:t>/d</w:t>
      </w:r>
      <w:r>
        <w:rPr>
          <w:rFonts w:hint="eastAsia" w:ascii="Times New Roman" w:eastAsia="宋体"/>
          <w:sz w:val="24"/>
          <w:szCs w:val="24"/>
        </w:rPr>
        <w:t>（</w:t>
      </w:r>
      <w:r>
        <w:rPr>
          <w:rFonts w:hint="eastAsia" w:ascii="Times New Roman" w:eastAsia="宋体"/>
          <w:sz w:val="24"/>
          <w:szCs w:val="24"/>
          <w:lang w:val="en-US" w:eastAsia="zh-CN"/>
        </w:rPr>
        <w:t>22890m</w:t>
      </w:r>
      <w:r>
        <w:rPr>
          <w:rFonts w:hint="eastAsia" w:ascii="Times New Roman" w:eastAsia="宋体"/>
          <w:sz w:val="24"/>
          <w:szCs w:val="24"/>
          <w:vertAlign w:val="superscript"/>
          <w:lang w:val="en-US" w:eastAsia="zh-CN"/>
        </w:rPr>
        <w:t>3</w:t>
      </w:r>
      <w:r>
        <w:rPr>
          <w:rFonts w:hint="eastAsia" w:ascii="Times New Roman" w:eastAsia="宋体"/>
          <w:sz w:val="24"/>
          <w:szCs w:val="24"/>
        </w:rPr>
        <w:t>/a）</w:t>
      </w:r>
      <w:r>
        <w:rPr>
          <w:rFonts w:ascii="Times New Roman" w:eastAsia="宋体"/>
          <w:sz w:val="24"/>
          <w:szCs w:val="24"/>
        </w:rPr>
        <w:t>，</w:t>
      </w:r>
      <w:r>
        <w:rPr>
          <w:rFonts w:ascii="Times New Roman" w:eastAsia="宋体"/>
          <w:kern w:val="2"/>
          <w:sz w:val="24"/>
          <w:szCs w:val="24"/>
        </w:rPr>
        <w:t>项目配备</w:t>
      </w:r>
      <w:r>
        <w:rPr>
          <w:rFonts w:ascii="Times New Roman" w:eastAsia="宋体"/>
          <w:sz w:val="24"/>
          <w:szCs w:val="24"/>
        </w:rPr>
        <w:t>沉淀池容积</w:t>
      </w:r>
      <w:r>
        <w:rPr>
          <w:rFonts w:hint="eastAsia" w:ascii="Times New Roman" w:eastAsia="宋体"/>
          <w:sz w:val="24"/>
          <w:szCs w:val="24"/>
          <w:lang w:val="en-US" w:eastAsia="zh-CN"/>
        </w:rPr>
        <w:t>2128.5</w:t>
      </w:r>
      <w:r>
        <w:rPr>
          <w:rFonts w:hint="eastAsia" w:ascii="Times New Roman" w:eastAsia="宋体"/>
          <w:sz w:val="24"/>
          <w:szCs w:val="24"/>
        </w:rPr>
        <w:t>m</w:t>
      </w:r>
      <w:r>
        <w:rPr>
          <w:rFonts w:ascii="Times New Roman" w:eastAsia="宋体"/>
          <w:sz w:val="24"/>
          <w:szCs w:val="24"/>
          <w:vertAlign w:val="superscript"/>
        </w:rPr>
        <w:t>3</w:t>
      </w:r>
      <w:r>
        <w:rPr>
          <w:rFonts w:ascii="Times New Roman" w:eastAsia="宋体"/>
          <w:kern w:val="2"/>
          <w:sz w:val="24"/>
          <w:szCs w:val="24"/>
        </w:rPr>
        <w:t>，项目无生产废水外排。</w:t>
      </w:r>
    </w:p>
    <w:p>
      <w:pPr>
        <w:pStyle w:val="7"/>
        <w:widowControl w:val="0"/>
        <w:ind w:left="0" w:right="0" w:rightChars="0" w:firstLine="480" w:firstLineChars="200"/>
        <w:rPr>
          <w:rFonts w:hint="eastAsia" w:ascii="Times New Roman" w:eastAsia="宋体"/>
          <w:kern w:val="2"/>
          <w:sz w:val="24"/>
          <w:szCs w:val="24"/>
          <w:lang w:eastAsia="zh-CN"/>
        </w:rPr>
      </w:pPr>
      <w:r>
        <w:rPr>
          <w:rFonts w:ascii="Times New Roman" w:eastAsia="宋体"/>
          <w:kern w:val="2"/>
          <w:sz w:val="24"/>
          <w:szCs w:val="24"/>
        </w:rPr>
        <w:t>生活污水：项目</w:t>
      </w:r>
      <w:r>
        <w:rPr>
          <w:rFonts w:hint="eastAsia" w:ascii="Times New Roman" w:eastAsia="宋体"/>
          <w:kern w:val="2"/>
          <w:sz w:val="24"/>
          <w:szCs w:val="24"/>
        </w:rPr>
        <w:t>第二阶段工程</w:t>
      </w:r>
      <w:r>
        <w:rPr>
          <w:rFonts w:ascii="Times New Roman" w:eastAsia="宋体"/>
          <w:kern w:val="2"/>
          <w:sz w:val="24"/>
          <w:szCs w:val="24"/>
        </w:rPr>
        <w:t>生活污水产生</w:t>
      </w:r>
      <w:r>
        <w:rPr>
          <w:rFonts w:hint="eastAsia" w:ascii="Times New Roman" w:eastAsia="宋体"/>
          <w:sz w:val="24"/>
          <w:szCs w:val="24"/>
        </w:rPr>
        <w:t>量为</w:t>
      </w:r>
      <w:r>
        <w:rPr>
          <w:rFonts w:hint="eastAsia" w:ascii="Times New Roman" w:eastAsia="宋体"/>
          <w:sz w:val="24"/>
          <w:szCs w:val="24"/>
          <w:lang w:val="en-US" w:eastAsia="zh-CN"/>
        </w:rPr>
        <w:t>1215m</w:t>
      </w:r>
      <w:r>
        <w:rPr>
          <w:rFonts w:hint="eastAsia" w:ascii="Times New Roman" w:eastAsia="宋体"/>
          <w:sz w:val="24"/>
          <w:szCs w:val="24"/>
          <w:vertAlign w:val="superscript"/>
          <w:lang w:val="en-US" w:eastAsia="zh-CN"/>
        </w:rPr>
        <w:t>3</w:t>
      </w:r>
      <w:r>
        <w:rPr>
          <w:rFonts w:hint="eastAsia" w:ascii="Times New Roman" w:eastAsia="宋体"/>
          <w:sz w:val="24"/>
          <w:szCs w:val="24"/>
        </w:rPr>
        <w:t>/a</w:t>
      </w:r>
      <w:r>
        <w:rPr>
          <w:rFonts w:ascii="Times New Roman" w:eastAsia="宋体"/>
          <w:kern w:val="2"/>
          <w:sz w:val="24"/>
          <w:szCs w:val="24"/>
        </w:rPr>
        <w:t>。</w:t>
      </w:r>
      <w:r>
        <w:rPr>
          <w:rFonts w:hint="eastAsia" w:ascii="Times New Roman" w:eastAsia="宋体"/>
          <w:kern w:val="2"/>
          <w:sz w:val="24"/>
          <w:szCs w:val="24"/>
          <w:lang w:eastAsia="zh-CN"/>
        </w:rPr>
        <w:t>生活污水经三级化粪池预处理后用于周边农田施肥。</w:t>
      </w:r>
    </w:p>
    <w:p>
      <w:pPr>
        <w:spacing w:line="360" w:lineRule="auto"/>
        <w:rPr>
          <w:b/>
          <w:bCs/>
          <w:sz w:val="24"/>
          <w:szCs w:val="24"/>
        </w:rPr>
      </w:pPr>
      <w:r>
        <w:rPr>
          <w:b/>
          <w:bCs/>
          <w:sz w:val="24"/>
          <w:szCs w:val="24"/>
        </w:rPr>
        <w:t>（二）废气</w:t>
      </w:r>
    </w:p>
    <w:p>
      <w:pPr>
        <w:spacing w:line="360" w:lineRule="auto"/>
        <w:ind w:firstLine="480" w:firstLineChars="200"/>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项目</w:t>
      </w:r>
      <w:r>
        <w:rPr>
          <w:rFonts w:hint="eastAsia" w:ascii="Times New Roman" w:eastAsia="宋体"/>
          <w:kern w:val="2"/>
          <w:sz w:val="24"/>
          <w:szCs w:val="24"/>
        </w:rPr>
        <w:t>第二阶段工程</w:t>
      </w:r>
      <w:r>
        <w:rPr>
          <w:rFonts w:hint="eastAsia" w:ascii="Times New Roman" w:hAnsi="Times New Roman" w:eastAsia="宋体" w:cs="Times New Roman"/>
          <w:kern w:val="0"/>
          <w:sz w:val="24"/>
          <w:szCs w:val="24"/>
          <w:lang w:val="en-US" w:eastAsia="zh-CN" w:bidi="ar-SA"/>
        </w:rPr>
        <w:t>切割工序采用喷淋法，粉尘颗粒物被水力捕集，进入沉淀池。项目生产过程中产生的粉尘废气主要为扬尘。</w:t>
      </w:r>
    </w:p>
    <w:p>
      <w:pPr>
        <w:spacing w:line="360" w:lineRule="auto"/>
        <w:ind w:firstLine="480" w:firstLineChars="200"/>
      </w:pPr>
      <w:r>
        <w:rPr>
          <w:rFonts w:hint="eastAsia" w:ascii="Times New Roman" w:hAnsi="Times New Roman" w:eastAsia="宋体" w:cs="Times New Roman"/>
          <w:kern w:val="0"/>
          <w:sz w:val="24"/>
          <w:szCs w:val="24"/>
          <w:lang w:val="en-US" w:eastAsia="zh-CN" w:bidi="ar-SA"/>
        </w:rPr>
        <w:t>项目</w:t>
      </w:r>
      <w:r>
        <w:rPr>
          <w:rFonts w:hint="eastAsia" w:ascii="Times New Roman" w:eastAsia="宋体"/>
          <w:kern w:val="2"/>
          <w:sz w:val="24"/>
          <w:szCs w:val="24"/>
        </w:rPr>
        <w:t>第二阶段工程</w:t>
      </w:r>
      <w:r>
        <w:rPr>
          <w:rFonts w:hint="eastAsia" w:cs="Times New Roman"/>
          <w:kern w:val="0"/>
          <w:sz w:val="24"/>
          <w:szCs w:val="24"/>
          <w:lang w:val="en-US" w:eastAsia="zh-CN" w:bidi="ar-SA"/>
        </w:rPr>
        <w:t>废气</w:t>
      </w:r>
      <w:r>
        <w:rPr>
          <w:rFonts w:hint="eastAsia" w:ascii="Times New Roman" w:hAnsi="Times New Roman" w:eastAsia="宋体" w:cs="Times New Roman"/>
          <w:kern w:val="0"/>
          <w:sz w:val="24"/>
          <w:szCs w:val="24"/>
          <w:lang w:val="en-US" w:eastAsia="zh-CN" w:bidi="ar-SA"/>
        </w:rPr>
        <w:t>主要为生产过程中水喷淋时溅出的少量含泥废水经晒干后遇风而产生的扬尘</w:t>
      </w:r>
      <w:r>
        <w:rPr>
          <w:rFonts w:hint="eastAsia" w:cs="Times New Roman"/>
          <w:kern w:val="0"/>
          <w:sz w:val="24"/>
          <w:szCs w:val="24"/>
          <w:lang w:val="en-US" w:eastAsia="zh-CN" w:bidi="ar-SA"/>
        </w:rPr>
        <w:t>和手工磨光粉尘</w:t>
      </w:r>
      <w:r>
        <w:rPr>
          <w:rFonts w:hint="eastAsia" w:ascii="Times New Roman" w:hAnsi="Times New Roman" w:eastAsia="宋体" w:cs="Times New Roman"/>
          <w:kern w:val="0"/>
          <w:sz w:val="24"/>
          <w:szCs w:val="24"/>
          <w:lang w:val="en-US" w:eastAsia="zh-CN" w:bidi="ar-SA"/>
        </w:rPr>
        <w:t>，污泥运输车泄露的污泥经晒干后遇风吹而产生的扬尘，以及成品与原材料表面、设备与车间地面的积尘因风吹而产生的扬尘。</w:t>
      </w:r>
      <w:r>
        <w:rPr>
          <w:rFonts w:hint="eastAsia" w:cs="Times New Roman"/>
          <w:kern w:val="0"/>
          <w:sz w:val="24"/>
          <w:szCs w:val="24"/>
          <w:lang w:val="en-US" w:eastAsia="zh-CN" w:bidi="ar-SA"/>
        </w:rPr>
        <w:t>粉尘废气</w:t>
      </w:r>
      <w:r>
        <w:rPr>
          <w:rFonts w:hint="eastAsia" w:ascii="Times New Roman" w:hAnsi="Times New Roman" w:eastAsia="宋体" w:cs="Times New Roman"/>
          <w:kern w:val="0"/>
          <w:sz w:val="24"/>
          <w:szCs w:val="24"/>
          <w:lang w:val="en-US" w:eastAsia="zh-CN" w:bidi="ar-SA"/>
        </w:rPr>
        <w:t>产生量较少，为无组织排放。</w:t>
      </w:r>
    </w:p>
    <w:p>
      <w:pPr>
        <w:numPr>
          <w:ilvl w:val="0"/>
          <w:numId w:val="1"/>
        </w:numPr>
        <w:spacing w:line="360" w:lineRule="auto"/>
        <w:rPr>
          <w:b/>
          <w:bCs/>
          <w:sz w:val="24"/>
          <w:szCs w:val="24"/>
        </w:rPr>
      </w:pPr>
      <w:r>
        <w:rPr>
          <w:b/>
          <w:bCs/>
          <w:sz w:val="24"/>
          <w:szCs w:val="24"/>
        </w:rPr>
        <w:t>噪声</w:t>
      </w:r>
    </w:p>
    <w:p>
      <w:pPr>
        <w:spacing w:line="360" w:lineRule="auto"/>
        <w:ind w:firstLine="480" w:firstLineChars="200"/>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项目</w:t>
      </w:r>
      <w:r>
        <w:rPr>
          <w:rFonts w:hint="eastAsia" w:ascii="Times New Roman" w:eastAsia="宋体"/>
          <w:kern w:val="2"/>
          <w:sz w:val="24"/>
          <w:szCs w:val="24"/>
        </w:rPr>
        <w:t>第二阶段工程</w:t>
      </w:r>
      <w:r>
        <w:rPr>
          <w:rFonts w:hint="eastAsia" w:ascii="Times New Roman" w:hAnsi="Times New Roman" w:eastAsia="宋体" w:cs="Times New Roman"/>
          <w:kern w:val="0"/>
          <w:sz w:val="24"/>
          <w:szCs w:val="24"/>
          <w:lang w:val="en-US" w:eastAsia="zh-CN" w:bidi="ar-SA"/>
        </w:rPr>
        <w:t>噪声主要为各种机械设备运行时产生的机械噪声，厂界噪声经厂房隔声和自然衰减后向厂界外排放，项目周边未有噪声敏感目标。</w:t>
      </w:r>
    </w:p>
    <w:p>
      <w:pPr>
        <w:numPr>
          <w:ilvl w:val="0"/>
          <w:numId w:val="1"/>
        </w:numPr>
        <w:spacing w:line="360" w:lineRule="auto"/>
        <w:rPr>
          <w:b/>
          <w:bCs/>
          <w:sz w:val="24"/>
          <w:szCs w:val="24"/>
        </w:rPr>
      </w:pPr>
      <w:r>
        <w:rPr>
          <w:b/>
          <w:bCs/>
          <w:sz w:val="24"/>
          <w:szCs w:val="24"/>
        </w:rPr>
        <w:t>固体废物</w:t>
      </w:r>
    </w:p>
    <w:p>
      <w:pPr>
        <w:pStyle w:val="14"/>
        <w:adjustRightInd/>
        <w:snapToGrid/>
        <w:spacing w:line="360" w:lineRule="auto"/>
        <w:ind w:firstLine="480" w:firstLineChars="200"/>
        <w:rPr>
          <w:rFonts w:eastAsia="宋体"/>
          <w:sz w:val="24"/>
          <w:szCs w:val="24"/>
        </w:rPr>
      </w:pPr>
      <w:r>
        <w:rPr>
          <w:rFonts w:eastAsia="宋体"/>
          <w:bCs/>
          <w:sz w:val="24"/>
          <w:szCs w:val="24"/>
        </w:rPr>
        <w:t>项目</w:t>
      </w:r>
      <w:r>
        <w:rPr>
          <w:rFonts w:hint="eastAsia" w:ascii="Times New Roman" w:eastAsia="宋体"/>
          <w:kern w:val="2"/>
          <w:sz w:val="24"/>
          <w:szCs w:val="24"/>
        </w:rPr>
        <w:t>第二阶段工程</w:t>
      </w:r>
      <w:r>
        <w:rPr>
          <w:rFonts w:hint="eastAsia" w:eastAsia="宋体"/>
          <w:bCs/>
          <w:sz w:val="24"/>
          <w:szCs w:val="24"/>
          <w:lang w:eastAsia="zh-CN"/>
        </w:rPr>
        <w:t>已设置一般</w:t>
      </w:r>
      <w:r>
        <w:rPr>
          <w:rFonts w:eastAsia="宋体"/>
          <w:bCs/>
          <w:sz w:val="24"/>
          <w:szCs w:val="24"/>
        </w:rPr>
        <w:t>固废</w:t>
      </w:r>
      <w:r>
        <w:rPr>
          <w:rFonts w:hint="eastAsia" w:eastAsia="宋体"/>
          <w:bCs/>
          <w:sz w:val="24"/>
          <w:szCs w:val="24"/>
          <w:lang w:eastAsia="zh-CN"/>
        </w:rPr>
        <w:t>场所</w:t>
      </w:r>
      <w:r>
        <w:rPr>
          <w:rFonts w:eastAsia="宋体"/>
          <w:bCs/>
          <w:sz w:val="24"/>
          <w:szCs w:val="24"/>
        </w:rPr>
        <w:t>及</w:t>
      </w:r>
      <w:r>
        <w:rPr>
          <w:rFonts w:hint="eastAsia" w:eastAsia="宋体"/>
          <w:bCs/>
          <w:sz w:val="24"/>
          <w:szCs w:val="24"/>
          <w:lang w:eastAsia="zh-CN"/>
        </w:rPr>
        <w:t>垃圾桶</w:t>
      </w:r>
      <w:r>
        <w:rPr>
          <w:rFonts w:eastAsia="宋体"/>
          <w:sz w:val="24"/>
          <w:szCs w:val="24"/>
        </w:rPr>
        <w:t>。</w:t>
      </w:r>
    </w:p>
    <w:p>
      <w:pPr>
        <w:pStyle w:val="11"/>
        <w:numPr>
          <w:ilvl w:val="0"/>
          <w:numId w:val="2"/>
        </w:numPr>
        <w:ind w:firstLine="480"/>
        <w:jc w:val="both"/>
      </w:pPr>
      <w:r>
        <w:rPr>
          <w:rFonts w:hint="eastAsia"/>
          <w:bCs/>
          <w:lang w:eastAsia="zh-CN"/>
        </w:rPr>
        <w:t>生产固废</w:t>
      </w:r>
    </w:p>
    <w:p>
      <w:pPr>
        <w:pStyle w:val="11"/>
        <w:keepNext w:val="0"/>
        <w:keepLines w:val="0"/>
        <w:pageBreakBefore w:val="0"/>
        <w:widowControl w:val="0"/>
        <w:kinsoku/>
        <w:wordWrap/>
        <w:overflowPunct/>
        <w:topLinePunct w:val="0"/>
        <w:autoSpaceDE/>
        <w:autoSpaceDN/>
        <w:bidi w:val="0"/>
        <w:adjustRightInd/>
        <w:snapToGrid/>
        <w:ind w:firstLine="480"/>
        <w:jc w:val="both"/>
        <w:textAlignment w:val="auto"/>
        <w:rPr>
          <w:rFonts w:hint="default" w:ascii="Times New Roman" w:hAnsi="Times New Roman" w:eastAsia="宋体" w:cs="Times New Roman"/>
          <w:highlight w:val="none"/>
        </w:rPr>
      </w:pPr>
      <w:r>
        <w:rPr>
          <w:rFonts w:hint="default" w:ascii="Times New Roman" w:hAnsi="Times New Roman" w:eastAsia="宋体" w:cs="Times New Roman"/>
        </w:rPr>
        <w:t>①边角料：根据</w:t>
      </w:r>
      <w:r>
        <w:rPr>
          <w:rFonts w:hint="default" w:ascii="Times New Roman" w:hAnsi="Times New Roman" w:eastAsia="宋体" w:cs="Times New Roman"/>
          <w:highlight w:val="none"/>
        </w:rPr>
        <w:t>统计，石材边角料</w:t>
      </w:r>
      <w:r>
        <w:rPr>
          <w:rFonts w:hint="default" w:ascii="Times New Roman" w:hAnsi="Times New Roman" w:eastAsia="宋体" w:cs="Times New Roman"/>
          <w:highlight w:val="none"/>
          <w:lang w:eastAsia="zh-CN"/>
        </w:rPr>
        <w:t>调试期间产生量为</w:t>
      </w:r>
      <w:r>
        <w:rPr>
          <w:rFonts w:hint="eastAsia" w:cs="Times New Roman"/>
          <w:color w:val="auto"/>
          <w:highlight w:val="none"/>
          <w:lang w:val="en-US" w:eastAsia="zh-CN"/>
        </w:rPr>
        <w:t>2.22t/d</w:t>
      </w:r>
      <w:r>
        <w:rPr>
          <w:rFonts w:hint="default" w:ascii="Times New Roman" w:hAnsi="Times New Roman" w:eastAsia="宋体" w:cs="Times New Roman"/>
          <w:color w:val="auto"/>
          <w:highlight w:val="none"/>
        </w:rPr>
        <w:t>，该边角料</w:t>
      </w:r>
      <w:r>
        <w:rPr>
          <w:rFonts w:hint="default" w:ascii="Times New Roman" w:hAnsi="Times New Roman" w:eastAsia="宋体" w:cs="Times New Roman"/>
          <w:color w:val="auto"/>
          <w:sz w:val="24"/>
          <w:highlight w:val="none"/>
        </w:rPr>
        <w:t>经集中收集后外售给</w:t>
      </w:r>
      <w:r>
        <w:rPr>
          <w:rFonts w:hint="default" w:ascii="Times New Roman" w:hAnsi="Times New Roman" w:eastAsia="宋体" w:cs="Times New Roman"/>
          <w:color w:val="auto"/>
          <w:sz w:val="24"/>
          <w:highlight w:val="none"/>
          <w:lang w:eastAsia="zh-CN"/>
        </w:rPr>
        <w:t>南安天绿建材有限公司加工利用</w:t>
      </w:r>
      <w:r>
        <w:rPr>
          <w:rFonts w:hint="default" w:ascii="Times New Roman" w:hAnsi="Times New Roman" w:eastAsia="宋体" w:cs="Times New Roman"/>
          <w:color w:val="auto"/>
          <w:highlight w:val="none"/>
        </w:rPr>
        <w:t>（详见附件</w:t>
      </w:r>
      <w:r>
        <w:rPr>
          <w:rFonts w:hint="eastAsia" w:cs="Times New Roman"/>
          <w:color w:val="auto"/>
          <w:highlight w:val="none"/>
          <w:lang w:val="en-US" w:eastAsia="zh-CN"/>
        </w:rPr>
        <w:t>8</w:t>
      </w:r>
      <w:r>
        <w:rPr>
          <w:rFonts w:hint="default" w:ascii="Times New Roman" w:hAnsi="Times New Roman" w:eastAsia="宋体" w:cs="Times New Roman"/>
          <w:color w:val="auto"/>
          <w:highlight w:val="none"/>
        </w:rPr>
        <w:t>）。</w:t>
      </w:r>
    </w:p>
    <w:p>
      <w:pPr>
        <w:pStyle w:val="11"/>
        <w:keepNext w:val="0"/>
        <w:keepLines w:val="0"/>
        <w:pageBreakBefore w:val="0"/>
        <w:widowControl w:val="0"/>
        <w:kinsoku/>
        <w:wordWrap/>
        <w:overflowPunct/>
        <w:topLinePunct w:val="0"/>
        <w:autoSpaceDE/>
        <w:autoSpaceDN/>
        <w:bidi w:val="0"/>
        <w:adjustRightInd/>
        <w:snapToGrid/>
        <w:ind w:firstLine="480"/>
        <w:jc w:val="both"/>
        <w:textAlignment w:val="auto"/>
        <w:rPr>
          <w:rFonts w:hint="default" w:ascii="Times New Roman" w:hAnsi="Times New Roman" w:eastAsia="宋体" w:cs="Times New Roman"/>
          <w:highlight w:val="none"/>
        </w:rPr>
      </w:pPr>
      <w:r>
        <w:rPr>
          <w:rFonts w:hint="default" w:ascii="Times New Roman" w:hAnsi="Times New Roman" w:eastAsia="宋体" w:cs="Times New Roman"/>
          <w:highlight w:val="none"/>
        </w:rPr>
        <w:t>②污泥：沉淀污泥来自于生产过程中产生的粉尘经水力捕集后于沉淀池中沉淀，该部分沉淀污泥</w:t>
      </w:r>
      <w:r>
        <w:rPr>
          <w:rFonts w:hint="default" w:ascii="Times New Roman" w:hAnsi="Times New Roman" w:eastAsia="宋体" w:cs="Times New Roman"/>
          <w:highlight w:val="none"/>
          <w:lang w:eastAsia="zh-CN"/>
        </w:rPr>
        <w:t>调试期间产生量为</w:t>
      </w:r>
      <w:r>
        <w:rPr>
          <w:rFonts w:hint="eastAsia" w:cs="Times New Roman"/>
          <w:color w:val="auto"/>
          <w:highlight w:val="none"/>
          <w:lang w:val="en-US" w:eastAsia="zh-CN"/>
        </w:rPr>
        <w:t>8.9t/d</w:t>
      </w:r>
      <w:r>
        <w:rPr>
          <w:rFonts w:hint="default" w:ascii="Times New Roman" w:hAnsi="Times New Roman" w:eastAsia="宋体" w:cs="Times New Roman"/>
          <w:color w:val="auto"/>
          <w:highlight w:val="none"/>
        </w:rPr>
        <w:t>，</w:t>
      </w:r>
      <w:r>
        <w:rPr>
          <w:rFonts w:hint="default" w:ascii="Times New Roman" w:hAnsi="Times New Roman" w:eastAsia="宋体" w:cs="Times New Roman"/>
          <w:highlight w:val="none"/>
        </w:rPr>
        <w:t>该污泥</w:t>
      </w:r>
      <w:r>
        <w:rPr>
          <w:rFonts w:hint="default" w:ascii="Times New Roman" w:hAnsi="Times New Roman" w:eastAsia="宋体" w:cs="Times New Roman"/>
          <w:color w:val="000000"/>
          <w:sz w:val="24"/>
          <w:highlight w:val="none"/>
          <w:lang w:eastAsia="zh-CN"/>
        </w:rPr>
        <w:t>由</w:t>
      </w:r>
      <w:r>
        <w:rPr>
          <w:rFonts w:hint="eastAsia" w:cs="Times New Roman"/>
          <w:color w:val="000000"/>
          <w:sz w:val="24"/>
          <w:highlight w:val="none"/>
          <w:lang w:eastAsia="zh-CN"/>
        </w:rPr>
        <w:t>南安市新鑫石粉收集有限公司定期清运</w:t>
      </w:r>
      <w:r>
        <w:rPr>
          <w:rFonts w:hint="default" w:ascii="Times New Roman" w:hAnsi="Times New Roman" w:eastAsia="宋体" w:cs="Times New Roman"/>
          <w:highlight w:val="none"/>
        </w:rPr>
        <w:t>（详见附件</w:t>
      </w:r>
      <w:r>
        <w:rPr>
          <w:rFonts w:hint="eastAsia" w:cs="Times New Roman"/>
          <w:highlight w:val="none"/>
          <w:lang w:val="en-US" w:eastAsia="zh-CN"/>
        </w:rPr>
        <w:t>7</w:t>
      </w:r>
      <w:r>
        <w:rPr>
          <w:rFonts w:hint="default" w:ascii="Times New Roman" w:hAnsi="Times New Roman" w:eastAsia="宋体" w:cs="Times New Roman"/>
          <w:highlight w:val="none"/>
        </w:rPr>
        <w:t>）。</w:t>
      </w:r>
    </w:p>
    <w:p>
      <w:pPr>
        <w:pStyle w:val="11"/>
        <w:keepNext w:val="0"/>
        <w:keepLines w:val="0"/>
        <w:pageBreakBefore w:val="0"/>
        <w:widowControl w:val="0"/>
        <w:kinsoku/>
        <w:wordWrap/>
        <w:overflowPunct/>
        <w:topLinePunct w:val="0"/>
        <w:autoSpaceDE/>
        <w:autoSpaceDN/>
        <w:bidi w:val="0"/>
        <w:adjustRightInd/>
        <w:snapToGrid/>
        <w:ind w:firstLine="480"/>
        <w:jc w:val="both"/>
        <w:textAlignment w:val="auto"/>
        <w:rPr>
          <w:rFonts w:hint="default" w:ascii="Times New Roman" w:hAnsi="Times New Roman" w:eastAsia="宋体" w:cs="Times New Roman"/>
          <w:highlight w:val="none"/>
        </w:rPr>
      </w:pPr>
      <w:r>
        <w:rPr>
          <w:rFonts w:hint="default" w:ascii="Times New Roman" w:hAnsi="Times New Roman" w:eastAsia="宋体" w:cs="Times New Roman"/>
          <w:highlight w:val="none"/>
        </w:rPr>
        <w:t>（</w:t>
      </w:r>
      <w:r>
        <w:rPr>
          <w:rFonts w:hint="eastAsia" w:cs="Times New Roman"/>
          <w:highlight w:val="none"/>
          <w:lang w:val="en-US" w:eastAsia="zh-CN"/>
        </w:rPr>
        <w:t>2</w:t>
      </w:r>
      <w:r>
        <w:rPr>
          <w:rFonts w:hint="default" w:ascii="Times New Roman" w:hAnsi="Times New Roman" w:eastAsia="宋体" w:cs="Times New Roman"/>
          <w:highlight w:val="none"/>
        </w:rPr>
        <w:t>）生活垃圾</w:t>
      </w:r>
    </w:p>
    <w:p>
      <w:pPr>
        <w:pStyle w:val="11"/>
        <w:keepNext w:val="0"/>
        <w:keepLines w:val="0"/>
        <w:pageBreakBefore w:val="0"/>
        <w:widowControl w:val="0"/>
        <w:kinsoku/>
        <w:wordWrap/>
        <w:overflowPunct/>
        <w:topLinePunct w:val="0"/>
        <w:autoSpaceDE/>
        <w:autoSpaceDN/>
        <w:bidi w:val="0"/>
        <w:adjustRightInd/>
        <w:snapToGrid/>
        <w:ind w:firstLine="480"/>
        <w:jc w:val="both"/>
        <w:textAlignment w:val="auto"/>
        <w:rPr>
          <w:rFonts w:ascii="Times New Roman" w:hAnsi="Times New Roman" w:eastAsia="宋体" w:cs="Times New Roman"/>
          <w:kern w:val="0"/>
          <w:sz w:val="24"/>
          <w:szCs w:val="24"/>
          <w:lang w:val="en-US" w:eastAsia="zh-CN" w:bidi="ar-SA"/>
        </w:rPr>
      </w:pPr>
      <w:r>
        <w:rPr>
          <w:rFonts w:hint="default" w:ascii="Times New Roman" w:hAnsi="Times New Roman" w:eastAsia="宋体" w:cs="Times New Roman"/>
          <w:highlight w:val="none"/>
        </w:rPr>
        <w:t>项目聘用职工</w:t>
      </w:r>
      <w:r>
        <w:rPr>
          <w:rFonts w:hint="eastAsia" w:cs="Times New Roman"/>
          <w:highlight w:val="none"/>
          <w:lang w:val="en-US" w:eastAsia="zh-CN"/>
        </w:rPr>
        <w:t>50人</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生活垃圾</w:t>
      </w:r>
      <w:r>
        <w:rPr>
          <w:rFonts w:hint="default" w:ascii="Times New Roman" w:hAnsi="Times New Roman" w:eastAsia="宋体" w:cs="Times New Roman"/>
          <w:highlight w:val="none"/>
          <w:lang w:eastAsia="zh-CN"/>
        </w:rPr>
        <w:t>调试期间产生量为</w:t>
      </w:r>
      <w:r>
        <w:rPr>
          <w:rFonts w:hint="eastAsia" w:cs="Times New Roman"/>
          <w:highlight w:val="none"/>
          <w:lang w:val="en-US" w:eastAsia="zh-CN"/>
        </w:rPr>
        <w:t>25kg/d</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集中收集后</w:t>
      </w:r>
      <w:r>
        <w:rPr>
          <w:rFonts w:hint="default" w:ascii="Times New Roman" w:hAnsi="Times New Roman" w:eastAsia="宋体" w:cs="Times New Roman"/>
          <w:highlight w:val="none"/>
          <w:lang w:eastAsia="zh-CN"/>
        </w:rPr>
        <w:t>由</w:t>
      </w:r>
      <w:r>
        <w:rPr>
          <w:rFonts w:hint="eastAsia" w:cs="Times New Roman"/>
          <w:highlight w:val="none"/>
          <w:lang w:eastAsia="zh-CN"/>
        </w:rPr>
        <w:t>他人</w:t>
      </w:r>
      <w:r>
        <w:rPr>
          <w:rFonts w:hint="default" w:ascii="Times New Roman" w:hAnsi="Times New Roman" w:eastAsia="宋体" w:cs="Times New Roman"/>
          <w:highlight w:val="none"/>
          <w:lang w:eastAsia="zh-CN"/>
        </w:rPr>
        <w:t>统一清运至垃圾回收站</w:t>
      </w:r>
      <w:r>
        <w:rPr>
          <w:rFonts w:hint="eastAsia" w:cs="Times New Roman"/>
          <w:highlight w:val="none"/>
          <w:lang w:eastAsia="zh-CN"/>
        </w:rPr>
        <w:t>（见附件</w:t>
      </w:r>
      <w:r>
        <w:rPr>
          <w:rFonts w:hint="eastAsia" w:cs="Times New Roman"/>
          <w:highlight w:val="none"/>
          <w:lang w:val="en-US" w:eastAsia="zh-CN"/>
        </w:rPr>
        <w:t>10</w:t>
      </w:r>
      <w:r>
        <w:rPr>
          <w:rFonts w:hint="eastAsia" w:cs="Times New Roman"/>
          <w:highlight w:val="none"/>
          <w:lang w:eastAsia="zh-CN"/>
        </w:rPr>
        <w:t>）</w:t>
      </w:r>
      <w:r>
        <w:rPr>
          <w:rFonts w:hint="default" w:ascii="Times New Roman" w:hAnsi="Times New Roman" w:eastAsia="宋体" w:cs="Times New Roman"/>
          <w:highlight w:val="none"/>
        </w:rPr>
        <w:t>。</w:t>
      </w:r>
    </w:p>
    <w:p>
      <w:pPr>
        <w:rPr>
          <w:b/>
          <w:bCs/>
          <w:sz w:val="28"/>
          <w:szCs w:val="28"/>
        </w:rPr>
      </w:pPr>
      <w:r>
        <w:rPr>
          <w:rFonts w:hint="eastAsia"/>
          <w:b/>
          <w:bCs/>
          <w:sz w:val="28"/>
          <w:szCs w:val="28"/>
        </w:rPr>
        <w:t>四、环境保护设施调试效果</w:t>
      </w:r>
    </w:p>
    <w:p>
      <w:pPr>
        <w:pStyle w:val="4"/>
        <w:spacing w:before="156"/>
        <w:outlineLvl w:val="1"/>
        <w:rPr>
          <w:rStyle w:val="15"/>
          <w:b/>
        </w:rPr>
      </w:pPr>
      <w:r>
        <w:rPr>
          <w:rStyle w:val="15"/>
          <w:rFonts w:hint="eastAsia"/>
          <w:b/>
        </w:rPr>
        <w:t>（一）环保设施处理效率</w:t>
      </w:r>
    </w:p>
    <w:p>
      <w:pPr>
        <w:pStyle w:val="11"/>
        <w:ind w:firstLine="480"/>
        <w:jc w:val="both"/>
      </w:pPr>
      <w:r>
        <w:rPr>
          <w:rFonts w:hint="eastAsia"/>
          <w:kern w:val="2"/>
        </w:rPr>
        <w:t>项目</w:t>
      </w:r>
      <w:r>
        <w:rPr>
          <w:rFonts w:hint="eastAsia" w:ascii="Times New Roman" w:eastAsia="宋体"/>
          <w:kern w:val="2"/>
          <w:sz w:val="24"/>
          <w:szCs w:val="24"/>
        </w:rPr>
        <w:t>第二阶段工程</w:t>
      </w:r>
      <w:r>
        <w:rPr>
          <w:rFonts w:hint="eastAsia"/>
          <w:kern w:val="2"/>
        </w:rPr>
        <w:t>石材加工粉尘经水喷淋设施处理后以无组织形式排放，</w:t>
      </w:r>
      <w:r>
        <w:rPr>
          <w:rFonts w:hint="eastAsia"/>
          <w:kern w:val="2"/>
          <w:lang w:eastAsia="zh-CN"/>
        </w:rPr>
        <w:t>生活污水经三级化粪池预处理后用于周边农田施肥。</w:t>
      </w:r>
      <w:r>
        <w:rPr>
          <w:rFonts w:hint="eastAsia"/>
          <w:kern w:val="2"/>
        </w:rPr>
        <w:t>，无需进行环保设施处理效率监测结果分析。</w:t>
      </w:r>
    </w:p>
    <w:p>
      <w:pPr>
        <w:pStyle w:val="11"/>
        <w:ind w:firstLine="0" w:firstLineChars="0"/>
        <w:jc w:val="both"/>
        <w:rPr>
          <w:b/>
          <w:sz w:val="28"/>
          <w:szCs w:val="28"/>
        </w:rPr>
      </w:pPr>
      <w:r>
        <w:rPr>
          <w:rFonts w:hint="eastAsia"/>
          <w:b/>
          <w:sz w:val="28"/>
          <w:szCs w:val="28"/>
        </w:rPr>
        <w:t>（二）污染物排放情况</w:t>
      </w:r>
    </w:p>
    <w:p>
      <w:pPr>
        <w:pStyle w:val="11"/>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rPr>
      </w:pPr>
      <w:r>
        <w:rPr>
          <w:rFonts w:hint="eastAsia"/>
          <w:lang w:eastAsia="zh-CN"/>
        </w:rPr>
        <w:t>（</w:t>
      </w:r>
      <w:r>
        <w:rPr>
          <w:rFonts w:hint="eastAsia"/>
          <w:lang w:val="en-US" w:eastAsia="zh-CN"/>
        </w:rPr>
        <w:t>1</w:t>
      </w:r>
      <w:r>
        <w:rPr>
          <w:rFonts w:hint="eastAsia"/>
          <w:lang w:eastAsia="zh-CN"/>
        </w:rPr>
        <w:t>）</w:t>
      </w:r>
      <w:r>
        <w:rPr>
          <w:rFonts w:hint="eastAsia"/>
        </w:rPr>
        <w:t>废水</w:t>
      </w:r>
    </w:p>
    <w:p>
      <w:pPr>
        <w:pStyle w:val="11"/>
        <w:ind w:firstLine="480"/>
        <w:jc w:val="both"/>
        <w:rPr>
          <w:rFonts w:hint="eastAsia" w:eastAsia="宋体"/>
          <w:lang w:eastAsia="zh-CN"/>
        </w:rPr>
      </w:pPr>
      <w:r>
        <w:rPr>
          <w:kern w:val="2"/>
        </w:rPr>
        <w:t>项目</w:t>
      </w:r>
      <w:r>
        <w:rPr>
          <w:rFonts w:hint="eastAsia" w:ascii="Times New Roman" w:eastAsia="宋体"/>
          <w:kern w:val="2"/>
          <w:sz w:val="24"/>
          <w:szCs w:val="24"/>
        </w:rPr>
        <w:t>第二阶段工程</w:t>
      </w:r>
      <w:r>
        <w:rPr>
          <w:kern w:val="2"/>
        </w:rPr>
        <w:t>生产过程中生产废水循环利用，不外排；项目</w:t>
      </w:r>
      <w:r>
        <w:t>职工生活污水产生量为</w:t>
      </w:r>
      <w:r>
        <w:rPr>
          <w:rFonts w:hint="eastAsia" w:ascii="Times New Roman" w:eastAsia="宋体"/>
          <w:sz w:val="24"/>
          <w:szCs w:val="24"/>
          <w:lang w:val="en-US" w:eastAsia="zh-CN"/>
        </w:rPr>
        <w:t>1215m</w:t>
      </w:r>
      <w:r>
        <w:rPr>
          <w:rFonts w:hint="eastAsia" w:ascii="Times New Roman" w:eastAsia="宋体"/>
          <w:sz w:val="24"/>
          <w:szCs w:val="24"/>
          <w:vertAlign w:val="superscript"/>
          <w:lang w:val="en-US" w:eastAsia="zh-CN"/>
        </w:rPr>
        <w:t>3</w:t>
      </w:r>
      <w:r>
        <w:rPr>
          <w:rFonts w:hint="eastAsia"/>
          <w:bCs/>
        </w:rPr>
        <w:t>/a</w:t>
      </w:r>
      <w:r>
        <w:t>，</w:t>
      </w:r>
      <w:r>
        <w:rPr>
          <w:rFonts w:hint="eastAsia"/>
          <w:lang w:eastAsia="zh-CN"/>
        </w:rPr>
        <w:t>生活污水经三级化粪池预处理后用于周边农田施肥。。</w:t>
      </w:r>
    </w:p>
    <w:p>
      <w:pPr>
        <w:pStyle w:val="11"/>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pPr>
      <w:r>
        <w:rPr>
          <w:rFonts w:hint="eastAsia"/>
          <w:lang w:eastAsia="zh-CN"/>
        </w:rPr>
        <w:t>（</w:t>
      </w:r>
      <w:r>
        <w:rPr>
          <w:rFonts w:hint="eastAsia"/>
          <w:lang w:val="en-US" w:eastAsia="zh-CN"/>
        </w:rPr>
        <w:t>2</w:t>
      </w:r>
      <w:r>
        <w:rPr>
          <w:rFonts w:hint="eastAsia"/>
          <w:lang w:eastAsia="zh-CN"/>
        </w:rPr>
        <w:t>）</w:t>
      </w:r>
      <w:r>
        <w:rPr>
          <w:rFonts w:hint="eastAsia"/>
        </w:rPr>
        <w:t>无组织废气</w:t>
      </w:r>
    </w:p>
    <w:p>
      <w:pPr>
        <w:pStyle w:val="11"/>
        <w:ind w:firstLine="480"/>
        <w:jc w:val="both"/>
        <w:rPr>
          <w:rFonts w:hint="eastAsia" w:eastAsia="宋体"/>
          <w:b/>
          <w:bCs/>
          <w:color w:val="0000FF"/>
          <w:lang w:eastAsia="zh-CN"/>
        </w:rPr>
      </w:pPr>
      <w:r>
        <w:rPr>
          <w:rFonts w:hint="eastAsia"/>
        </w:rPr>
        <w:t>验收监测期间，项目</w:t>
      </w:r>
      <w:r>
        <w:rPr>
          <w:rFonts w:hint="eastAsia" w:ascii="Times New Roman" w:eastAsia="宋体"/>
          <w:kern w:val="2"/>
          <w:sz w:val="24"/>
          <w:szCs w:val="24"/>
        </w:rPr>
        <w:t>第二阶段工程</w:t>
      </w:r>
      <w:r>
        <w:rPr>
          <w:rFonts w:hint="eastAsia"/>
        </w:rPr>
        <w:t>无组织监控点颗粒物最高</w:t>
      </w:r>
      <w:r>
        <w:t>排放浓度值两天</w:t>
      </w:r>
      <w:r>
        <w:rPr>
          <w:rFonts w:hint="eastAsia"/>
          <w:lang w:eastAsia="zh-CN"/>
        </w:rPr>
        <w:t>为</w:t>
      </w:r>
      <w:r>
        <w:rPr>
          <w:rFonts w:hint="eastAsia"/>
        </w:rPr>
        <w:t>0.</w:t>
      </w:r>
      <w:r>
        <w:rPr>
          <w:rFonts w:hint="eastAsia"/>
          <w:lang w:val="en-US" w:eastAsia="zh-CN"/>
        </w:rPr>
        <w:t>566</w:t>
      </w:r>
      <w:r>
        <w:rPr>
          <w:rFonts w:hint="eastAsia"/>
        </w:rPr>
        <w:t>mg</w:t>
      </w:r>
      <w:r>
        <w:t>/m</w:t>
      </w:r>
      <w:r>
        <w:rPr>
          <w:vertAlign w:val="superscript"/>
        </w:rPr>
        <w:t>3</w:t>
      </w:r>
      <w:r>
        <w:rPr>
          <w:rFonts w:hint="eastAsia"/>
          <w:vertAlign w:val="baseline"/>
          <w:lang w:eastAsia="zh-CN"/>
        </w:rPr>
        <w:t>和</w:t>
      </w:r>
      <w:r>
        <w:rPr>
          <w:rFonts w:hint="eastAsia"/>
          <w:vertAlign w:val="baseline"/>
          <w:lang w:val="en-US" w:eastAsia="zh-CN"/>
        </w:rPr>
        <w:t>0.628</w:t>
      </w:r>
      <w:r>
        <w:rPr>
          <w:rFonts w:hint="eastAsia"/>
        </w:rPr>
        <w:t>mg</w:t>
      </w:r>
      <w:r>
        <w:t>/m</w:t>
      </w:r>
      <w:r>
        <w:rPr>
          <w:vertAlign w:val="superscript"/>
        </w:rPr>
        <w:t>3</w:t>
      </w:r>
      <w:r>
        <w:rPr>
          <w:rFonts w:hint="eastAsia"/>
        </w:rPr>
        <w:t>，均达到《大气污染物综合排放标准》（GB16297-1996）表2无组织排放浓度限值</w:t>
      </w:r>
      <w:r>
        <w:t>（颗粒物≤1.0mg/m</w:t>
      </w:r>
      <w:r>
        <w:rPr>
          <w:vertAlign w:val="superscript"/>
        </w:rPr>
        <w:t>3</w:t>
      </w:r>
      <w:r>
        <w:t>）</w:t>
      </w:r>
      <w:r>
        <w:rPr>
          <w:rFonts w:hint="eastAsia"/>
        </w:rPr>
        <w:t>要求</w:t>
      </w:r>
      <w:r>
        <w:rPr>
          <w:rFonts w:hint="eastAsia"/>
          <w:lang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pPr>
      <w:r>
        <w:rPr>
          <w:rFonts w:hint="eastAsia"/>
          <w:lang w:eastAsia="zh-CN"/>
        </w:rPr>
        <w:t>（</w:t>
      </w:r>
      <w:r>
        <w:rPr>
          <w:rFonts w:hint="eastAsia"/>
          <w:lang w:val="en-US" w:eastAsia="zh-CN"/>
        </w:rPr>
        <w:t>3</w:t>
      </w:r>
      <w:r>
        <w:rPr>
          <w:rFonts w:hint="eastAsia"/>
          <w:lang w:eastAsia="zh-CN"/>
        </w:rPr>
        <w:t>）</w:t>
      </w:r>
      <w:r>
        <w:t>噪声</w:t>
      </w:r>
    </w:p>
    <w:p>
      <w:pPr>
        <w:pStyle w:val="11"/>
        <w:ind w:firstLine="480"/>
        <w:jc w:val="both"/>
      </w:pPr>
      <w:r>
        <w:rPr>
          <w:rFonts w:hint="eastAsia"/>
        </w:rPr>
        <w:t>项目</w:t>
      </w:r>
      <w:r>
        <w:rPr>
          <w:rFonts w:hint="eastAsia" w:ascii="Times New Roman" w:eastAsia="宋体"/>
          <w:kern w:val="2"/>
          <w:sz w:val="24"/>
          <w:szCs w:val="24"/>
        </w:rPr>
        <w:t>第二阶段工程</w:t>
      </w:r>
      <w:r>
        <w:rPr>
          <w:rFonts w:hint="eastAsia"/>
        </w:rPr>
        <w:t>厂界昼间噪声（夜间不生产）排放值在6</w:t>
      </w:r>
      <w:r>
        <w:rPr>
          <w:rFonts w:hint="eastAsia"/>
          <w:lang w:val="en-US" w:eastAsia="zh-CN"/>
        </w:rPr>
        <w:t>0</w:t>
      </w:r>
      <w:r>
        <w:rPr>
          <w:rFonts w:hint="eastAsia"/>
        </w:rPr>
        <w:t>~6</w:t>
      </w:r>
      <w:r>
        <w:rPr>
          <w:rFonts w:hint="eastAsia"/>
          <w:lang w:val="en-US" w:eastAsia="zh-CN"/>
        </w:rPr>
        <w:t>5</w:t>
      </w:r>
      <w:r>
        <w:rPr>
          <w:rFonts w:hint="eastAsia"/>
        </w:rPr>
        <w:t>dB</w:t>
      </w:r>
      <w:r>
        <w:t>(A)</w:t>
      </w:r>
      <w:r>
        <w:rPr>
          <w:rFonts w:hint="eastAsia"/>
        </w:rPr>
        <w:t>之间，均达到《工业企业厂界环境噪声排放标准》（GB</w:t>
      </w:r>
      <w:r>
        <w:t>12348-2008）</w:t>
      </w:r>
      <w:r>
        <w:rPr>
          <w:rFonts w:hint="eastAsia"/>
        </w:rPr>
        <w:t>3</w:t>
      </w:r>
      <w:r>
        <w:t>类声环境功能区</w:t>
      </w:r>
      <w:r>
        <w:rPr>
          <w:rFonts w:hint="eastAsia"/>
        </w:rPr>
        <w:t>厂界环境噪声</w:t>
      </w:r>
      <w:r>
        <w:t>标准限值，即昼间≤6</w:t>
      </w:r>
      <w:r>
        <w:rPr>
          <w:rFonts w:hint="eastAsia"/>
        </w:rPr>
        <w:t>5dB</w:t>
      </w:r>
      <w:r>
        <w:t>要求</w:t>
      </w:r>
      <w:r>
        <w:rPr>
          <w:rFonts w:hint="eastAsia"/>
        </w:rPr>
        <w:t>。</w:t>
      </w:r>
    </w:p>
    <w:p>
      <w:pPr>
        <w:pStyle w:val="11"/>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pPr>
      <w:r>
        <w:rPr>
          <w:rFonts w:hint="eastAsia"/>
          <w:lang w:eastAsia="zh-CN"/>
        </w:rPr>
        <w:t>（</w:t>
      </w:r>
      <w:r>
        <w:rPr>
          <w:rFonts w:hint="eastAsia"/>
          <w:lang w:val="en-US" w:eastAsia="zh-CN"/>
        </w:rPr>
        <w:t>4</w:t>
      </w:r>
      <w:r>
        <w:rPr>
          <w:rFonts w:hint="eastAsia"/>
          <w:lang w:eastAsia="zh-CN"/>
        </w:rPr>
        <w:t>）</w:t>
      </w:r>
      <w:r>
        <w:t>固体废物</w:t>
      </w:r>
    </w:p>
    <w:p>
      <w:pPr>
        <w:pStyle w:val="11"/>
        <w:ind w:firstLine="480"/>
        <w:jc w:val="both"/>
      </w:pPr>
      <w:r>
        <w:rPr>
          <w:rFonts w:hint="eastAsia"/>
        </w:rPr>
        <w:t>项目</w:t>
      </w:r>
      <w:r>
        <w:rPr>
          <w:rFonts w:hint="eastAsia" w:ascii="Times New Roman" w:eastAsia="宋体"/>
          <w:kern w:val="2"/>
          <w:sz w:val="24"/>
          <w:szCs w:val="24"/>
        </w:rPr>
        <w:t>第二阶段工程</w:t>
      </w:r>
      <w:r>
        <w:rPr>
          <w:rFonts w:hint="eastAsia"/>
        </w:rPr>
        <w:t>生产过程中固体废物主要为一般生产固废生活垃圾。项目固废堆场符合《一般工业固体废物贮存、处置场污染控制标准》（GB18599-2001）的要求；生活垃圾设置垃圾桶收集，并委托环卫部门定期清运处理</w:t>
      </w:r>
      <w:r>
        <w:t>。</w:t>
      </w:r>
    </w:p>
    <w:p>
      <w:pPr>
        <w:pStyle w:val="11"/>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ascii="Calibri" w:hAnsi="Calibri" w:cs="Calibri"/>
        </w:rPr>
      </w:pPr>
      <w:r>
        <w:rPr>
          <w:rFonts w:hint="eastAsia"/>
          <w:lang w:eastAsia="zh-CN"/>
        </w:rPr>
        <w:t>（</w:t>
      </w:r>
      <w:r>
        <w:rPr>
          <w:rFonts w:hint="eastAsia"/>
          <w:lang w:val="en-US" w:eastAsia="zh-CN"/>
        </w:rPr>
        <w:t>5</w:t>
      </w:r>
      <w:r>
        <w:rPr>
          <w:rFonts w:hint="eastAsia"/>
          <w:lang w:eastAsia="zh-CN"/>
        </w:rPr>
        <w:t>）</w:t>
      </w:r>
      <w:r>
        <w:rPr>
          <w:rFonts w:hint="eastAsia"/>
        </w:rPr>
        <w:t>主要污染物排放总量</w:t>
      </w:r>
    </w:p>
    <w:p>
      <w:pPr>
        <w:pStyle w:val="16"/>
        <w:ind w:firstLine="480"/>
      </w:pPr>
      <w:r>
        <w:t>项目</w:t>
      </w:r>
      <w:r>
        <w:rPr>
          <w:rFonts w:hint="eastAsia" w:ascii="Times New Roman" w:eastAsia="宋体"/>
          <w:kern w:val="2"/>
          <w:sz w:val="24"/>
          <w:szCs w:val="24"/>
        </w:rPr>
        <w:t>第二阶段工程</w:t>
      </w:r>
      <w:r>
        <w:t>生活污水经三级化粪池预处理后定期清运作为农田肥料，因此不作</w:t>
      </w:r>
      <w:r>
        <w:rPr>
          <w:rFonts w:hint="eastAsia"/>
        </w:rPr>
        <w:t>生活污水</w:t>
      </w:r>
      <w:r>
        <w:t>污染物排放总量核算评价。</w:t>
      </w:r>
    </w:p>
    <w:p>
      <w:pPr>
        <w:numPr>
          <w:ilvl w:val="0"/>
          <w:numId w:val="3"/>
        </w:numPr>
        <w:spacing w:line="360" w:lineRule="auto"/>
        <w:rPr>
          <w:b/>
          <w:bCs/>
          <w:sz w:val="28"/>
          <w:szCs w:val="28"/>
        </w:rPr>
      </w:pPr>
      <w:r>
        <w:rPr>
          <w:rFonts w:hint="eastAsia"/>
          <w:b/>
          <w:bCs/>
          <w:sz w:val="28"/>
          <w:szCs w:val="28"/>
        </w:rPr>
        <w:t>工程建设对环境的影响</w:t>
      </w:r>
    </w:p>
    <w:p>
      <w:pPr>
        <w:spacing w:line="360" w:lineRule="auto"/>
        <w:ind w:firstLine="480" w:firstLineChars="200"/>
        <w:rPr>
          <w:sz w:val="24"/>
          <w:szCs w:val="24"/>
        </w:rPr>
      </w:pPr>
      <w:r>
        <w:rPr>
          <w:rFonts w:hint="eastAsia"/>
          <w:sz w:val="24"/>
          <w:szCs w:val="24"/>
        </w:rPr>
        <w:t>项目</w:t>
      </w:r>
      <w:r>
        <w:rPr>
          <w:rFonts w:hint="eastAsia" w:ascii="Times New Roman" w:eastAsia="宋体"/>
          <w:kern w:val="2"/>
          <w:sz w:val="24"/>
          <w:szCs w:val="24"/>
        </w:rPr>
        <w:t>第二阶段工程</w:t>
      </w:r>
      <w:r>
        <w:rPr>
          <w:rFonts w:hint="eastAsia"/>
          <w:sz w:val="24"/>
          <w:szCs w:val="24"/>
        </w:rPr>
        <w:t>产生的污染物均达标排放，且污染物排放量较小。因此工程建设对周边的环境影响较小。</w:t>
      </w:r>
    </w:p>
    <w:p>
      <w:pPr>
        <w:spacing w:line="360" w:lineRule="auto"/>
        <w:rPr>
          <w:b/>
          <w:bCs/>
          <w:sz w:val="28"/>
          <w:szCs w:val="28"/>
        </w:rPr>
      </w:pPr>
      <w:r>
        <w:rPr>
          <w:b/>
          <w:bCs/>
          <w:sz w:val="28"/>
          <w:szCs w:val="28"/>
        </w:rPr>
        <w:t>六、验收结论</w:t>
      </w:r>
    </w:p>
    <w:p>
      <w:pPr>
        <w:spacing w:line="360" w:lineRule="auto"/>
        <w:ind w:firstLine="480" w:firstLineChars="200"/>
        <w:rPr>
          <w:sz w:val="24"/>
          <w:lang w:val="en-GB"/>
        </w:rPr>
      </w:pPr>
      <w:r>
        <w:rPr>
          <w:sz w:val="24"/>
          <w:lang w:val="en-GB"/>
        </w:rPr>
        <w:t>经现场检查、审阅有关资料，并认真讨论后，验收组认为</w:t>
      </w:r>
      <w:r>
        <w:rPr>
          <w:rFonts w:hint="eastAsia"/>
          <w:sz w:val="24"/>
          <w:lang w:eastAsia="zh-CN"/>
        </w:rPr>
        <w:t>福建省泉州澄霖石材有限公司</w:t>
      </w:r>
      <w:r>
        <w:rPr>
          <w:rFonts w:hint="eastAsia"/>
          <w:sz w:val="24"/>
        </w:rPr>
        <w:t>《年增产花岗岩板5万平方米、大理石板8万平方米、线条3000米、雕刻件2000平方米、水刀拼花2000平方米项目（第二阶段竣工）》</w:t>
      </w:r>
      <w:r>
        <w:rPr>
          <w:rFonts w:hint="eastAsia"/>
          <w:sz w:val="24"/>
          <w:lang w:val="en-GB"/>
        </w:rPr>
        <w:t>已落实环评报告表及批复文件提出的各项污染防治措施</w:t>
      </w:r>
      <w:r>
        <w:rPr>
          <w:sz w:val="24"/>
          <w:lang w:val="en-GB"/>
        </w:rPr>
        <w:t>，各类污染物的排放浓度符合验收执行标准要求，验收资料齐全，不存在《建设项目竣工环境保护验收暂行办法》第八条所列验收不合格的情形，符合竣工环保验收条件，同意项目</w:t>
      </w:r>
      <w:r>
        <w:rPr>
          <w:rFonts w:hint="eastAsia"/>
          <w:sz w:val="24"/>
          <w:lang w:val="en-GB"/>
        </w:rPr>
        <w:t>第二</w:t>
      </w:r>
      <w:r>
        <w:rPr>
          <w:sz w:val="24"/>
          <w:lang w:val="en-GB"/>
        </w:rPr>
        <w:t>阶段竣工环保验收合格。</w:t>
      </w:r>
    </w:p>
    <w:p>
      <w:pPr>
        <w:spacing w:line="360" w:lineRule="auto"/>
        <w:rPr>
          <w:b/>
          <w:bCs/>
          <w:sz w:val="28"/>
          <w:szCs w:val="28"/>
        </w:rPr>
      </w:pPr>
      <w:r>
        <w:rPr>
          <w:rFonts w:hint="eastAsia"/>
          <w:b/>
          <w:bCs/>
          <w:sz w:val="28"/>
          <w:szCs w:val="28"/>
        </w:rPr>
        <w:t>七</w:t>
      </w:r>
      <w:r>
        <w:rPr>
          <w:b/>
          <w:bCs/>
          <w:sz w:val="28"/>
          <w:szCs w:val="28"/>
        </w:rPr>
        <w:t>、后续</w:t>
      </w:r>
      <w:r>
        <w:rPr>
          <w:rFonts w:hint="eastAsia"/>
          <w:b/>
          <w:bCs/>
          <w:sz w:val="28"/>
          <w:szCs w:val="28"/>
        </w:rPr>
        <w:t>要求</w:t>
      </w:r>
    </w:p>
    <w:p>
      <w:pPr>
        <w:spacing w:line="360" w:lineRule="auto"/>
        <w:ind w:firstLine="480" w:firstLineChars="200"/>
        <w:rPr>
          <w:rFonts w:hint="eastAsia"/>
          <w:bCs/>
          <w:sz w:val="24"/>
          <w:szCs w:val="24"/>
          <w:lang w:val="en-GB"/>
        </w:rPr>
      </w:pPr>
      <w:r>
        <w:rPr>
          <w:rFonts w:hint="eastAsia"/>
          <w:bCs/>
          <w:sz w:val="24"/>
          <w:szCs w:val="24"/>
        </w:rPr>
        <w:t>1、</w:t>
      </w:r>
      <w:r>
        <w:rPr>
          <w:rFonts w:hint="eastAsia"/>
          <w:bCs/>
          <w:sz w:val="24"/>
          <w:szCs w:val="24"/>
          <w:lang w:val="en-GB"/>
        </w:rPr>
        <w:t>加强对环保设施的日常维护和管理，厂界无组织废气和噪声稳定达标排放。</w:t>
      </w:r>
    </w:p>
    <w:p>
      <w:pPr>
        <w:pStyle w:val="11"/>
        <w:ind w:firstLine="480"/>
        <w:jc w:val="both"/>
        <w:rPr>
          <w:rFonts w:hint="eastAsia"/>
          <w:bCs/>
          <w:lang w:val="en-GB"/>
        </w:rPr>
      </w:pPr>
      <w:r>
        <w:rPr>
          <w:bCs/>
          <w:lang w:val="en-GB"/>
        </w:rPr>
        <w:t>2、</w:t>
      </w:r>
      <w:r>
        <w:rPr>
          <w:rFonts w:hint="eastAsia"/>
          <w:bCs/>
        </w:rPr>
        <w:t>加强作业管理，保持车间地面干净、整洁。生产过程中</w:t>
      </w:r>
      <w:r>
        <w:rPr>
          <w:rFonts w:hint="eastAsia"/>
          <w:bCs/>
          <w:lang w:val="en-GB"/>
        </w:rPr>
        <w:t>生产废水必须全部回用、车间地面废水不得外流</w:t>
      </w:r>
      <w:r>
        <w:rPr>
          <w:bCs/>
          <w:lang w:val="en-GB"/>
        </w:rPr>
        <w:t>。</w:t>
      </w:r>
    </w:p>
    <w:p>
      <w:pPr>
        <w:spacing w:line="360" w:lineRule="auto"/>
        <w:ind w:firstLine="480" w:firstLineChars="200"/>
        <w:rPr>
          <w:rFonts w:hint="eastAsia"/>
          <w:sz w:val="24"/>
          <w:szCs w:val="24"/>
          <w:lang w:val="en-GB"/>
        </w:rPr>
      </w:pPr>
      <w:r>
        <w:rPr>
          <w:rFonts w:hint="eastAsia"/>
          <w:bCs/>
          <w:sz w:val="24"/>
          <w:szCs w:val="24"/>
        </w:rPr>
        <w:t>3、待所在地生活污水具备接入污水处理厂集中处理的条件后，在预处理至符合相关准入要求后应全部纳入集中处置</w:t>
      </w:r>
      <w:r>
        <w:rPr>
          <w:sz w:val="24"/>
          <w:szCs w:val="24"/>
          <w:lang w:val="en-GB"/>
        </w:rPr>
        <w:t>。</w:t>
      </w:r>
    </w:p>
    <w:p>
      <w:pPr>
        <w:spacing w:line="360" w:lineRule="auto"/>
        <w:ind w:firstLine="480" w:firstLineChars="200"/>
        <w:rPr>
          <w:bCs/>
          <w:sz w:val="24"/>
          <w:szCs w:val="24"/>
        </w:rPr>
      </w:pPr>
      <w:r>
        <w:rPr>
          <w:rFonts w:hint="eastAsia"/>
          <w:bCs/>
          <w:sz w:val="24"/>
          <w:szCs w:val="24"/>
        </w:rPr>
        <w:t>4、切实落实环境监测计划，做好自行监测工作。</w:t>
      </w:r>
    </w:p>
    <w:p>
      <w:pPr>
        <w:spacing w:line="360" w:lineRule="auto"/>
        <w:rPr>
          <w:b/>
          <w:bCs/>
          <w:sz w:val="28"/>
          <w:szCs w:val="28"/>
        </w:rPr>
      </w:pPr>
      <w:r>
        <w:rPr>
          <w:rFonts w:hint="eastAsia"/>
          <w:b/>
          <w:bCs/>
          <w:sz w:val="28"/>
          <w:szCs w:val="28"/>
        </w:rPr>
        <w:t>八</w:t>
      </w:r>
      <w:r>
        <w:rPr>
          <w:b/>
          <w:bCs/>
          <w:sz w:val="28"/>
          <w:szCs w:val="28"/>
        </w:rPr>
        <w:t>、验收</w:t>
      </w:r>
      <w:r>
        <w:rPr>
          <w:rFonts w:hint="eastAsia"/>
          <w:b/>
          <w:bCs/>
          <w:sz w:val="28"/>
          <w:szCs w:val="28"/>
        </w:rPr>
        <w:t>人员信息</w:t>
      </w:r>
    </w:p>
    <w:p>
      <w:pPr>
        <w:pStyle w:val="17"/>
        <w:spacing w:line="360" w:lineRule="auto"/>
        <w:ind w:firstLine="480" w:firstLineChars="200"/>
        <w:jc w:val="both"/>
        <w:rPr>
          <w:rFonts w:ascii="Times New Roman" w:hAnsi="Times New Roman" w:cs="Times New Roman"/>
        </w:rPr>
      </w:pPr>
      <w:r>
        <w:rPr>
          <w:rFonts w:ascii="Times New Roman" w:hAnsi="Times New Roman" w:cs="Times New Roman"/>
        </w:rPr>
        <w:t>验收组成员名单附</w:t>
      </w:r>
      <w:r>
        <w:rPr>
          <w:rFonts w:hint="eastAsia" w:ascii="Times New Roman" w:hAnsi="Times New Roman" w:cs="Times New Roman"/>
        </w:rPr>
        <w:t>后</w:t>
      </w:r>
    </w:p>
    <w:p>
      <w:pPr>
        <w:pStyle w:val="17"/>
        <w:spacing w:line="360" w:lineRule="auto"/>
        <w:ind w:firstLine="480" w:firstLineChars="200"/>
        <w:jc w:val="right"/>
        <w:rPr>
          <w:rFonts w:hint="eastAsia" w:eastAsia="宋体"/>
          <w:lang w:eastAsia="zh-CN"/>
        </w:rPr>
      </w:pPr>
      <w:r>
        <w:rPr>
          <w:rFonts w:hint="eastAsia"/>
          <w:lang w:eastAsia="zh-CN"/>
        </w:rPr>
        <w:t>福建省泉州澄霖石材有限公司</w:t>
      </w:r>
    </w:p>
    <w:p>
      <w:pPr>
        <w:pStyle w:val="17"/>
        <w:spacing w:line="360" w:lineRule="auto"/>
        <w:ind w:firstLine="480" w:firstLineChars="200"/>
        <w:jc w:val="right"/>
        <w:rPr>
          <w:rFonts w:hint="eastAsia" w:ascii="Times New Roman" w:hAnsi="Times New Roman" w:cs="Times New Roman"/>
        </w:rPr>
      </w:pPr>
      <w:r>
        <w:rPr>
          <w:rFonts w:hint="eastAsia" w:ascii="Times New Roman" w:hAnsi="Times New Roman" w:cs="Times New Roman"/>
        </w:rPr>
        <w:t>202</w:t>
      </w:r>
      <w:r>
        <w:rPr>
          <w:rFonts w:hint="eastAsia" w:ascii="Times New Roman" w:hAnsi="Times New Roman" w:cs="Times New Roman"/>
          <w:lang w:val="en-US" w:eastAsia="zh-CN"/>
        </w:rPr>
        <w:t>2</w:t>
      </w:r>
      <w:r>
        <w:rPr>
          <w:rFonts w:hint="eastAsia" w:ascii="Times New Roman" w:hAnsi="Times New Roman" w:cs="Times New Roman"/>
        </w:rPr>
        <w:t>年</w:t>
      </w:r>
      <w:r>
        <w:rPr>
          <w:rFonts w:hint="eastAsia" w:ascii="Times New Roman" w:hAnsi="Times New Roman" w:cs="Times New Roman"/>
          <w:lang w:val="en-US" w:eastAsia="zh-CN"/>
        </w:rPr>
        <w:t>12</w:t>
      </w:r>
      <w:r>
        <w:rPr>
          <w:rFonts w:hint="eastAsia" w:ascii="Times New Roman" w:hAnsi="Times New Roman" w:cs="Times New Roman"/>
        </w:rPr>
        <w:t>月</w:t>
      </w:r>
      <w:r>
        <w:rPr>
          <w:rFonts w:hint="eastAsia" w:ascii="Times New Roman" w:hAnsi="Times New Roman" w:cs="Times New Roman"/>
          <w:lang w:val="en-US" w:eastAsia="zh-CN"/>
        </w:rPr>
        <w:t>18</w:t>
      </w:r>
      <w:r>
        <w:rPr>
          <w:rFonts w:hint="eastAsia" w:ascii="Times New Roman" w:hAnsi="Times New Roman" w:cs="Times New Roman"/>
        </w:rPr>
        <w:t>日</w:t>
      </w:r>
    </w:p>
    <w:p>
      <w:pPr>
        <w:pStyle w:val="11"/>
        <w:spacing w:line="240" w:lineRule="auto"/>
        <w:ind w:firstLine="0" w:firstLineChars="0"/>
        <w:rPr>
          <w:rFonts w:hint="eastAsia"/>
          <w:sz w:val="28"/>
          <w:szCs w:val="28"/>
          <w:highlight w:val="yellow"/>
        </w:rPr>
        <w:sectPr>
          <w:pgSz w:w="11906" w:h="16838"/>
          <w:pgMar w:top="1247" w:right="1247" w:bottom="1247" w:left="1247" w:header="851" w:footer="992" w:gutter="0"/>
          <w:pgBorders>
            <w:top w:val="none" w:sz="0" w:space="0"/>
            <w:left w:val="none" w:sz="0" w:space="0"/>
            <w:bottom w:val="none" w:sz="0" w:space="0"/>
            <w:right w:val="none" w:sz="0" w:space="0"/>
          </w:pgBorders>
          <w:cols w:space="720" w:num="1"/>
          <w:docGrid w:type="lines" w:linePitch="312" w:charSpace="0"/>
        </w:sectPr>
      </w:pPr>
      <w:bookmarkStart w:id="17" w:name="_GoBack"/>
      <w:bookmarkEnd w:id="17"/>
    </w:p>
    <w:bookmarkEnd w:id="7"/>
    <w:bookmarkEnd w:id="8"/>
    <w:bookmarkEnd w:id="9"/>
    <w:bookmarkEnd w:id="10"/>
    <w:bookmarkEnd w:id="11"/>
    <w:bookmarkEnd w:id="12"/>
    <w:bookmarkEnd w:id="13"/>
    <w:bookmarkEnd w:id="14"/>
    <w:bookmarkEnd w:id="15"/>
    <w:bookmarkEnd w:id="1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F92078"/>
    <w:multiLevelType w:val="singleLevel"/>
    <w:tmpl w:val="19F92078"/>
    <w:lvl w:ilvl="0" w:tentative="0">
      <w:start w:val="1"/>
      <w:numFmt w:val="decimal"/>
      <w:suff w:val="nothing"/>
      <w:lvlText w:val="（%1）"/>
      <w:lvlJc w:val="left"/>
    </w:lvl>
  </w:abstractNum>
  <w:abstractNum w:abstractNumId="1">
    <w:nsid w:val="1C74DC72"/>
    <w:multiLevelType w:val="singleLevel"/>
    <w:tmpl w:val="1C74DC72"/>
    <w:lvl w:ilvl="0" w:tentative="0">
      <w:start w:val="5"/>
      <w:numFmt w:val="chineseCounting"/>
      <w:suff w:val="nothing"/>
      <w:lvlText w:val="%1、"/>
      <w:lvlJc w:val="left"/>
      <w:rPr>
        <w:rFonts w:hint="eastAsia"/>
      </w:rPr>
    </w:lvl>
  </w:abstractNum>
  <w:abstractNum w:abstractNumId="2">
    <w:nsid w:val="2166AECB"/>
    <w:multiLevelType w:val="singleLevel"/>
    <w:tmpl w:val="2166AECB"/>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5NWYyYzMyZGUyYjdjMTk3ZTUxMjM2Zjk2N2Y2ZGIifQ=="/>
  </w:docVars>
  <w:rsids>
    <w:rsidRoot w:val="20170EF0"/>
    <w:rsid w:val="20170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2"/>
    <w:basedOn w:val="1"/>
    <w:next w:val="1"/>
    <w:qFormat/>
    <w:uiPriority w:val="0"/>
    <w:pPr>
      <w:spacing w:before="50" w:beforeLines="50" w:line="360" w:lineRule="auto"/>
      <w:outlineLvl w:val="1"/>
    </w:pPr>
    <w:rPr>
      <w:b/>
      <w:bCs/>
      <w:kern w:val="0"/>
      <w:sz w:val="28"/>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Normal Indent"/>
    <w:basedOn w:val="1"/>
    <w:next w:val="3"/>
    <w:qFormat/>
    <w:uiPriority w:val="0"/>
    <w:pPr>
      <w:keepNext w:val="0"/>
      <w:keepLines w:val="0"/>
      <w:widowControl/>
      <w:suppressLineNumbers w:val="0"/>
      <w:spacing w:before="0" w:beforeAutospacing="0" w:after="0" w:afterAutospacing="0" w:line="360" w:lineRule="auto"/>
      <w:ind w:left="0" w:right="0" w:firstLine="420" w:firstLineChars="200"/>
      <w:jc w:val="left"/>
    </w:pPr>
  </w:style>
  <w:style w:type="paragraph" w:styleId="3">
    <w:name w:val="envelope return"/>
    <w:basedOn w:val="1"/>
    <w:qFormat/>
    <w:uiPriority w:val="0"/>
    <w:pPr>
      <w:snapToGrid w:val="0"/>
    </w:pPr>
    <w:rPr>
      <w:rFonts w:ascii="Arial" w:hAnsi="Arial"/>
    </w:rPr>
  </w:style>
  <w:style w:type="paragraph" w:styleId="5">
    <w:name w:val="annotation text"/>
    <w:basedOn w:val="1"/>
    <w:qFormat/>
    <w:uiPriority w:val="99"/>
    <w:pPr>
      <w:jc w:val="left"/>
    </w:pPr>
  </w:style>
  <w:style w:type="paragraph" w:styleId="6">
    <w:name w:val="Body Text Indent"/>
    <w:basedOn w:val="1"/>
    <w:qFormat/>
    <w:uiPriority w:val="0"/>
    <w:pPr>
      <w:spacing w:line="460" w:lineRule="exact"/>
      <w:ind w:firstLine="555"/>
    </w:pPr>
    <w:rPr>
      <w:rFonts w:ascii="仿宋_GB2312" w:eastAsia="仿宋_GB2312"/>
      <w:sz w:val="28"/>
      <w:szCs w:val="20"/>
    </w:rPr>
  </w:style>
  <w:style w:type="paragraph" w:styleId="7">
    <w:name w:val="Block Text"/>
    <w:basedOn w:val="1"/>
    <w:qFormat/>
    <w:uiPriority w:val="0"/>
    <w:pPr>
      <w:widowControl/>
      <w:spacing w:line="360" w:lineRule="auto"/>
      <w:ind w:left="87" w:right="4" w:rightChars="2" w:firstLine="585"/>
    </w:pPr>
    <w:rPr>
      <w:rFonts w:ascii="仿宋_GB2312" w:eastAsia="仿宋_GB2312"/>
      <w:kern w:val="0"/>
      <w:sz w:val="28"/>
      <w:szCs w:val="20"/>
    </w:rPr>
  </w:style>
  <w:style w:type="character" w:styleId="10">
    <w:name w:val="Emphasis"/>
    <w:qFormat/>
    <w:uiPriority w:val="0"/>
  </w:style>
  <w:style w:type="paragraph" w:customStyle="1" w:styleId="11">
    <w:name w:val="0正文"/>
    <w:basedOn w:val="1"/>
    <w:semiHidden/>
    <w:qFormat/>
    <w:uiPriority w:val="0"/>
    <w:pPr>
      <w:spacing w:line="360" w:lineRule="auto"/>
      <w:ind w:firstLine="720" w:firstLineChars="200"/>
      <w:jc w:val="center"/>
    </w:pPr>
    <w:rPr>
      <w:kern w:val="0"/>
      <w:sz w:val="24"/>
      <w:szCs w:val="24"/>
    </w:rPr>
  </w:style>
  <w:style w:type="character" w:customStyle="1" w:styleId="12">
    <w:name w:val="fontstyle31"/>
    <w:qFormat/>
    <w:uiPriority w:val="0"/>
    <w:rPr>
      <w:rFonts w:hint="eastAsia" w:eastAsia="宋体"/>
      <w:color w:val="000000"/>
      <w:sz w:val="18"/>
      <w:szCs w:val="18"/>
    </w:rPr>
  </w:style>
  <w:style w:type="paragraph" w:customStyle="1" w:styleId="13">
    <w:name w:val="A表格内容五号"/>
    <w:basedOn w:val="1"/>
    <w:qFormat/>
    <w:uiPriority w:val="0"/>
    <w:pPr>
      <w:spacing w:line="240" w:lineRule="auto"/>
      <w:jc w:val="center"/>
    </w:pPr>
    <w:rPr>
      <w:rFonts w:ascii="Times New Roman" w:hAnsi="Times New Roman" w:eastAsia="宋体"/>
      <w:color w:val="auto"/>
      <w:szCs w:val="21"/>
    </w:rPr>
  </w:style>
  <w:style w:type="paragraph" w:customStyle="1" w:styleId="14">
    <w:name w:val="zhang正文"/>
    <w:basedOn w:val="6"/>
    <w:qFormat/>
    <w:uiPriority w:val="0"/>
    <w:pPr>
      <w:autoSpaceDE w:val="0"/>
      <w:autoSpaceDN w:val="0"/>
      <w:adjustRightInd w:val="0"/>
      <w:snapToGrid w:val="0"/>
      <w:spacing w:line="500" w:lineRule="exact"/>
      <w:ind w:firstLine="539"/>
      <w:textAlignment w:val="baseline"/>
    </w:pPr>
    <w:rPr>
      <w:rFonts w:ascii="Times New Roman" w:eastAsia="楷体_GB2312"/>
      <w:kern w:val="0"/>
      <w:lang w:val="en-US" w:eastAsia="zh-CN"/>
    </w:rPr>
  </w:style>
  <w:style w:type="character" w:customStyle="1" w:styleId="15">
    <w:name w:val="标题 2 Char"/>
    <w:qFormat/>
    <w:uiPriority w:val="0"/>
    <w:rPr>
      <w:rFonts w:ascii="Times New Roman" w:hAnsi="Times New Roman" w:eastAsia="宋体" w:cs="Times New Roman"/>
      <w:b/>
      <w:kern w:val="24"/>
      <w:sz w:val="28"/>
      <w:szCs w:val="22"/>
    </w:rPr>
  </w:style>
  <w:style w:type="paragraph" w:customStyle="1" w:styleId="16">
    <w:name w:val="验收报告正文"/>
    <w:basedOn w:val="1"/>
    <w:qFormat/>
    <w:uiPriority w:val="0"/>
    <w:pPr>
      <w:spacing w:line="360" w:lineRule="auto"/>
      <w:ind w:firstLine="640" w:firstLineChars="200"/>
    </w:pPr>
    <w:rPr>
      <w:kern w:val="0"/>
      <w:sz w:val="24"/>
      <w:szCs w:val="20"/>
    </w:rPr>
  </w:style>
  <w:style w:type="paragraph" w:customStyle="1" w:styleId="17">
    <w:name w:val="普通(网站)1"/>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2023-02-01T01:50:00Z</dcterms:created>
  <dc:creator>Administrator</dc:creator>
  <cp:lastModifiedBy>Administrator</cp:lastModifiedBy>
  <dcterms:modified xsi:type="dcterms:W3CDTF">2023-02-01T01:50:51Z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96FF122FBD5D42DAA7B9789C23350ED8</vt:lpwstr>
  </property>
</Properties>
</file>