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bidi w:val="0"/>
        <w:spacing w:beforeAutospacing="0" w:afterAutospacing="0"/>
        <w:rPr>
          <w:rFonts w:hint="default" w:ascii="Times New Roman" w:hAnsi="Times New Roman" w:eastAsia="宋体" w:cs="Times New Roman"/>
          <w:color w:val="000000" w:themeColor="text1"/>
          <w:sz w:val="36"/>
          <w:szCs w:val="36"/>
          <w:highlight w:val="none"/>
          <w14:textFill>
            <w14:solidFill>
              <w14:schemeClr w14:val="tx1"/>
            </w14:solidFill>
          </w14:textFill>
        </w:rPr>
      </w:pPr>
      <w:bookmarkStart w:id="116" w:name="_GoBack"/>
    </w:p>
    <w:p>
      <w:pPr>
        <w:pageBreakBefore w:val="0"/>
        <w:kinsoku/>
        <w:bidi w:val="0"/>
        <w:spacing w:beforeAutospacing="0" w:afterAutospacing="0"/>
        <w:rPr>
          <w:rFonts w:hint="default" w:ascii="Times New Roman" w:hAnsi="Times New Roman" w:eastAsia="宋体" w:cs="Times New Roman"/>
          <w:color w:val="000000" w:themeColor="text1"/>
          <w:sz w:val="36"/>
          <w:szCs w:val="36"/>
          <w:highlight w:val="none"/>
          <w14:textFill>
            <w14:solidFill>
              <w14:schemeClr w14:val="tx1"/>
            </w14:solidFill>
          </w14:textFill>
        </w:rPr>
      </w:pPr>
    </w:p>
    <w:p>
      <w:pPr>
        <w:pageBreakBefore w:val="0"/>
        <w:kinsoku/>
        <w:bidi w:val="0"/>
        <w:adjustRightInd w:val="0"/>
        <w:snapToGrid w:val="0"/>
        <w:spacing w:beforeAutospacing="0" w:afterAutospacing="0"/>
        <w:ind w:firstLine="0" w:firstLineChars="0"/>
        <w:jc w:val="center"/>
        <w:rPr>
          <w:rFonts w:hint="default" w:ascii="Times New Roman" w:hAnsi="Times New Roman" w:eastAsia="宋体" w:cs="Times New Roman"/>
          <w:bCs/>
          <w:color w:val="000000" w:themeColor="text1"/>
          <w:sz w:val="72"/>
          <w:szCs w:val="72"/>
          <w:highlight w:val="none"/>
          <w14:textFill>
            <w14:solidFill>
              <w14:schemeClr w14:val="tx1"/>
            </w14:solidFill>
          </w14:textFill>
        </w:rPr>
      </w:pPr>
      <w:bookmarkStart w:id="0" w:name="_Toc13256"/>
      <w:r>
        <w:rPr>
          <w:rFonts w:hint="default" w:ascii="Times New Roman" w:hAnsi="Times New Roman" w:eastAsia="宋体" w:cs="Times New Roman"/>
          <w:bCs/>
          <w:color w:val="000000" w:themeColor="text1"/>
          <w:sz w:val="72"/>
          <w:szCs w:val="72"/>
          <w:highlight w:val="none"/>
          <w14:textFill>
            <w14:solidFill>
              <w14:schemeClr w14:val="tx1"/>
            </w14:solidFill>
          </w14:textFill>
        </w:rPr>
        <w:t>建设项目环境影响报告表</w:t>
      </w:r>
      <w:bookmarkEnd w:id="0"/>
    </w:p>
    <w:p>
      <w:pPr>
        <w:pageBreakBefore w:val="0"/>
        <w:kinsoku/>
        <w:bidi w:val="0"/>
        <w:adjustRightInd w:val="0"/>
        <w:snapToGrid w:val="0"/>
        <w:spacing w:beforeAutospacing="0" w:afterAutospacing="0"/>
        <w:ind w:firstLine="0" w:firstLineChars="0"/>
        <w:jc w:val="center"/>
        <w:rPr>
          <w:rFonts w:hint="default" w:ascii="Times New Roman" w:hAnsi="Times New Roman" w:eastAsia="宋体" w:cs="Times New Roman"/>
          <w:bCs/>
          <w:color w:val="000000" w:themeColor="text1"/>
          <w:sz w:val="48"/>
          <w:szCs w:val="48"/>
          <w:highlight w:val="none"/>
          <w14:textFill>
            <w14:solidFill>
              <w14:schemeClr w14:val="tx1"/>
            </w14:solidFill>
          </w14:textFill>
        </w:rPr>
      </w:pPr>
      <w:bookmarkStart w:id="1" w:name="_Toc30419"/>
      <w:r>
        <w:rPr>
          <w:rFonts w:hint="default" w:ascii="Times New Roman" w:hAnsi="Times New Roman" w:eastAsia="宋体" w:cs="Times New Roman"/>
          <w:bCs/>
          <w:color w:val="000000" w:themeColor="text1"/>
          <w:sz w:val="48"/>
          <w:szCs w:val="48"/>
          <w:highlight w:val="none"/>
          <w14:textFill>
            <w14:solidFill>
              <w14:schemeClr w14:val="tx1"/>
            </w14:solidFill>
          </w14:textFill>
        </w:rPr>
        <w:t>（</w:t>
      </w:r>
      <w:r>
        <w:rPr>
          <w:rFonts w:hint="eastAsia" w:ascii="Times New Roman" w:hAnsi="Times New Roman" w:eastAsia="宋体" w:cs="Times New Roman"/>
          <w:bCs/>
          <w:color w:val="000000" w:themeColor="text1"/>
          <w:sz w:val="48"/>
          <w:szCs w:val="48"/>
          <w:highlight w:val="none"/>
          <w:lang w:val="en-US" w:eastAsia="zh-CN"/>
          <w14:textFill>
            <w14:solidFill>
              <w14:schemeClr w14:val="tx1"/>
            </w14:solidFill>
          </w14:textFill>
        </w:rPr>
        <w:t>生态</w:t>
      </w:r>
      <w:r>
        <w:rPr>
          <w:rFonts w:hint="default" w:ascii="Times New Roman" w:hAnsi="Times New Roman" w:eastAsia="宋体" w:cs="Times New Roman"/>
          <w:bCs/>
          <w:color w:val="000000" w:themeColor="text1"/>
          <w:sz w:val="48"/>
          <w:szCs w:val="48"/>
          <w:highlight w:val="none"/>
          <w14:textFill>
            <w14:solidFill>
              <w14:schemeClr w14:val="tx1"/>
            </w14:solidFill>
          </w14:textFill>
        </w:rPr>
        <w:t>影响类）</w:t>
      </w:r>
      <w:bookmarkEnd w:id="1"/>
    </w:p>
    <w:p>
      <w:pPr>
        <w:pageBreakBefore w:val="0"/>
        <w:kinsoku/>
        <w:bidi w:val="0"/>
        <w:spacing w:beforeAutospacing="0" w:afterAutospacing="0"/>
        <w:ind w:firstLine="480"/>
        <w:rPr>
          <w:rFonts w:hint="default" w:ascii="Times New Roman" w:hAnsi="Times New Roman" w:eastAsia="宋体" w:cs="Times New Roman"/>
          <w:color w:val="000000" w:themeColor="text1"/>
          <w:highlight w:val="none"/>
          <w14:textFill>
            <w14:solidFill>
              <w14:schemeClr w14:val="tx1"/>
            </w14:solidFill>
          </w14:textFill>
        </w:rPr>
      </w:pPr>
    </w:p>
    <w:p>
      <w:pPr>
        <w:pStyle w:val="142"/>
        <w:pageBreakBefore w:val="0"/>
        <w:tabs>
          <w:tab w:val="left" w:pos="5989"/>
        </w:tabs>
        <w:kinsoku/>
        <w:bidi w:val="0"/>
        <w:spacing w:beforeAutospacing="0" w:afterAutospacing="0"/>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tab/>
      </w:r>
    </w:p>
    <w:p>
      <w:pPr>
        <w:pStyle w:val="142"/>
        <w:pageBreakBefore w:val="0"/>
        <w:kinsoku/>
        <w:bidi w:val="0"/>
        <w:spacing w:beforeAutospacing="0" w:afterAutospacing="0"/>
        <w:rPr>
          <w:rFonts w:hint="eastAsia"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p>
    <w:p>
      <w:pPr>
        <w:pStyle w:val="142"/>
        <w:pageBreakBefore w:val="0"/>
        <w:kinsoku/>
        <w:bidi w:val="0"/>
        <w:spacing w:beforeAutospacing="0" w:afterAutospacing="0"/>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p>
    <w:p>
      <w:pPr>
        <w:pStyle w:val="142"/>
        <w:pageBreakBefore w:val="0"/>
        <w:kinsoku/>
        <w:bidi w:val="0"/>
        <w:spacing w:beforeAutospacing="0" w:afterAutospacing="0"/>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p>
    <w:p>
      <w:pPr>
        <w:pStyle w:val="142"/>
        <w:pageBreakBefore w:val="0"/>
        <w:kinsoku/>
        <w:bidi w:val="0"/>
        <w:spacing w:beforeAutospacing="0" w:afterAutospacing="0"/>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p>
    <w:p>
      <w:pPr>
        <w:pStyle w:val="142"/>
        <w:pageBreakBefore w:val="0"/>
        <w:kinsoku/>
        <w:bidi w:val="0"/>
        <w:spacing w:beforeAutospacing="0" w:afterAutospacing="0"/>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p>
    <w:p>
      <w:pPr>
        <w:pageBreakBefore w:val="0"/>
        <w:kinsoku/>
        <w:bidi w:val="0"/>
        <w:spacing w:beforeAutospacing="0" w:afterAutospacing="0"/>
        <w:ind w:firstLine="880"/>
        <w:rPr>
          <w:rFonts w:hint="default" w:ascii="Times New Roman" w:hAnsi="Times New Roman" w:eastAsia="宋体" w:cs="Times New Roman"/>
          <w:color w:val="000000" w:themeColor="text1"/>
          <w:sz w:val="44"/>
          <w:szCs w:val="4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1800" w:hanging="1800" w:hangingChars="500"/>
        <w:jc w:val="left"/>
        <w:textAlignment w:val="auto"/>
        <w:rPr>
          <w:rFonts w:hint="default" w:ascii="Times New Roman" w:hAnsi="Times New Roman" w:eastAsia="宋体" w:cs="Times New Roman"/>
          <w:color w:val="000000" w:themeColor="text1"/>
          <w:sz w:val="36"/>
          <w:szCs w:val="36"/>
          <w:highlight w:val="none"/>
          <w:u w:val="single"/>
          <w:lang w:val="en-US" w:eastAsia="zh-CN"/>
          <w14:textFill>
            <w14:solidFill>
              <w14:schemeClr w14:val="tx1"/>
            </w14:solidFill>
          </w14:textFill>
        </w:rPr>
      </w:pPr>
      <w:bookmarkStart w:id="2" w:name="_Toc11885"/>
      <w:r>
        <w:rPr>
          <w:rFonts w:hint="default" w:ascii="Times New Roman" w:hAnsi="Times New Roman" w:eastAsia="宋体" w:cs="Times New Roman"/>
          <w:color w:val="000000" w:themeColor="text1"/>
          <w:sz w:val="36"/>
          <w:szCs w:val="36"/>
          <w:highlight w:val="none"/>
          <w14:textFill>
            <w14:solidFill>
              <w14:schemeClr w14:val="tx1"/>
            </w14:solidFill>
          </w14:textFill>
        </w:rPr>
        <w:t>项</w:t>
      </w:r>
      <w:r>
        <w:rPr>
          <w:rFonts w:hint="eastAsia" w:ascii="Times New Roman" w:hAnsi="Times New Roman" w:eastAsia="宋体" w:cs="Times New Roman"/>
          <w:color w:val="000000" w:themeColor="text1"/>
          <w:sz w:val="36"/>
          <w:szCs w:val="36"/>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36"/>
          <w:szCs w:val="36"/>
          <w:highlight w:val="none"/>
          <w14:textFill>
            <w14:solidFill>
              <w14:schemeClr w14:val="tx1"/>
            </w14:solidFill>
          </w14:textFill>
        </w:rPr>
        <w:t>目</w:t>
      </w:r>
      <w:r>
        <w:rPr>
          <w:rFonts w:hint="eastAsia" w:ascii="Times New Roman" w:hAnsi="Times New Roman" w:eastAsia="宋体" w:cs="Times New Roman"/>
          <w:color w:val="000000" w:themeColor="text1"/>
          <w:sz w:val="36"/>
          <w:szCs w:val="36"/>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36"/>
          <w:szCs w:val="36"/>
          <w:highlight w:val="none"/>
          <w14:textFill>
            <w14:solidFill>
              <w14:schemeClr w14:val="tx1"/>
            </w14:solidFill>
          </w14:textFill>
        </w:rPr>
        <w:t>名</w:t>
      </w:r>
      <w:r>
        <w:rPr>
          <w:rFonts w:hint="eastAsia" w:ascii="Times New Roman" w:hAnsi="Times New Roman" w:eastAsia="宋体" w:cs="Times New Roman"/>
          <w:color w:val="000000" w:themeColor="text1"/>
          <w:sz w:val="36"/>
          <w:szCs w:val="36"/>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36"/>
          <w:szCs w:val="36"/>
          <w:highlight w:val="none"/>
          <w14:textFill>
            <w14:solidFill>
              <w14:schemeClr w14:val="tx1"/>
            </w14:solidFill>
          </w14:textFill>
        </w:rPr>
        <w:t>称：</w:t>
      </w:r>
      <w:bookmarkEnd w:id="2"/>
      <w:bookmarkStart w:id="3" w:name="_Toc17957"/>
      <w:r>
        <w:rPr>
          <w:rFonts w:hint="eastAsia" w:ascii="Times New Roman" w:hAnsi="Times New Roman" w:eastAsia="宋体" w:cs="Times New Roman"/>
          <w:color w:val="000000" w:themeColor="text1"/>
          <w:sz w:val="36"/>
          <w:szCs w:val="36"/>
          <w:highlight w:val="none"/>
          <w:u w:val="single"/>
          <w:lang w:val="en-US" w:eastAsia="zh-CN"/>
          <w14:textFill>
            <w14:solidFill>
              <w14:schemeClr w14:val="tx1"/>
            </w14:solidFill>
          </w14:textFill>
        </w:rPr>
        <w:t xml:space="preserve">       万成物流仓储项目        </w:t>
      </w:r>
    </w:p>
    <w:bookmarkEnd w:id="3"/>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0" w:firstLineChars="0"/>
        <w:textAlignment w:val="auto"/>
        <w:rPr>
          <w:rFonts w:hint="default" w:ascii="Times New Roman" w:hAnsi="Times New Roman" w:eastAsia="宋体" w:cs="Times New Roman"/>
          <w:color w:val="000000" w:themeColor="text1"/>
          <w:sz w:val="36"/>
          <w:szCs w:val="36"/>
          <w:highlight w:val="none"/>
          <w:u w:val="single"/>
          <w:lang w:val="en-US" w:eastAsia="zh-CN"/>
          <w14:textFill>
            <w14:solidFill>
              <w14:schemeClr w14:val="tx1"/>
            </w14:solidFill>
          </w14:textFill>
        </w:rPr>
      </w:pPr>
      <w:bookmarkStart w:id="4" w:name="_Toc16728"/>
      <w:r>
        <w:rPr>
          <w:rFonts w:hint="default" w:ascii="Times New Roman" w:hAnsi="Times New Roman" w:eastAsia="宋体" w:cs="Times New Roman"/>
          <w:color w:val="000000" w:themeColor="text1"/>
          <w:sz w:val="36"/>
          <w:szCs w:val="36"/>
          <w:highlight w:val="none"/>
          <w14:textFill>
            <w14:solidFill>
              <w14:schemeClr w14:val="tx1"/>
            </w14:solidFill>
          </w14:textFill>
        </w:rPr>
        <w:t>建设单位（盖章）：</w:t>
      </w:r>
      <w:bookmarkEnd w:id="4"/>
      <w:r>
        <w:rPr>
          <w:rFonts w:hint="eastAsia" w:ascii="Times New Roman" w:hAnsi="Times New Roman" w:eastAsia="宋体" w:cs="Times New Roman"/>
          <w:color w:val="000000" w:themeColor="text1"/>
          <w:sz w:val="36"/>
          <w:szCs w:val="36"/>
          <w:highlight w:val="none"/>
          <w:u w:val="singl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36"/>
          <w:szCs w:val="36"/>
          <w:highlight w:val="none"/>
          <w:u w:val="single"/>
          <w:lang w:eastAsia="zh-CN"/>
          <w14:textFill>
            <w14:solidFill>
              <w14:schemeClr w14:val="tx1"/>
            </w14:solidFill>
          </w14:textFill>
        </w:rPr>
        <w:t>福建</w:t>
      </w:r>
      <w:r>
        <w:rPr>
          <w:rFonts w:hint="eastAsia" w:ascii="Times New Roman" w:hAnsi="Times New Roman" w:eastAsia="宋体" w:cs="Times New Roman"/>
          <w:color w:val="000000" w:themeColor="text1"/>
          <w:sz w:val="36"/>
          <w:szCs w:val="36"/>
          <w:highlight w:val="none"/>
          <w:u w:val="single"/>
          <w:lang w:val="en-US" w:eastAsia="zh-CN"/>
          <w14:textFill>
            <w14:solidFill>
              <w14:schemeClr w14:val="tx1"/>
            </w14:solidFill>
          </w14:textFill>
        </w:rPr>
        <w:t>万成港口开发</w:t>
      </w:r>
      <w:r>
        <w:rPr>
          <w:rFonts w:hint="default" w:ascii="Times New Roman" w:hAnsi="Times New Roman" w:eastAsia="宋体" w:cs="Times New Roman"/>
          <w:color w:val="000000" w:themeColor="text1"/>
          <w:sz w:val="36"/>
          <w:szCs w:val="36"/>
          <w:highlight w:val="none"/>
          <w:u w:val="single"/>
          <w:lang w:eastAsia="zh-CN"/>
          <w14:textFill>
            <w14:solidFill>
              <w14:schemeClr w14:val="tx1"/>
            </w14:solidFill>
          </w14:textFill>
        </w:rPr>
        <w:t>有限公司</w:t>
      </w:r>
      <w:r>
        <w:rPr>
          <w:rFonts w:hint="eastAsia" w:ascii="Times New Roman" w:hAnsi="Times New Roman" w:eastAsia="宋体" w:cs="Times New Roman"/>
          <w:color w:val="000000" w:themeColor="text1"/>
          <w:sz w:val="36"/>
          <w:szCs w:val="36"/>
          <w:highlight w:val="none"/>
          <w:u w:val="singl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textAlignment w:val="auto"/>
        <w:rPr>
          <w:rFonts w:hint="default" w:ascii="Times New Roman" w:hAnsi="Times New Roman" w:eastAsia="宋体" w:cs="Times New Roman"/>
          <w:color w:val="000000" w:themeColor="text1"/>
          <w:sz w:val="36"/>
          <w:szCs w:val="36"/>
          <w:highlight w:val="none"/>
          <w:u w:val="single"/>
          <w14:textFill>
            <w14:solidFill>
              <w14:schemeClr w14:val="tx1"/>
            </w14:solidFill>
          </w14:textFill>
        </w:rPr>
      </w:pPr>
      <w:bookmarkStart w:id="5" w:name="_Toc20189"/>
      <w:r>
        <w:rPr>
          <w:rFonts w:hint="default" w:ascii="Times New Roman" w:hAnsi="Times New Roman" w:eastAsia="宋体" w:cs="Times New Roman"/>
          <w:color w:val="000000" w:themeColor="text1"/>
          <w:sz w:val="36"/>
          <w:szCs w:val="36"/>
          <w:highlight w:val="none"/>
          <w14:textFill>
            <w14:solidFill>
              <w14:schemeClr w14:val="tx1"/>
            </w14:solidFill>
          </w14:textFill>
        </w:rPr>
        <w:t>编</w:t>
      </w:r>
      <w:r>
        <w:rPr>
          <w:rFonts w:hint="eastAsia" w:ascii="Times New Roman" w:hAnsi="Times New Roman" w:eastAsia="宋体" w:cs="Times New Roman"/>
          <w:color w:val="000000" w:themeColor="text1"/>
          <w:sz w:val="36"/>
          <w:szCs w:val="36"/>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36"/>
          <w:szCs w:val="36"/>
          <w:highlight w:val="none"/>
          <w14:textFill>
            <w14:solidFill>
              <w14:schemeClr w14:val="tx1"/>
            </w14:solidFill>
          </w14:textFill>
        </w:rPr>
        <w:t>制</w:t>
      </w:r>
      <w:r>
        <w:rPr>
          <w:rFonts w:hint="eastAsia" w:ascii="Times New Roman" w:hAnsi="Times New Roman" w:eastAsia="宋体" w:cs="Times New Roman"/>
          <w:color w:val="000000" w:themeColor="text1"/>
          <w:sz w:val="36"/>
          <w:szCs w:val="36"/>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36"/>
          <w:szCs w:val="36"/>
          <w:highlight w:val="none"/>
          <w14:textFill>
            <w14:solidFill>
              <w14:schemeClr w14:val="tx1"/>
            </w14:solidFill>
          </w14:textFill>
        </w:rPr>
        <w:t>日</w:t>
      </w:r>
      <w:r>
        <w:rPr>
          <w:rFonts w:hint="eastAsia" w:ascii="Times New Roman" w:hAnsi="Times New Roman" w:eastAsia="宋体" w:cs="Times New Roman"/>
          <w:color w:val="000000" w:themeColor="text1"/>
          <w:sz w:val="36"/>
          <w:szCs w:val="36"/>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36"/>
          <w:szCs w:val="36"/>
          <w:highlight w:val="none"/>
          <w14:textFill>
            <w14:solidFill>
              <w14:schemeClr w14:val="tx1"/>
            </w14:solidFill>
          </w14:textFill>
        </w:rPr>
        <w:t>期：</w:t>
      </w:r>
      <w:r>
        <w:rPr>
          <w:rFonts w:hint="default" w:ascii="Times New Roman" w:hAnsi="Times New Roman" w:eastAsia="宋体" w:cs="Times New Roman"/>
          <w:color w:val="000000" w:themeColor="text1"/>
          <w:sz w:val="36"/>
          <w:szCs w:val="36"/>
          <w:highlight w:val="none"/>
          <w:u w:val="single"/>
          <w14:textFill>
            <w14:solidFill>
              <w14:schemeClr w14:val="tx1"/>
            </w14:solidFill>
          </w14:textFill>
        </w:rPr>
        <w:t xml:space="preserve">          </w:t>
      </w:r>
      <w:r>
        <w:rPr>
          <w:rFonts w:hint="eastAsia" w:ascii="Times New Roman" w:hAnsi="Times New Roman" w:eastAsia="宋体" w:cs="Times New Roman"/>
          <w:color w:val="000000" w:themeColor="text1"/>
          <w:sz w:val="36"/>
          <w:szCs w:val="36"/>
          <w:highlight w:val="none"/>
          <w:u w:val="singl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36"/>
          <w:szCs w:val="36"/>
          <w:highlight w:val="none"/>
          <w:u w:val="single"/>
          <w14:textFill>
            <w14:solidFill>
              <w14:schemeClr w14:val="tx1"/>
            </w14:solidFill>
          </w14:textFill>
        </w:rPr>
        <w:t>202</w:t>
      </w:r>
      <w:r>
        <w:rPr>
          <w:rFonts w:hint="eastAsia" w:ascii="Times New Roman" w:hAnsi="Times New Roman" w:eastAsia="宋体" w:cs="Times New Roman"/>
          <w:color w:val="000000" w:themeColor="text1"/>
          <w:sz w:val="36"/>
          <w:szCs w:val="36"/>
          <w:highlight w:val="none"/>
          <w:u w:val="single"/>
          <w:lang w:val="en-US" w:eastAsia="zh-CN"/>
          <w14:textFill>
            <w14:solidFill>
              <w14:schemeClr w14:val="tx1"/>
            </w14:solidFill>
          </w14:textFill>
        </w:rPr>
        <w:t>3</w:t>
      </w:r>
      <w:r>
        <w:rPr>
          <w:rFonts w:hint="default" w:ascii="Times New Roman" w:hAnsi="Times New Roman" w:eastAsia="宋体" w:cs="Times New Roman"/>
          <w:color w:val="000000" w:themeColor="text1"/>
          <w:sz w:val="36"/>
          <w:szCs w:val="36"/>
          <w:highlight w:val="none"/>
          <w:u w:val="single"/>
          <w14:textFill>
            <w14:solidFill>
              <w14:schemeClr w14:val="tx1"/>
            </w14:solidFill>
          </w14:textFill>
        </w:rPr>
        <w:t>年</w:t>
      </w:r>
      <w:r>
        <w:rPr>
          <w:rFonts w:hint="eastAsia" w:ascii="Times New Roman" w:hAnsi="Times New Roman" w:eastAsia="宋体" w:cs="Times New Roman"/>
          <w:color w:val="000000" w:themeColor="text1"/>
          <w:sz w:val="36"/>
          <w:szCs w:val="36"/>
          <w:highlight w:val="none"/>
          <w:u w:val="single"/>
          <w:lang w:val="en-US" w:eastAsia="zh-CN"/>
          <w14:textFill>
            <w14:solidFill>
              <w14:schemeClr w14:val="tx1"/>
            </w14:solidFill>
          </w14:textFill>
        </w:rPr>
        <w:t>4</w:t>
      </w:r>
      <w:r>
        <w:rPr>
          <w:rFonts w:hint="default" w:ascii="Times New Roman" w:hAnsi="Times New Roman" w:eastAsia="宋体" w:cs="Times New Roman"/>
          <w:color w:val="000000" w:themeColor="text1"/>
          <w:sz w:val="36"/>
          <w:szCs w:val="36"/>
          <w:highlight w:val="none"/>
          <w:u w:val="single"/>
          <w14:textFill>
            <w14:solidFill>
              <w14:schemeClr w14:val="tx1"/>
            </w14:solidFill>
          </w14:textFill>
        </w:rPr>
        <w:t>月</w:t>
      </w:r>
      <w:bookmarkEnd w:id="5"/>
      <w:r>
        <w:rPr>
          <w:rFonts w:hint="default" w:ascii="Times New Roman" w:hAnsi="Times New Roman" w:eastAsia="宋体" w:cs="Times New Roman"/>
          <w:color w:val="000000" w:themeColor="text1"/>
          <w:sz w:val="36"/>
          <w:szCs w:val="36"/>
          <w:highlight w:val="none"/>
          <w:u w:val="single"/>
          <w14:textFill>
            <w14:solidFill>
              <w14:schemeClr w14:val="tx1"/>
            </w14:solidFill>
          </w14:textFill>
        </w:rPr>
        <w:t xml:space="preserve">            </w:t>
      </w:r>
    </w:p>
    <w:p>
      <w:pPr>
        <w:pStyle w:val="142"/>
        <w:pageBreakBefore w:val="0"/>
        <w:kinsoku/>
        <w:bidi w:val="0"/>
        <w:spacing w:beforeAutospacing="0" w:afterAutospacing="0"/>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bookmarkStart w:id="6" w:name="_Hlk57884087"/>
    </w:p>
    <w:p>
      <w:pPr>
        <w:pStyle w:val="142"/>
        <w:pageBreakBefore w:val="0"/>
        <w:kinsoku/>
        <w:bidi w:val="0"/>
        <w:spacing w:beforeAutospacing="0" w:afterAutospacing="0"/>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p>
    <w:p>
      <w:pPr>
        <w:pStyle w:val="142"/>
        <w:pageBreakBefore w:val="0"/>
        <w:kinsoku/>
        <w:bidi w:val="0"/>
        <w:spacing w:beforeAutospacing="0" w:afterAutospacing="0"/>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p>
    <w:p>
      <w:pPr>
        <w:pStyle w:val="142"/>
        <w:pageBreakBefore w:val="0"/>
        <w:kinsoku/>
        <w:bidi w:val="0"/>
        <w:spacing w:beforeAutospacing="0" w:afterAutospacing="0"/>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p>
    <w:p>
      <w:pPr>
        <w:pStyle w:val="142"/>
        <w:pageBreakBefore w:val="0"/>
        <w:kinsoku/>
        <w:bidi w:val="0"/>
        <w:spacing w:beforeAutospacing="0" w:afterAutospacing="0"/>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p>
    <w:p>
      <w:pPr>
        <w:pStyle w:val="142"/>
        <w:pageBreakBefore w:val="0"/>
        <w:kinsoku/>
        <w:bidi w:val="0"/>
        <w:spacing w:beforeAutospacing="0" w:afterAutospacing="0"/>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p>
    <w:p>
      <w:pPr>
        <w:pStyle w:val="142"/>
        <w:pageBreakBefore w:val="0"/>
        <w:kinsoku/>
        <w:bidi w:val="0"/>
        <w:spacing w:beforeAutospacing="0" w:afterAutospacing="0"/>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p>
    <w:p>
      <w:pPr>
        <w:pStyle w:val="142"/>
        <w:pageBreakBefore w:val="0"/>
        <w:kinsoku/>
        <w:bidi w:val="0"/>
        <w:spacing w:beforeAutospacing="0" w:afterAutospacing="0"/>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p>
    <w:p>
      <w:pPr>
        <w:pStyle w:val="142"/>
        <w:pageBreakBefore w:val="0"/>
        <w:kinsoku/>
        <w:bidi w:val="0"/>
        <w:spacing w:beforeAutospacing="0" w:afterAutospacing="0"/>
        <w:rPr>
          <w:rFonts w:hint="default" w:ascii="Times New Roman" w:hAnsi="Times New Roman" w:eastAsia="宋体" w:cs="Times New Roman"/>
          <w:color w:val="000000" w:themeColor="text1"/>
          <w:highlight w:val="none"/>
          <w:shd w:val="clear" w:color="auto" w:fill="auto"/>
          <w:lang w:val="en-US" w:eastAsia="zh-CN"/>
          <w14:textFill>
            <w14:solidFill>
              <w14:schemeClr w14:val="tx1"/>
            </w14:solidFill>
          </w14:textFill>
        </w:rPr>
      </w:pPr>
    </w:p>
    <w:bookmarkEnd w:id="6"/>
    <w:p>
      <w:pPr>
        <w:pageBreakBefore w:val="0"/>
        <w:kinsoku/>
        <w:bidi w:val="0"/>
        <w:adjustRightInd w:val="0"/>
        <w:snapToGrid w:val="0"/>
        <w:spacing w:beforeAutospacing="0" w:afterAutospacing="0" w:line="288" w:lineRule="auto"/>
        <w:jc w:val="center"/>
        <w:rPr>
          <w:rFonts w:hint="eastAsia" w:ascii="Times New Roman" w:hAnsi="Times New Roman" w:eastAsia="宋体"/>
          <w:color w:val="000000" w:themeColor="text1"/>
          <w:lang w:eastAsia="zh-CN"/>
          <w14:textFill>
            <w14:solidFill>
              <w14:schemeClr w14:val="tx1"/>
            </w14:solidFill>
          </w14:textFill>
        </w:rPr>
        <w:sectPr>
          <w:headerReference r:id="rId3" w:type="default"/>
          <w:footerReference r:id="rId4" w:type="default"/>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bookmarkStart w:id="7" w:name="_Toc5736"/>
      <w:r>
        <w:rPr>
          <w:rFonts w:hint="default" w:ascii="Times New Roman" w:hAnsi="Times New Roman" w:eastAsia="宋体" w:cs="Times New Roman"/>
          <w:color w:val="000000" w:themeColor="text1"/>
          <w:sz w:val="36"/>
          <w:szCs w:val="36"/>
          <w:highlight w:val="none"/>
          <w14:textFill>
            <w14:solidFill>
              <w14:schemeClr w14:val="tx1"/>
            </w14:solidFill>
          </w14:textFill>
        </w:rPr>
        <w:t>中华人民共和国生态环境部制</w:t>
      </w:r>
      <w:bookmarkEnd w:id="7"/>
    </w:p>
    <w:p>
      <w:pPr>
        <w:pageBreakBefore w:val="0"/>
        <w:kinsoku/>
        <w:bidi w:val="0"/>
        <w:spacing w:beforeAutospacing="0" w:afterAutospacing="0" w:line="360" w:lineRule="auto"/>
        <w:ind w:left="0" w:leftChars="0" w:right="0" w:rightChars="0" w:firstLine="0" w:firstLineChars="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目</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录</w:t>
      </w:r>
    </w:p>
    <w:p>
      <w:pPr>
        <w:pageBreakBefore w:val="0"/>
        <w:kinsoku/>
        <w:bidi w:val="0"/>
        <w:spacing w:beforeAutospacing="0" w:afterAutospacing="0" w:line="360" w:lineRule="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p>
    <w:p>
      <w:pPr>
        <w:pStyle w:val="28"/>
        <w:pageBreakBefore w:val="0"/>
        <w:tabs>
          <w:tab w:val="right" w:leader="dot" w:pos="8844"/>
        </w:tabs>
        <w:kinsoku/>
        <w:bidi w:val="0"/>
        <w:spacing w:beforeAutospacing="0" w:afterAutospacing="0" w:line="360" w:lineRule="auto"/>
        <w:rPr>
          <w:rFonts w:ascii="Times New Roman" w:hAnsi="Times New Roman" w:eastAsia="宋体"/>
          <w:color w:val="000000" w:themeColor="text1"/>
          <w:sz w:val="24"/>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instrText xml:space="preserve">TOC \o "1-1" \h \u </w:instrTex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instrText xml:space="preserve"> HYPERLINK \l _Toc2718 </w:instrTex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snapToGrid w:val="0"/>
          <w:color w:val="000000" w:themeColor="text1"/>
          <w:sz w:val="24"/>
          <w:szCs w:val="30"/>
          <w:highlight w:val="none"/>
          <w14:textFill>
            <w14:solidFill>
              <w14:schemeClr w14:val="tx1"/>
            </w14:solidFill>
          </w14:textFill>
        </w:rPr>
        <w:t>一、建设项目基本情况</w:t>
      </w:r>
      <w:r>
        <w:rPr>
          <w:rFonts w:ascii="Times New Roman" w:hAnsi="Times New Roman" w:eastAsia="宋体"/>
          <w:color w:val="000000" w:themeColor="text1"/>
          <w:sz w:val="24"/>
          <w14:textFill>
            <w14:solidFill>
              <w14:schemeClr w14:val="tx1"/>
            </w14:solidFill>
          </w14:textFill>
        </w:rPr>
        <w:tab/>
      </w:r>
      <w:r>
        <w:rPr>
          <w:rFonts w:ascii="Times New Roman" w:hAnsi="Times New Roman" w:eastAsia="宋体"/>
          <w:color w:val="000000" w:themeColor="text1"/>
          <w:sz w:val="24"/>
          <w14:textFill>
            <w14:solidFill>
              <w14:schemeClr w14:val="tx1"/>
            </w14:solidFill>
          </w14:textFill>
        </w:rPr>
        <w:fldChar w:fldCharType="begin"/>
      </w:r>
      <w:r>
        <w:rPr>
          <w:rFonts w:ascii="Times New Roman" w:hAnsi="Times New Roman" w:eastAsia="宋体"/>
          <w:color w:val="000000" w:themeColor="text1"/>
          <w:sz w:val="24"/>
          <w14:textFill>
            <w14:solidFill>
              <w14:schemeClr w14:val="tx1"/>
            </w14:solidFill>
          </w14:textFill>
        </w:rPr>
        <w:instrText xml:space="preserve"> PAGEREF _Toc2718 \h </w:instrText>
      </w:r>
      <w:r>
        <w:rPr>
          <w:rFonts w:ascii="Times New Roman" w:hAnsi="Times New Roman" w:eastAsia="宋体"/>
          <w:color w:val="000000" w:themeColor="text1"/>
          <w:sz w:val="24"/>
          <w14:textFill>
            <w14:solidFill>
              <w14:schemeClr w14:val="tx1"/>
            </w14:solidFill>
          </w14:textFill>
        </w:rPr>
        <w:fldChar w:fldCharType="separate"/>
      </w:r>
      <w:r>
        <w:rPr>
          <w:rFonts w:ascii="Times New Roman" w:hAnsi="Times New Roman" w:eastAsia="宋体"/>
          <w:color w:val="000000" w:themeColor="text1"/>
          <w:sz w:val="24"/>
          <w14:textFill>
            <w14:solidFill>
              <w14:schemeClr w14:val="tx1"/>
            </w14:solidFill>
          </w14:textFill>
        </w:rPr>
        <w:t>1</w:t>
      </w:r>
      <w:r>
        <w:rPr>
          <w:rFonts w:ascii="Times New Roman" w:hAnsi="Times New Roman" w:eastAsia="宋体"/>
          <w:color w:val="000000" w:themeColor="text1"/>
          <w:sz w:val="24"/>
          <w14:textFill>
            <w14:solidFill>
              <w14:schemeClr w14:val="tx1"/>
            </w14:solidFill>
          </w14:textFill>
        </w:rPr>
        <w:fldChar w:fldCharType="end"/>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fldChar w:fldCharType="end"/>
      </w:r>
    </w:p>
    <w:p>
      <w:pPr>
        <w:pStyle w:val="28"/>
        <w:pageBreakBefore w:val="0"/>
        <w:tabs>
          <w:tab w:val="right" w:leader="dot" w:pos="8844"/>
        </w:tabs>
        <w:kinsoku/>
        <w:bidi w:val="0"/>
        <w:spacing w:beforeAutospacing="0" w:afterAutospacing="0" w:line="360" w:lineRule="auto"/>
        <w:rPr>
          <w:rFonts w:ascii="Times New Roman" w:hAnsi="Times New Roman" w:eastAsia="宋体"/>
          <w:color w:val="000000" w:themeColor="text1"/>
          <w:sz w:val="24"/>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instrText xml:space="preserve"> HYPERLINK \l _Toc31871 </w:instrTex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fldChar w:fldCharType="separate"/>
      </w:r>
      <w:r>
        <w:rPr>
          <w:rFonts w:hint="eastAsia" w:ascii="Times New Roman" w:hAnsi="Times New Roman" w:eastAsia="宋体"/>
          <w:snapToGrid w:val="0"/>
          <w:color w:val="000000" w:themeColor="text1"/>
          <w:sz w:val="24"/>
          <w:szCs w:val="30"/>
          <w:highlight w:val="none"/>
          <w14:textFill>
            <w14:solidFill>
              <w14:schemeClr w14:val="tx1"/>
            </w14:solidFill>
          </w14:textFill>
        </w:rPr>
        <w:t>二、建设内容</w:t>
      </w:r>
      <w:r>
        <w:rPr>
          <w:rFonts w:ascii="Times New Roman" w:hAnsi="Times New Roman" w:eastAsia="宋体"/>
          <w:color w:val="000000" w:themeColor="text1"/>
          <w:sz w:val="24"/>
          <w14:textFill>
            <w14:solidFill>
              <w14:schemeClr w14:val="tx1"/>
            </w14:solidFill>
          </w14:textFill>
        </w:rPr>
        <w:tab/>
      </w:r>
      <w:r>
        <w:rPr>
          <w:rFonts w:ascii="Times New Roman" w:hAnsi="Times New Roman" w:eastAsia="宋体"/>
          <w:color w:val="000000" w:themeColor="text1"/>
          <w:sz w:val="24"/>
          <w14:textFill>
            <w14:solidFill>
              <w14:schemeClr w14:val="tx1"/>
            </w14:solidFill>
          </w14:textFill>
        </w:rPr>
        <w:fldChar w:fldCharType="begin"/>
      </w:r>
      <w:r>
        <w:rPr>
          <w:rFonts w:ascii="Times New Roman" w:hAnsi="Times New Roman" w:eastAsia="宋体"/>
          <w:color w:val="000000" w:themeColor="text1"/>
          <w:sz w:val="24"/>
          <w14:textFill>
            <w14:solidFill>
              <w14:schemeClr w14:val="tx1"/>
            </w14:solidFill>
          </w14:textFill>
        </w:rPr>
        <w:instrText xml:space="preserve"> PAGEREF _Toc31871 \h </w:instrText>
      </w:r>
      <w:r>
        <w:rPr>
          <w:rFonts w:ascii="Times New Roman" w:hAnsi="Times New Roman" w:eastAsia="宋体"/>
          <w:color w:val="000000" w:themeColor="text1"/>
          <w:sz w:val="24"/>
          <w14:textFill>
            <w14:solidFill>
              <w14:schemeClr w14:val="tx1"/>
            </w14:solidFill>
          </w14:textFill>
        </w:rPr>
        <w:fldChar w:fldCharType="separate"/>
      </w:r>
      <w:r>
        <w:rPr>
          <w:rFonts w:ascii="Times New Roman" w:hAnsi="Times New Roman" w:eastAsia="宋体"/>
          <w:color w:val="000000" w:themeColor="text1"/>
          <w:sz w:val="24"/>
          <w14:textFill>
            <w14:solidFill>
              <w14:schemeClr w14:val="tx1"/>
            </w14:solidFill>
          </w14:textFill>
        </w:rPr>
        <w:t>9</w:t>
      </w:r>
      <w:r>
        <w:rPr>
          <w:rFonts w:ascii="Times New Roman" w:hAnsi="Times New Roman" w:eastAsia="宋体"/>
          <w:color w:val="000000" w:themeColor="text1"/>
          <w:sz w:val="24"/>
          <w14:textFill>
            <w14:solidFill>
              <w14:schemeClr w14:val="tx1"/>
            </w14:solidFill>
          </w14:textFill>
        </w:rPr>
        <w:fldChar w:fldCharType="end"/>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fldChar w:fldCharType="end"/>
      </w:r>
    </w:p>
    <w:p>
      <w:pPr>
        <w:pStyle w:val="28"/>
        <w:pageBreakBefore w:val="0"/>
        <w:tabs>
          <w:tab w:val="right" w:leader="dot" w:pos="8844"/>
        </w:tabs>
        <w:kinsoku/>
        <w:bidi w:val="0"/>
        <w:spacing w:beforeAutospacing="0" w:afterAutospacing="0" w:line="360" w:lineRule="auto"/>
        <w:rPr>
          <w:rFonts w:ascii="Times New Roman" w:hAnsi="Times New Roman" w:eastAsia="宋体"/>
          <w:color w:val="000000" w:themeColor="text1"/>
          <w:sz w:val="24"/>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instrText xml:space="preserve"> HYPERLINK \l _Toc24761 </w:instrTex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snapToGrid w:val="0"/>
          <w:color w:val="000000" w:themeColor="text1"/>
          <w:sz w:val="24"/>
          <w:szCs w:val="30"/>
          <w:highlight w:val="none"/>
          <w14:textFill>
            <w14:solidFill>
              <w14:schemeClr w14:val="tx1"/>
            </w14:solidFill>
          </w14:textFill>
        </w:rPr>
        <w:t>三、生态环境现状、保护目标及评价标准</w:t>
      </w:r>
      <w:r>
        <w:rPr>
          <w:rFonts w:ascii="Times New Roman" w:hAnsi="Times New Roman" w:eastAsia="宋体"/>
          <w:color w:val="000000" w:themeColor="text1"/>
          <w:sz w:val="24"/>
          <w14:textFill>
            <w14:solidFill>
              <w14:schemeClr w14:val="tx1"/>
            </w14:solidFill>
          </w14:textFill>
        </w:rPr>
        <w:tab/>
      </w:r>
      <w:r>
        <w:rPr>
          <w:rFonts w:ascii="Times New Roman" w:hAnsi="Times New Roman" w:eastAsia="宋体"/>
          <w:color w:val="000000" w:themeColor="text1"/>
          <w:sz w:val="24"/>
          <w14:textFill>
            <w14:solidFill>
              <w14:schemeClr w14:val="tx1"/>
            </w14:solidFill>
          </w14:textFill>
        </w:rPr>
        <w:fldChar w:fldCharType="begin"/>
      </w:r>
      <w:r>
        <w:rPr>
          <w:rFonts w:ascii="Times New Roman" w:hAnsi="Times New Roman" w:eastAsia="宋体"/>
          <w:color w:val="000000" w:themeColor="text1"/>
          <w:sz w:val="24"/>
          <w14:textFill>
            <w14:solidFill>
              <w14:schemeClr w14:val="tx1"/>
            </w14:solidFill>
          </w14:textFill>
        </w:rPr>
        <w:instrText xml:space="preserve"> PAGEREF _Toc24761 \h </w:instrText>
      </w:r>
      <w:r>
        <w:rPr>
          <w:rFonts w:ascii="Times New Roman" w:hAnsi="Times New Roman" w:eastAsia="宋体"/>
          <w:color w:val="000000" w:themeColor="text1"/>
          <w:sz w:val="24"/>
          <w14:textFill>
            <w14:solidFill>
              <w14:schemeClr w14:val="tx1"/>
            </w14:solidFill>
          </w14:textFill>
        </w:rPr>
        <w:fldChar w:fldCharType="separate"/>
      </w:r>
      <w:r>
        <w:rPr>
          <w:rFonts w:ascii="Times New Roman" w:hAnsi="Times New Roman" w:eastAsia="宋体"/>
          <w:color w:val="000000" w:themeColor="text1"/>
          <w:sz w:val="24"/>
          <w14:textFill>
            <w14:solidFill>
              <w14:schemeClr w14:val="tx1"/>
            </w14:solidFill>
          </w14:textFill>
        </w:rPr>
        <w:t>29</w:t>
      </w:r>
      <w:r>
        <w:rPr>
          <w:rFonts w:ascii="Times New Roman" w:hAnsi="Times New Roman" w:eastAsia="宋体"/>
          <w:color w:val="000000" w:themeColor="text1"/>
          <w:sz w:val="24"/>
          <w14:textFill>
            <w14:solidFill>
              <w14:schemeClr w14:val="tx1"/>
            </w14:solidFill>
          </w14:textFill>
        </w:rPr>
        <w:fldChar w:fldCharType="end"/>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fldChar w:fldCharType="end"/>
      </w:r>
    </w:p>
    <w:p>
      <w:pPr>
        <w:pStyle w:val="28"/>
        <w:pageBreakBefore w:val="0"/>
        <w:tabs>
          <w:tab w:val="right" w:leader="dot" w:pos="8844"/>
        </w:tabs>
        <w:kinsoku/>
        <w:bidi w:val="0"/>
        <w:spacing w:beforeAutospacing="0" w:afterAutospacing="0" w:line="360" w:lineRule="auto"/>
        <w:rPr>
          <w:rFonts w:ascii="Times New Roman" w:hAnsi="Times New Roman" w:eastAsia="宋体"/>
          <w:color w:val="000000" w:themeColor="text1"/>
          <w:sz w:val="24"/>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instrText xml:space="preserve"> HYPERLINK \l _Toc16294 </w:instrTex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snapToGrid w:val="0"/>
          <w:color w:val="000000" w:themeColor="text1"/>
          <w:sz w:val="24"/>
          <w:szCs w:val="30"/>
          <w:highlight w:val="none"/>
          <w14:textFill>
            <w14:solidFill>
              <w14:schemeClr w14:val="tx1"/>
            </w14:solidFill>
          </w14:textFill>
        </w:rPr>
        <w:t>四、生态环境影响分析</w:t>
      </w:r>
      <w:r>
        <w:rPr>
          <w:rFonts w:ascii="Times New Roman" w:hAnsi="Times New Roman" w:eastAsia="宋体"/>
          <w:color w:val="000000" w:themeColor="text1"/>
          <w:sz w:val="24"/>
          <w14:textFill>
            <w14:solidFill>
              <w14:schemeClr w14:val="tx1"/>
            </w14:solidFill>
          </w14:textFill>
        </w:rPr>
        <w:tab/>
      </w:r>
      <w:r>
        <w:rPr>
          <w:rFonts w:ascii="Times New Roman" w:hAnsi="Times New Roman" w:eastAsia="宋体"/>
          <w:color w:val="000000" w:themeColor="text1"/>
          <w:sz w:val="24"/>
          <w14:textFill>
            <w14:solidFill>
              <w14:schemeClr w14:val="tx1"/>
            </w14:solidFill>
          </w14:textFill>
        </w:rPr>
        <w:fldChar w:fldCharType="begin"/>
      </w:r>
      <w:r>
        <w:rPr>
          <w:rFonts w:ascii="Times New Roman" w:hAnsi="Times New Roman" w:eastAsia="宋体"/>
          <w:color w:val="000000" w:themeColor="text1"/>
          <w:sz w:val="24"/>
          <w14:textFill>
            <w14:solidFill>
              <w14:schemeClr w14:val="tx1"/>
            </w14:solidFill>
          </w14:textFill>
        </w:rPr>
        <w:instrText xml:space="preserve"> PAGEREF _Toc16294 \h </w:instrText>
      </w:r>
      <w:r>
        <w:rPr>
          <w:rFonts w:ascii="Times New Roman" w:hAnsi="Times New Roman" w:eastAsia="宋体"/>
          <w:color w:val="000000" w:themeColor="text1"/>
          <w:sz w:val="24"/>
          <w14:textFill>
            <w14:solidFill>
              <w14:schemeClr w14:val="tx1"/>
            </w14:solidFill>
          </w14:textFill>
        </w:rPr>
        <w:fldChar w:fldCharType="separate"/>
      </w:r>
      <w:r>
        <w:rPr>
          <w:rFonts w:ascii="Times New Roman" w:hAnsi="Times New Roman" w:eastAsia="宋体"/>
          <w:color w:val="000000" w:themeColor="text1"/>
          <w:sz w:val="24"/>
          <w14:textFill>
            <w14:solidFill>
              <w14:schemeClr w14:val="tx1"/>
            </w14:solidFill>
          </w14:textFill>
        </w:rPr>
        <w:t>45</w:t>
      </w:r>
      <w:r>
        <w:rPr>
          <w:rFonts w:ascii="Times New Roman" w:hAnsi="Times New Roman" w:eastAsia="宋体"/>
          <w:color w:val="000000" w:themeColor="text1"/>
          <w:sz w:val="24"/>
          <w14:textFill>
            <w14:solidFill>
              <w14:schemeClr w14:val="tx1"/>
            </w14:solidFill>
          </w14:textFill>
        </w:rPr>
        <w:fldChar w:fldCharType="end"/>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fldChar w:fldCharType="end"/>
      </w:r>
    </w:p>
    <w:p>
      <w:pPr>
        <w:pStyle w:val="28"/>
        <w:pageBreakBefore w:val="0"/>
        <w:tabs>
          <w:tab w:val="right" w:leader="dot" w:pos="8844"/>
        </w:tabs>
        <w:kinsoku/>
        <w:bidi w:val="0"/>
        <w:spacing w:beforeAutospacing="0" w:afterAutospacing="0" w:line="360" w:lineRule="auto"/>
        <w:rPr>
          <w:rFonts w:ascii="Times New Roman" w:hAnsi="Times New Roman" w:eastAsia="宋体"/>
          <w:color w:val="000000" w:themeColor="text1"/>
          <w:sz w:val="24"/>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instrText xml:space="preserve"> HYPERLINK \l _Toc5250 </w:instrTex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fldChar w:fldCharType="separate"/>
      </w:r>
      <w:r>
        <w:rPr>
          <w:rFonts w:hint="eastAsia" w:ascii="Times New Roman" w:hAnsi="Times New Roman" w:eastAsia="宋体" w:cs="Times New Roman"/>
          <w:snapToGrid w:val="0"/>
          <w:color w:val="000000" w:themeColor="text1"/>
          <w:sz w:val="24"/>
          <w:szCs w:val="30"/>
          <w14:textFill>
            <w14:solidFill>
              <w14:schemeClr w14:val="tx1"/>
            </w14:solidFill>
          </w14:textFill>
        </w:rPr>
        <w:t>五、</w:t>
      </w:r>
      <w:r>
        <w:rPr>
          <w:rFonts w:hint="default" w:ascii="Times New Roman" w:hAnsi="Times New Roman" w:eastAsia="宋体" w:cs="Times New Roman"/>
          <w:snapToGrid w:val="0"/>
          <w:color w:val="000000" w:themeColor="text1"/>
          <w:sz w:val="24"/>
          <w:szCs w:val="30"/>
          <w:highlight w:val="none"/>
          <w14:textFill>
            <w14:solidFill>
              <w14:schemeClr w14:val="tx1"/>
            </w14:solidFill>
          </w14:textFill>
        </w:rPr>
        <w:t>主要生态环境保护措施</w:t>
      </w:r>
      <w:r>
        <w:rPr>
          <w:rFonts w:ascii="Times New Roman" w:hAnsi="Times New Roman" w:eastAsia="宋体"/>
          <w:color w:val="000000" w:themeColor="text1"/>
          <w:sz w:val="24"/>
          <w14:textFill>
            <w14:solidFill>
              <w14:schemeClr w14:val="tx1"/>
            </w14:solidFill>
          </w14:textFill>
        </w:rPr>
        <w:tab/>
      </w:r>
      <w:r>
        <w:rPr>
          <w:rFonts w:ascii="Times New Roman" w:hAnsi="Times New Roman" w:eastAsia="宋体"/>
          <w:color w:val="000000" w:themeColor="text1"/>
          <w:sz w:val="24"/>
          <w14:textFill>
            <w14:solidFill>
              <w14:schemeClr w14:val="tx1"/>
            </w14:solidFill>
          </w14:textFill>
        </w:rPr>
        <w:fldChar w:fldCharType="begin"/>
      </w:r>
      <w:r>
        <w:rPr>
          <w:rFonts w:ascii="Times New Roman" w:hAnsi="Times New Roman" w:eastAsia="宋体"/>
          <w:color w:val="000000" w:themeColor="text1"/>
          <w:sz w:val="24"/>
          <w14:textFill>
            <w14:solidFill>
              <w14:schemeClr w14:val="tx1"/>
            </w14:solidFill>
          </w14:textFill>
        </w:rPr>
        <w:instrText xml:space="preserve"> PAGEREF _Toc5250 \h </w:instrText>
      </w:r>
      <w:r>
        <w:rPr>
          <w:rFonts w:ascii="Times New Roman" w:hAnsi="Times New Roman" w:eastAsia="宋体"/>
          <w:color w:val="000000" w:themeColor="text1"/>
          <w:sz w:val="24"/>
          <w14:textFill>
            <w14:solidFill>
              <w14:schemeClr w14:val="tx1"/>
            </w14:solidFill>
          </w14:textFill>
        </w:rPr>
        <w:fldChar w:fldCharType="separate"/>
      </w:r>
      <w:r>
        <w:rPr>
          <w:rFonts w:ascii="Times New Roman" w:hAnsi="Times New Roman" w:eastAsia="宋体"/>
          <w:color w:val="000000" w:themeColor="text1"/>
          <w:sz w:val="24"/>
          <w14:textFill>
            <w14:solidFill>
              <w14:schemeClr w14:val="tx1"/>
            </w14:solidFill>
          </w14:textFill>
        </w:rPr>
        <w:t>71</w:t>
      </w:r>
      <w:r>
        <w:rPr>
          <w:rFonts w:ascii="Times New Roman" w:hAnsi="Times New Roman" w:eastAsia="宋体"/>
          <w:color w:val="000000" w:themeColor="text1"/>
          <w:sz w:val="24"/>
          <w14:textFill>
            <w14:solidFill>
              <w14:schemeClr w14:val="tx1"/>
            </w14:solidFill>
          </w14:textFill>
        </w:rPr>
        <w:fldChar w:fldCharType="end"/>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fldChar w:fldCharType="end"/>
      </w:r>
    </w:p>
    <w:p>
      <w:pPr>
        <w:pStyle w:val="28"/>
        <w:pageBreakBefore w:val="0"/>
        <w:tabs>
          <w:tab w:val="right" w:leader="dot" w:pos="8844"/>
        </w:tabs>
        <w:kinsoku/>
        <w:bidi w:val="0"/>
        <w:spacing w:beforeAutospacing="0" w:afterAutospacing="0" w:line="360" w:lineRule="auto"/>
        <w:rPr>
          <w:rFonts w:ascii="Times New Roman" w:hAnsi="Times New Roman" w:eastAsia="宋体"/>
          <w:color w:val="000000" w:themeColor="text1"/>
          <w:sz w:val="24"/>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instrText xml:space="preserve"> HYPERLINK \l _Toc17338 </w:instrTex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fldChar w:fldCharType="separate"/>
      </w:r>
      <w:r>
        <w:rPr>
          <w:rFonts w:hint="eastAsia" w:ascii="Times New Roman" w:hAnsi="Times New Roman" w:eastAsia="宋体" w:cs="Times New Roman"/>
          <w:snapToGrid w:val="0"/>
          <w:color w:val="000000" w:themeColor="text1"/>
          <w:sz w:val="24"/>
          <w:szCs w:val="30"/>
          <w14:textFill>
            <w14:solidFill>
              <w14:schemeClr w14:val="tx1"/>
            </w14:solidFill>
          </w14:textFill>
        </w:rPr>
        <w:t>六、</w:t>
      </w:r>
      <w:r>
        <w:rPr>
          <w:rFonts w:hint="default" w:ascii="Times New Roman" w:hAnsi="Times New Roman" w:eastAsia="宋体" w:cs="Times New Roman"/>
          <w:snapToGrid w:val="0"/>
          <w:color w:val="000000" w:themeColor="text1"/>
          <w:sz w:val="24"/>
          <w:szCs w:val="30"/>
          <w:highlight w:val="none"/>
          <w14:textFill>
            <w14:solidFill>
              <w14:schemeClr w14:val="tx1"/>
            </w14:solidFill>
          </w14:textFill>
        </w:rPr>
        <w:t>生态环境保护措施监督检查清单</w:t>
      </w:r>
      <w:r>
        <w:rPr>
          <w:rFonts w:ascii="Times New Roman" w:hAnsi="Times New Roman" w:eastAsia="宋体"/>
          <w:color w:val="000000" w:themeColor="text1"/>
          <w:sz w:val="24"/>
          <w14:textFill>
            <w14:solidFill>
              <w14:schemeClr w14:val="tx1"/>
            </w14:solidFill>
          </w14:textFill>
        </w:rPr>
        <w:tab/>
      </w:r>
      <w:r>
        <w:rPr>
          <w:rFonts w:ascii="Times New Roman" w:hAnsi="Times New Roman" w:eastAsia="宋体"/>
          <w:color w:val="000000" w:themeColor="text1"/>
          <w:sz w:val="24"/>
          <w14:textFill>
            <w14:solidFill>
              <w14:schemeClr w14:val="tx1"/>
            </w14:solidFill>
          </w14:textFill>
        </w:rPr>
        <w:fldChar w:fldCharType="begin"/>
      </w:r>
      <w:r>
        <w:rPr>
          <w:rFonts w:ascii="Times New Roman" w:hAnsi="Times New Roman" w:eastAsia="宋体"/>
          <w:color w:val="000000" w:themeColor="text1"/>
          <w:sz w:val="24"/>
          <w14:textFill>
            <w14:solidFill>
              <w14:schemeClr w14:val="tx1"/>
            </w14:solidFill>
          </w14:textFill>
        </w:rPr>
        <w:instrText xml:space="preserve"> PAGEREF _Toc17338 \h </w:instrText>
      </w:r>
      <w:r>
        <w:rPr>
          <w:rFonts w:ascii="Times New Roman" w:hAnsi="Times New Roman" w:eastAsia="宋体"/>
          <w:color w:val="000000" w:themeColor="text1"/>
          <w:sz w:val="24"/>
          <w14:textFill>
            <w14:solidFill>
              <w14:schemeClr w14:val="tx1"/>
            </w14:solidFill>
          </w14:textFill>
        </w:rPr>
        <w:fldChar w:fldCharType="separate"/>
      </w:r>
      <w:r>
        <w:rPr>
          <w:rFonts w:ascii="Times New Roman" w:hAnsi="Times New Roman" w:eastAsia="宋体"/>
          <w:color w:val="000000" w:themeColor="text1"/>
          <w:sz w:val="24"/>
          <w14:textFill>
            <w14:solidFill>
              <w14:schemeClr w14:val="tx1"/>
            </w14:solidFill>
          </w14:textFill>
        </w:rPr>
        <w:t>84</w:t>
      </w:r>
      <w:r>
        <w:rPr>
          <w:rFonts w:ascii="Times New Roman" w:hAnsi="Times New Roman" w:eastAsia="宋体"/>
          <w:color w:val="000000" w:themeColor="text1"/>
          <w:sz w:val="24"/>
          <w14:textFill>
            <w14:solidFill>
              <w14:schemeClr w14:val="tx1"/>
            </w14:solidFill>
          </w14:textFill>
        </w:rPr>
        <w:fldChar w:fldCharType="end"/>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fldChar w:fldCharType="end"/>
      </w:r>
    </w:p>
    <w:p>
      <w:pPr>
        <w:pStyle w:val="28"/>
        <w:pageBreakBefore w:val="0"/>
        <w:tabs>
          <w:tab w:val="right" w:leader="dot" w:pos="8844"/>
        </w:tabs>
        <w:kinsoku/>
        <w:bidi w:val="0"/>
        <w:spacing w:beforeAutospacing="0" w:afterAutospacing="0" w:line="360" w:lineRule="auto"/>
        <w:rPr>
          <w:rFonts w:ascii="Times New Roman" w:hAnsi="Times New Roman" w:eastAsia="宋体"/>
          <w:color w:val="000000" w:themeColor="text1"/>
          <w:sz w:val="24"/>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instrText xml:space="preserve"> HYPERLINK \l _Toc3732 </w:instrTex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fldChar w:fldCharType="separate"/>
      </w:r>
      <w:r>
        <w:rPr>
          <w:rFonts w:hint="eastAsia" w:ascii="Times New Roman" w:hAnsi="Times New Roman" w:eastAsia="宋体" w:cs="Times New Roman"/>
          <w:snapToGrid w:val="0"/>
          <w:color w:val="000000" w:themeColor="text1"/>
          <w:sz w:val="24"/>
          <w:highlight w:val="none"/>
          <w:lang w:val="en-US" w:eastAsia="zh-CN"/>
          <w14:textFill>
            <w14:solidFill>
              <w14:schemeClr w14:val="tx1"/>
            </w14:solidFill>
          </w14:textFill>
        </w:rPr>
        <w:t>七、</w:t>
      </w:r>
      <w:r>
        <w:rPr>
          <w:rFonts w:hint="default" w:ascii="Times New Roman" w:hAnsi="Times New Roman" w:eastAsia="宋体" w:cs="Times New Roman"/>
          <w:color w:val="000000" w:themeColor="text1"/>
          <w:sz w:val="24"/>
          <w:highlight w:val="none"/>
          <w:lang w:eastAsia="zh-CN"/>
          <w14:textFill>
            <w14:solidFill>
              <w14:schemeClr w14:val="tx1"/>
            </w14:solidFill>
          </w14:textFill>
        </w:rPr>
        <w:t>结论</w:t>
      </w:r>
      <w:r>
        <w:rPr>
          <w:rFonts w:ascii="Times New Roman" w:hAnsi="Times New Roman" w:eastAsia="宋体"/>
          <w:color w:val="000000" w:themeColor="text1"/>
          <w:sz w:val="24"/>
          <w14:textFill>
            <w14:solidFill>
              <w14:schemeClr w14:val="tx1"/>
            </w14:solidFill>
          </w14:textFill>
        </w:rPr>
        <w:tab/>
      </w:r>
      <w:r>
        <w:rPr>
          <w:rFonts w:ascii="Times New Roman" w:hAnsi="Times New Roman" w:eastAsia="宋体"/>
          <w:color w:val="000000" w:themeColor="text1"/>
          <w:sz w:val="24"/>
          <w14:textFill>
            <w14:solidFill>
              <w14:schemeClr w14:val="tx1"/>
            </w14:solidFill>
          </w14:textFill>
        </w:rPr>
        <w:fldChar w:fldCharType="begin"/>
      </w:r>
      <w:r>
        <w:rPr>
          <w:rFonts w:ascii="Times New Roman" w:hAnsi="Times New Roman" w:eastAsia="宋体"/>
          <w:color w:val="000000" w:themeColor="text1"/>
          <w:sz w:val="24"/>
          <w14:textFill>
            <w14:solidFill>
              <w14:schemeClr w14:val="tx1"/>
            </w14:solidFill>
          </w14:textFill>
        </w:rPr>
        <w:instrText xml:space="preserve"> PAGEREF _Toc3732 \h </w:instrText>
      </w:r>
      <w:r>
        <w:rPr>
          <w:rFonts w:ascii="Times New Roman" w:hAnsi="Times New Roman" w:eastAsia="宋体"/>
          <w:color w:val="000000" w:themeColor="text1"/>
          <w:sz w:val="24"/>
          <w14:textFill>
            <w14:solidFill>
              <w14:schemeClr w14:val="tx1"/>
            </w14:solidFill>
          </w14:textFill>
        </w:rPr>
        <w:fldChar w:fldCharType="separate"/>
      </w:r>
      <w:r>
        <w:rPr>
          <w:rFonts w:ascii="Times New Roman" w:hAnsi="Times New Roman" w:eastAsia="宋体"/>
          <w:color w:val="000000" w:themeColor="text1"/>
          <w:sz w:val="24"/>
          <w14:textFill>
            <w14:solidFill>
              <w14:schemeClr w14:val="tx1"/>
            </w14:solidFill>
          </w14:textFill>
        </w:rPr>
        <w:t>90</w:t>
      </w:r>
      <w:r>
        <w:rPr>
          <w:rFonts w:ascii="Times New Roman" w:hAnsi="Times New Roman" w:eastAsia="宋体"/>
          <w:color w:val="000000" w:themeColor="text1"/>
          <w:sz w:val="24"/>
          <w14:textFill>
            <w14:solidFill>
              <w14:schemeClr w14:val="tx1"/>
            </w14:solidFill>
          </w14:textFill>
        </w:rPr>
        <w:fldChar w:fldCharType="end"/>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fldChar w:fldCharType="end"/>
      </w:r>
    </w:p>
    <w:p>
      <w:pPr>
        <w:pStyle w:val="28"/>
        <w:pageBreakBefore w:val="0"/>
        <w:tabs>
          <w:tab w:val="right" w:leader="dot" w:pos="8844"/>
        </w:tabs>
        <w:kinsoku/>
        <w:bidi w:val="0"/>
        <w:spacing w:beforeAutospacing="0" w:afterAutospacing="0" w:line="360" w:lineRule="auto"/>
        <w:rPr>
          <w:rFonts w:ascii="Times New Roman" w:hAnsi="Times New Roman" w:eastAsia="宋体"/>
          <w:color w:val="000000" w:themeColor="text1"/>
          <w:sz w:val="24"/>
          <w14:textFill>
            <w14:solidFill>
              <w14:schemeClr w14:val="tx1"/>
            </w14:solidFill>
          </w14:textFill>
        </w:rPr>
      </w:pP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instrText xml:space="preserve"> HYPERLINK \l _Toc25165 </w:instrTex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fldChar w:fldCharType="separate"/>
      </w:r>
      <w:r>
        <w:rPr>
          <w:rFonts w:hint="eastAsia" w:ascii="Times New Roman" w:hAnsi="Times New Roman" w:eastAsia="宋体"/>
          <w:color w:val="000000" w:themeColor="text1"/>
          <w:sz w:val="24"/>
          <w:szCs w:val="36"/>
          <w:highlight w:val="none"/>
          <w14:textFill>
            <w14:solidFill>
              <w14:schemeClr w14:val="tx1"/>
            </w14:solidFill>
          </w14:textFill>
        </w:rPr>
        <w:t>大气环境影响评价专章</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fldChar w:fldCharType="end"/>
      </w:r>
    </w:p>
    <w:p>
      <w:pPr>
        <w:pStyle w:val="28"/>
        <w:pageBreakBefore w:val="0"/>
        <w:tabs>
          <w:tab w:val="right" w:leader="dot" w:pos="8844"/>
        </w:tabs>
        <w:kinsoku/>
        <w:bidi w:val="0"/>
        <w:spacing w:beforeAutospacing="0" w:afterAutospacing="0" w:line="240" w:lineRule="auto"/>
        <w:rPr>
          <w:rFonts w:ascii="Times New Roman" w:hAnsi="Times New Roman" w:eastAsia="宋体"/>
          <w:b w:val="0"/>
          <w:bCs w:val="0"/>
          <w:color w:val="000000" w:themeColor="text1"/>
          <w:sz w:val="24"/>
          <w14:textFill>
            <w14:solidFill>
              <w14:schemeClr w14:val="tx1"/>
            </w14:solidFill>
          </w14:textFill>
        </w:rPr>
      </w:pP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instrText xml:space="preserve"> HYPERLINK \l _Toc19410 </w:instrText>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附图1 项目地理位置图</w:t>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end"/>
      </w:r>
    </w:p>
    <w:p>
      <w:pPr>
        <w:pStyle w:val="28"/>
        <w:pageBreakBefore w:val="0"/>
        <w:tabs>
          <w:tab w:val="right" w:leader="dot" w:pos="8844"/>
        </w:tabs>
        <w:kinsoku/>
        <w:bidi w:val="0"/>
        <w:spacing w:beforeAutospacing="0" w:afterAutospacing="0" w:line="240" w:lineRule="auto"/>
        <w:rPr>
          <w:rFonts w:ascii="Times New Roman" w:hAnsi="Times New Roman" w:eastAsia="宋体"/>
          <w:b w:val="0"/>
          <w:bCs w:val="0"/>
          <w:color w:val="000000" w:themeColor="text1"/>
          <w:sz w:val="24"/>
          <w14:textFill>
            <w14:solidFill>
              <w14:schemeClr w14:val="tx1"/>
            </w14:solidFill>
          </w14:textFill>
        </w:rPr>
      </w:pP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instrText xml:space="preserve"> HYPERLINK \l _Toc5156 </w:instrText>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b w:val="0"/>
          <w:bCs w:val="0"/>
          <w:color w:val="000000" w:themeColor="text1"/>
          <w:kern w:val="44"/>
          <w:sz w:val="24"/>
          <w:szCs w:val="24"/>
          <w:highlight w:val="none"/>
          <w:lang w:val="en-US" w:eastAsia="zh-CN" w:bidi="ar-SA"/>
          <w14:textFill>
            <w14:solidFill>
              <w14:schemeClr w14:val="tx1"/>
            </w14:solidFill>
          </w14:textFill>
        </w:rPr>
        <w:t>附图2 福建省近岸海域环境功能区划图（部分）</w:t>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end"/>
      </w:r>
    </w:p>
    <w:p>
      <w:pPr>
        <w:pStyle w:val="28"/>
        <w:pageBreakBefore w:val="0"/>
        <w:tabs>
          <w:tab w:val="right" w:leader="dot" w:pos="8844"/>
        </w:tabs>
        <w:kinsoku/>
        <w:bidi w:val="0"/>
        <w:spacing w:beforeAutospacing="0" w:afterAutospacing="0" w:line="240" w:lineRule="auto"/>
        <w:rPr>
          <w:rFonts w:ascii="Times New Roman" w:hAnsi="Times New Roman" w:eastAsia="宋体"/>
          <w:b w:val="0"/>
          <w:bCs w:val="0"/>
          <w:color w:val="000000" w:themeColor="text1"/>
          <w:sz w:val="24"/>
          <w14:textFill>
            <w14:solidFill>
              <w14:schemeClr w14:val="tx1"/>
            </w14:solidFill>
          </w14:textFill>
        </w:rPr>
      </w:pP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instrText xml:space="preserve"> HYPERLINK \l _Toc21438 </w:instrText>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b w:val="0"/>
          <w:bCs w:val="0"/>
          <w:color w:val="000000" w:themeColor="text1"/>
          <w:kern w:val="44"/>
          <w:sz w:val="24"/>
          <w:szCs w:val="24"/>
          <w:highlight w:val="none"/>
          <w:lang w:val="en-US" w:eastAsia="zh-CN" w:bidi="ar-SA"/>
          <w14:textFill>
            <w14:solidFill>
              <w14:schemeClr w14:val="tx1"/>
            </w14:solidFill>
          </w14:textFill>
        </w:rPr>
        <w:t xml:space="preserve">附图3 </w:t>
      </w:r>
      <w:r>
        <w:rPr>
          <w:rFonts w:hint="default" w:ascii="Times New Roman" w:hAnsi="Times New Roman" w:eastAsia="宋体" w:cs="Times New Roman"/>
          <w:b w:val="0"/>
          <w:bCs w:val="0"/>
          <w:color w:val="000000" w:themeColor="text1"/>
          <w:kern w:val="44"/>
          <w:sz w:val="24"/>
          <w:highlight w:val="none"/>
          <w:lang w:val="en-US" w:eastAsia="zh-CN"/>
          <w14:textFill>
            <w14:solidFill>
              <w14:schemeClr w14:val="tx1"/>
            </w14:solidFill>
          </w14:textFill>
        </w:rPr>
        <w:t>福建省生态功能区划图---福鼎市</w:t>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end"/>
      </w:r>
    </w:p>
    <w:p>
      <w:pPr>
        <w:pStyle w:val="28"/>
        <w:pageBreakBefore w:val="0"/>
        <w:tabs>
          <w:tab w:val="right" w:leader="dot" w:pos="8844"/>
        </w:tabs>
        <w:kinsoku/>
        <w:bidi w:val="0"/>
        <w:spacing w:beforeAutospacing="0" w:afterAutospacing="0" w:line="240" w:lineRule="auto"/>
        <w:rPr>
          <w:rFonts w:ascii="Times New Roman" w:hAnsi="Times New Roman" w:eastAsia="宋体"/>
          <w:b w:val="0"/>
          <w:bCs w:val="0"/>
          <w:color w:val="000000" w:themeColor="text1"/>
          <w:sz w:val="24"/>
          <w14:textFill>
            <w14:solidFill>
              <w14:schemeClr w14:val="tx1"/>
            </w14:solidFill>
          </w14:textFill>
        </w:rPr>
      </w:pP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instrText xml:space="preserve"> HYPERLINK \l _Toc5551 </w:instrText>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b w:val="0"/>
          <w:bCs w:val="0"/>
          <w:color w:val="000000" w:themeColor="text1"/>
          <w:kern w:val="44"/>
          <w:sz w:val="24"/>
          <w:szCs w:val="24"/>
          <w:highlight w:val="none"/>
          <w:lang w:val="en-US" w:eastAsia="zh-CN" w:bidi="ar-SA"/>
          <w14:textFill>
            <w14:solidFill>
              <w14:schemeClr w14:val="tx1"/>
            </w14:solidFill>
          </w14:textFill>
        </w:rPr>
        <w:t>附图</w:t>
      </w:r>
      <w:r>
        <w:rPr>
          <w:rFonts w:hint="eastAsia" w:ascii="Times New Roman" w:hAnsi="Times New Roman" w:eastAsia="宋体" w:cs="Times New Roman"/>
          <w:b w:val="0"/>
          <w:bCs w:val="0"/>
          <w:color w:val="000000" w:themeColor="text1"/>
          <w:kern w:val="44"/>
          <w:sz w:val="24"/>
          <w:szCs w:val="24"/>
          <w:highlight w:val="none"/>
          <w:lang w:val="en-US" w:eastAsia="zh-CN" w:bidi="ar-SA"/>
          <w14:textFill>
            <w14:solidFill>
              <w14:schemeClr w14:val="tx1"/>
            </w14:solidFill>
          </w14:textFill>
        </w:rPr>
        <w:t>4</w:t>
      </w:r>
      <w:r>
        <w:rPr>
          <w:rFonts w:hint="default" w:ascii="Times New Roman" w:hAnsi="Times New Roman" w:eastAsia="宋体" w:cs="Times New Roman"/>
          <w:b w:val="0"/>
          <w:bCs w:val="0"/>
          <w:color w:val="000000" w:themeColor="text1"/>
          <w:kern w:val="44"/>
          <w:sz w:val="24"/>
          <w:szCs w:val="24"/>
          <w:highlight w:val="none"/>
          <w:lang w:val="en-US" w:eastAsia="zh-CN" w:bidi="ar-SA"/>
          <w14:textFill>
            <w14:solidFill>
              <w14:schemeClr w14:val="tx1"/>
            </w14:solidFill>
          </w14:textFill>
        </w:rPr>
        <w:t xml:space="preserve"> 福鼎市生态功能区划图</w:t>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end"/>
      </w:r>
    </w:p>
    <w:p>
      <w:pPr>
        <w:pStyle w:val="28"/>
        <w:pageBreakBefore w:val="0"/>
        <w:tabs>
          <w:tab w:val="right" w:leader="dot" w:pos="8844"/>
        </w:tabs>
        <w:kinsoku/>
        <w:bidi w:val="0"/>
        <w:spacing w:beforeAutospacing="0" w:afterAutospacing="0" w:line="240" w:lineRule="auto"/>
        <w:rPr>
          <w:rFonts w:ascii="Times New Roman" w:hAnsi="Times New Roman" w:eastAsia="宋体"/>
          <w:b w:val="0"/>
          <w:bCs w:val="0"/>
          <w:color w:val="000000" w:themeColor="text1"/>
          <w:sz w:val="24"/>
          <w14:textFill>
            <w14:solidFill>
              <w14:schemeClr w14:val="tx1"/>
            </w14:solidFill>
          </w14:textFill>
        </w:rPr>
      </w:pP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instrText xml:space="preserve"> HYPERLINK \l _Toc11851 </w:instrText>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b w:val="0"/>
          <w:bCs w:val="0"/>
          <w:color w:val="000000" w:themeColor="text1"/>
          <w:kern w:val="44"/>
          <w:sz w:val="24"/>
          <w:szCs w:val="24"/>
          <w:highlight w:val="none"/>
          <w:lang w:val="en-US" w:eastAsia="zh-CN" w:bidi="ar-SA"/>
          <w14:textFill>
            <w14:solidFill>
              <w14:schemeClr w14:val="tx1"/>
            </w14:solidFill>
          </w14:textFill>
        </w:rPr>
        <w:t>附图</w:t>
      </w:r>
      <w:r>
        <w:rPr>
          <w:rFonts w:hint="eastAsia" w:ascii="Times New Roman" w:hAnsi="Times New Roman" w:eastAsia="宋体" w:cs="Times New Roman"/>
          <w:b w:val="0"/>
          <w:bCs w:val="0"/>
          <w:color w:val="000000" w:themeColor="text1"/>
          <w:kern w:val="44"/>
          <w:sz w:val="24"/>
          <w:szCs w:val="24"/>
          <w:highlight w:val="none"/>
          <w:lang w:val="en-US" w:eastAsia="zh-CN" w:bidi="ar-SA"/>
          <w14:textFill>
            <w14:solidFill>
              <w14:schemeClr w14:val="tx1"/>
            </w14:solidFill>
          </w14:textFill>
        </w:rPr>
        <w:t>5</w:t>
      </w:r>
      <w:r>
        <w:rPr>
          <w:rFonts w:hint="default" w:ascii="Times New Roman" w:hAnsi="Times New Roman" w:eastAsia="宋体" w:cs="Times New Roman"/>
          <w:b w:val="0"/>
          <w:bCs w:val="0"/>
          <w:color w:val="000000" w:themeColor="text1"/>
          <w:kern w:val="44"/>
          <w:sz w:val="24"/>
          <w:szCs w:val="24"/>
          <w:highlight w:val="none"/>
          <w:lang w:val="en-US" w:eastAsia="zh-CN" w:bidi="ar-SA"/>
          <w14:textFill>
            <w14:solidFill>
              <w14:schemeClr w14:val="tx1"/>
            </w14:solidFill>
          </w14:textFill>
        </w:rPr>
        <w:t xml:space="preserve"> 城乡总体规划-福鼎市</w:t>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end"/>
      </w:r>
    </w:p>
    <w:p>
      <w:pPr>
        <w:pStyle w:val="28"/>
        <w:pageBreakBefore w:val="0"/>
        <w:tabs>
          <w:tab w:val="right" w:leader="dot" w:pos="8844"/>
        </w:tabs>
        <w:kinsoku/>
        <w:bidi w:val="0"/>
        <w:spacing w:beforeAutospacing="0" w:afterAutospacing="0" w:line="240" w:lineRule="auto"/>
        <w:rPr>
          <w:rFonts w:ascii="Times New Roman" w:hAnsi="Times New Roman" w:eastAsia="宋体"/>
          <w:b w:val="0"/>
          <w:bCs w:val="0"/>
          <w:color w:val="000000" w:themeColor="text1"/>
          <w:sz w:val="24"/>
          <w14:textFill>
            <w14:solidFill>
              <w14:schemeClr w14:val="tx1"/>
            </w14:solidFill>
          </w14:textFill>
        </w:rPr>
      </w:pP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instrText xml:space="preserve"> HYPERLINK \l _Toc26395 </w:instrText>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b w:val="0"/>
          <w:bCs w:val="0"/>
          <w:color w:val="000000" w:themeColor="text1"/>
          <w:kern w:val="44"/>
          <w:sz w:val="24"/>
          <w:szCs w:val="24"/>
          <w:highlight w:val="none"/>
          <w:lang w:val="en-US" w:eastAsia="zh-CN" w:bidi="ar-SA"/>
          <w14:textFill>
            <w14:solidFill>
              <w14:schemeClr w14:val="tx1"/>
            </w14:solidFill>
          </w14:textFill>
        </w:rPr>
        <w:t>附图</w:t>
      </w:r>
      <w:r>
        <w:rPr>
          <w:rFonts w:hint="eastAsia" w:ascii="Times New Roman" w:hAnsi="Times New Roman" w:eastAsia="宋体" w:cs="Times New Roman"/>
          <w:b w:val="0"/>
          <w:bCs w:val="0"/>
          <w:color w:val="000000" w:themeColor="text1"/>
          <w:kern w:val="44"/>
          <w:sz w:val="24"/>
          <w:szCs w:val="24"/>
          <w:highlight w:val="none"/>
          <w:lang w:val="en-US" w:eastAsia="zh-CN" w:bidi="ar-SA"/>
          <w14:textFill>
            <w14:solidFill>
              <w14:schemeClr w14:val="tx1"/>
            </w14:solidFill>
          </w14:textFill>
        </w:rPr>
        <w:t>6</w:t>
      </w:r>
      <w:r>
        <w:rPr>
          <w:rFonts w:hint="default" w:ascii="Times New Roman" w:hAnsi="Times New Roman" w:eastAsia="宋体" w:cs="Times New Roman"/>
          <w:b w:val="0"/>
          <w:bCs w:val="0"/>
          <w:color w:val="000000" w:themeColor="text1"/>
          <w:kern w:val="44"/>
          <w:sz w:val="24"/>
          <w:szCs w:val="24"/>
          <w:highlight w:val="none"/>
          <w:lang w:val="en-US" w:eastAsia="zh-CN" w:bidi="ar-SA"/>
          <w14:textFill>
            <w14:solidFill>
              <w14:schemeClr w14:val="tx1"/>
            </w14:solidFill>
          </w14:textFill>
        </w:rPr>
        <w:t xml:space="preserve"> 项目</w:t>
      </w:r>
      <w:r>
        <w:rPr>
          <w:rFonts w:hint="eastAsia" w:ascii="Times New Roman" w:hAnsi="Times New Roman" w:eastAsia="宋体" w:cs="Times New Roman"/>
          <w:b w:val="0"/>
          <w:bCs w:val="0"/>
          <w:color w:val="000000" w:themeColor="text1"/>
          <w:kern w:val="44"/>
          <w:sz w:val="24"/>
          <w:szCs w:val="24"/>
          <w:highlight w:val="none"/>
          <w:lang w:val="en-US" w:eastAsia="zh-CN" w:bidi="ar-SA"/>
          <w14:textFill>
            <w14:solidFill>
              <w14:schemeClr w14:val="tx1"/>
            </w14:solidFill>
          </w14:textFill>
        </w:rPr>
        <w:t>总</w:t>
      </w:r>
      <w:r>
        <w:rPr>
          <w:rFonts w:hint="default" w:ascii="Times New Roman" w:hAnsi="Times New Roman" w:eastAsia="宋体" w:cs="Times New Roman"/>
          <w:b w:val="0"/>
          <w:bCs w:val="0"/>
          <w:color w:val="000000" w:themeColor="text1"/>
          <w:kern w:val="44"/>
          <w:sz w:val="24"/>
          <w:szCs w:val="24"/>
          <w:highlight w:val="none"/>
          <w:lang w:val="en-US" w:eastAsia="zh-CN" w:bidi="ar-SA"/>
          <w14:textFill>
            <w14:solidFill>
              <w14:schemeClr w14:val="tx1"/>
            </w14:solidFill>
          </w14:textFill>
        </w:rPr>
        <w:t>平面布置图</w:t>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end"/>
      </w:r>
    </w:p>
    <w:p>
      <w:pPr>
        <w:pStyle w:val="28"/>
        <w:pageBreakBefore w:val="0"/>
        <w:tabs>
          <w:tab w:val="right" w:leader="dot" w:pos="8844"/>
        </w:tabs>
        <w:kinsoku/>
        <w:bidi w:val="0"/>
        <w:spacing w:beforeAutospacing="0" w:afterAutospacing="0" w:line="240" w:lineRule="auto"/>
        <w:rPr>
          <w:rFonts w:ascii="Times New Roman" w:hAnsi="Times New Roman" w:eastAsia="宋体"/>
          <w:b w:val="0"/>
          <w:bCs w:val="0"/>
          <w:color w:val="000000" w:themeColor="text1"/>
          <w:sz w:val="24"/>
          <w14:textFill>
            <w14:solidFill>
              <w14:schemeClr w14:val="tx1"/>
            </w14:solidFill>
          </w14:textFill>
        </w:rPr>
      </w:pP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instrText xml:space="preserve"> HYPERLINK \l _Toc6895 </w:instrText>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b w:val="0"/>
          <w:bCs w:val="0"/>
          <w:color w:val="000000" w:themeColor="text1"/>
          <w:kern w:val="44"/>
          <w:sz w:val="24"/>
          <w:szCs w:val="24"/>
          <w:highlight w:val="none"/>
          <w:lang w:val="en-US" w:eastAsia="zh-CN" w:bidi="ar-SA"/>
          <w14:textFill>
            <w14:solidFill>
              <w14:schemeClr w14:val="tx1"/>
            </w14:solidFill>
          </w14:textFill>
        </w:rPr>
        <w:t>附图</w:t>
      </w:r>
      <w:r>
        <w:rPr>
          <w:rFonts w:hint="eastAsia" w:ascii="Times New Roman" w:hAnsi="Times New Roman" w:eastAsia="宋体" w:cs="Times New Roman"/>
          <w:b w:val="0"/>
          <w:bCs w:val="0"/>
          <w:color w:val="000000" w:themeColor="text1"/>
          <w:kern w:val="44"/>
          <w:sz w:val="24"/>
          <w:szCs w:val="24"/>
          <w:highlight w:val="none"/>
          <w:lang w:val="en-US" w:eastAsia="zh-CN" w:bidi="ar-SA"/>
          <w14:textFill>
            <w14:solidFill>
              <w14:schemeClr w14:val="tx1"/>
            </w14:solidFill>
          </w14:textFill>
        </w:rPr>
        <w:t>7周边及</w:t>
      </w:r>
      <w:r>
        <w:rPr>
          <w:rFonts w:hint="default" w:ascii="Times New Roman" w:hAnsi="Times New Roman" w:eastAsia="宋体" w:cs="Times New Roman"/>
          <w:b w:val="0"/>
          <w:bCs w:val="0"/>
          <w:color w:val="000000" w:themeColor="text1"/>
          <w:kern w:val="44"/>
          <w:sz w:val="24"/>
          <w:szCs w:val="24"/>
          <w:highlight w:val="none"/>
          <w:lang w:val="en-US" w:eastAsia="zh-CN" w:bidi="ar-SA"/>
          <w14:textFill>
            <w14:solidFill>
              <w14:schemeClr w14:val="tx1"/>
            </w14:solidFill>
          </w14:textFill>
        </w:rPr>
        <w:t>现场照片</w:t>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end"/>
      </w:r>
    </w:p>
    <w:p>
      <w:pPr>
        <w:pStyle w:val="28"/>
        <w:pageBreakBefore w:val="0"/>
        <w:tabs>
          <w:tab w:val="right" w:leader="dot" w:pos="8844"/>
        </w:tabs>
        <w:kinsoku/>
        <w:bidi w:val="0"/>
        <w:spacing w:beforeAutospacing="0" w:afterAutospacing="0" w:line="240" w:lineRule="auto"/>
        <w:rPr>
          <w:rFonts w:ascii="Times New Roman" w:hAnsi="Times New Roman" w:eastAsia="宋体"/>
          <w:b w:val="0"/>
          <w:bCs w:val="0"/>
          <w:color w:val="000000" w:themeColor="text1"/>
          <w:sz w:val="24"/>
          <w14:textFill>
            <w14:solidFill>
              <w14:schemeClr w14:val="tx1"/>
            </w14:solidFill>
          </w14:textFill>
        </w:rPr>
      </w:pP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instrText xml:space="preserve"> HYPERLINK \l _Toc11373 </w:instrText>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b w:val="0"/>
          <w:bCs w:val="0"/>
          <w:color w:val="000000" w:themeColor="text1"/>
          <w:kern w:val="44"/>
          <w:sz w:val="24"/>
          <w:szCs w:val="24"/>
          <w:highlight w:val="none"/>
          <w:lang w:val="en-US" w:eastAsia="zh-CN" w:bidi="ar-SA"/>
          <w14:textFill>
            <w14:solidFill>
              <w14:schemeClr w14:val="tx1"/>
            </w14:solidFill>
          </w14:textFill>
        </w:rPr>
        <w:t>附图</w:t>
      </w:r>
      <w:r>
        <w:rPr>
          <w:rFonts w:hint="eastAsia" w:ascii="Times New Roman" w:hAnsi="Times New Roman" w:eastAsia="宋体" w:cs="Times New Roman"/>
          <w:b w:val="0"/>
          <w:bCs w:val="0"/>
          <w:color w:val="000000" w:themeColor="text1"/>
          <w:kern w:val="44"/>
          <w:sz w:val="24"/>
          <w:szCs w:val="24"/>
          <w:highlight w:val="none"/>
          <w:lang w:val="en-US" w:eastAsia="zh-CN" w:bidi="ar-SA"/>
          <w14:textFill>
            <w14:solidFill>
              <w14:schemeClr w14:val="tx1"/>
            </w14:solidFill>
          </w14:textFill>
        </w:rPr>
        <w:t>8</w:t>
      </w:r>
      <w:r>
        <w:rPr>
          <w:rFonts w:hint="default" w:ascii="Times New Roman" w:hAnsi="Times New Roman" w:eastAsia="宋体" w:cs="Times New Roman"/>
          <w:b w:val="0"/>
          <w:bCs w:val="0"/>
          <w:color w:val="000000" w:themeColor="text1"/>
          <w:kern w:val="44"/>
          <w:sz w:val="24"/>
          <w:szCs w:val="24"/>
          <w:highlight w:val="none"/>
          <w:lang w:val="en-US" w:eastAsia="zh-CN" w:bidi="ar-SA"/>
          <w14:textFill>
            <w14:solidFill>
              <w14:schemeClr w14:val="tx1"/>
            </w14:solidFill>
          </w14:textFill>
        </w:rPr>
        <w:t xml:space="preserve"> 周边环境关系图</w:t>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end"/>
      </w:r>
    </w:p>
    <w:p>
      <w:pPr>
        <w:pStyle w:val="28"/>
        <w:pageBreakBefore w:val="0"/>
        <w:tabs>
          <w:tab w:val="right" w:leader="dot" w:pos="8844"/>
        </w:tabs>
        <w:kinsoku/>
        <w:bidi w:val="0"/>
        <w:spacing w:beforeAutospacing="0" w:afterAutospacing="0" w:line="240" w:lineRule="auto"/>
        <w:rPr>
          <w:rFonts w:ascii="Times New Roman" w:hAnsi="Times New Roman" w:eastAsia="宋体"/>
          <w:b w:val="0"/>
          <w:bCs w:val="0"/>
          <w:color w:val="000000" w:themeColor="text1"/>
          <w:sz w:val="24"/>
          <w14:textFill>
            <w14:solidFill>
              <w14:schemeClr w14:val="tx1"/>
            </w14:solidFill>
          </w14:textFill>
        </w:rPr>
      </w:pP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instrText xml:space="preserve"> HYPERLINK \l _Toc14074 </w:instrText>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b w:val="0"/>
          <w:bCs w:val="0"/>
          <w:color w:val="000000" w:themeColor="text1"/>
          <w:kern w:val="44"/>
          <w:sz w:val="24"/>
          <w:szCs w:val="24"/>
          <w:highlight w:val="none"/>
          <w:lang w:val="en-US" w:eastAsia="zh-CN" w:bidi="ar-SA"/>
          <w14:textFill>
            <w14:solidFill>
              <w14:schemeClr w14:val="tx1"/>
            </w14:solidFill>
          </w14:textFill>
        </w:rPr>
        <w:t>附图</w:t>
      </w:r>
      <w:r>
        <w:rPr>
          <w:rFonts w:hint="eastAsia" w:ascii="Times New Roman" w:hAnsi="Times New Roman" w:eastAsia="宋体" w:cs="Times New Roman"/>
          <w:b w:val="0"/>
          <w:bCs w:val="0"/>
          <w:color w:val="000000" w:themeColor="text1"/>
          <w:kern w:val="44"/>
          <w:sz w:val="24"/>
          <w:szCs w:val="24"/>
          <w:highlight w:val="none"/>
          <w:lang w:val="en-US" w:eastAsia="zh-CN" w:bidi="ar-SA"/>
          <w14:textFill>
            <w14:solidFill>
              <w14:schemeClr w14:val="tx1"/>
            </w14:solidFill>
          </w14:textFill>
        </w:rPr>
        <w:t>9</w:t>
      </w:r>
      <w:r>
        <w:rPr>
          <w:rFonts w:hint="default" w:ascii="Times New Roman" w:hAnsi="Times New Roman" w:eastAsia="宋体" w:cs="Times New Roman"/>
          <w:b w:val="0"/>
          <w:bCs w:val="0"/>
          <w:color w:val="000000" w:themeColor="text1"/>
          <w:kern w:val="44"/>
          <w:sz w:val="24"/>
          <w:szCs w:val="24"/>
          <w:highlight w:val="none"/>
          <w:lang w:val="en-US" w:eastAsia="zh-CN" w:bidi="ar-SA"/>
          <w14:textFill>
            <w14:solidFill>
              <w14:schemeClr w14:val="tx1"/>
            </w14:solidFill>
          </w14:textFill>
        </w:rPr>
        <w:t xml:space="preserve"> </w:t>
      </w:r>
      <w:r>
        <w:rPr>
          <w:rFonts w:hint="eastAsia" w:ascii="Times New Roman" w:hAnsi="Times New Roman" w:eastAsia="宋体" w:cs="Times New Roman"/>
          <w:b w:val="0"/>
          <w:bCs w:val="0"/>
          <w:color w:val="000000" w:themeColor="text1"/>
          <w:kern w:val="44"/>
          <w:sz w:val="24"/>
          <w:szCs w:val="24"/>
          <w:highlight w:val="none"/>
          <w:lang w:val="en-US" w:eastAsia="zh-CN" w:bidi="ar-SA"/>
          <w14:textFill>
            <w14:solidFill>
              <w14:schemeClr w14:val="tx1"/>
            </w14:solidFill>
          </w14:textFill>
        </w:rPr>
        <w:t>驳岸结构图</w:t>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end"/>
      </w:r>
    </w:p>
    <w:p>
      <w:pPr>
        <w:pStyle w:val="28"/>
        <w:pageBreakBefore w:val="0"/>
        <w:tabs>
          <w:tab w:val="right" w:leader="dot" w:pos="8844"/>
        </w:tabs>
        <w:kinsoku/>
        <w:bidi w:val="0"/>
        <w:spacing w:beforeAutospacing="0" w:afterAutospacing="0" w:line="240" w:lineRule="auto"/>
        <w:rPr>
          <w:rFonts w:ascii="Times New Roman" w:hAnsi="Times New Roman" w:eastAsia="宋体"/>
          <w:b w:val="0"/>
          <w:bCs w:val="0"/>
          <w:color w:val="000000" w:themeColor="text1"/>
          <w:sz w:val="24"/>
          <w14:textFill>
            <w14:solidFill>
              <w14:schemeClr w14:val="tx1"/>
            </w14:solidFill>
          </w14:textFill>
        </w:rPr>
      </w:pP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instrText xml:space="preserve"> HYPERLINK \l _Toc16327 </w:instrText>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b w:val="0"/>
          <w:bCs w:val="0"/>
          <w:color w:val="000000" w:themeColor="text1"/>
          <w:sz w:val="24"/>
          <w:szCs w:val="28"/>
          <w:highlight w:val="none"/>
          <w14:textFill>
            <w14:solidFill>
              <w14:schemeClr w14:val="tx1"/>
            </w14:solidFill>
          </w14:textFill>
        </w:rPr>
        <w:t>附件1委托书</w:t>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end"/>
      </w:r>
    </w:p>
    <w:p>
      <w:pPr>
        <w:pStyle w:val="28"/>
        <w:pageBreakBefore w:val="0"/>
        <w:tabs>
          <w:tab w:val="right" w:leader="dot" w:pos="8844"/>
        </w:tabs>
        <w:kinsoku/>
        <w:bidi w:val="0"/>
        <w:spacing w:beforeAutospacing="0" w:afterAutospacing="0" w:line="240" w:lineRule="auto"/>
        <w:rPr>
          <w:rFonts w:ascii="Times New Roman" w:hAnsi="Times New Roman" w:eastAsia="宋体"/>
          <w:b w:val="0"/>
          <w:bCs w:val="0"/>
          <w:color w:val="000000" w:themeColor="text1"/>
          <w:sz w:val="24"/>
          <w14:textFill>
            <w14:solidFill>
              <w14:schemeClr w14:val="tx1"/>
            </w14:solidFill>
          </w14:textFill>
        </w:rPr>
      </w:pP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instrText xml:space="preserve"> HYPERLINK \l _Toc27761 </w:instrText>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b w:val="0"/>
          <w:bCs w:val="0"/>
          <w:color w:val="000000" w:themeColor="text1"/>
          <w:sz w:val="24"/>
          <w:szCs w:val="28"/>
          <w:highlight w:val="none"/>
          <w14:textFill>
            <w14:solidFill>
              <w14:schemeClr w14:val="tx1"/>
            </w14:solidFill>
          </w14:textFill>
        </w:rPr>
        <w:t>附件</w:t>
      </w:r>
      <w:r>
        <w:rPr>
          <w:rFonts w:hint="eastAsia" w:ascii="Times New Roman" w:hAnsi="Times New Roman" w:eastAsia="宋体" w:cs="Times New Roman"/>
          <w:b w:val="0"/>
          <w:bCs w:val="0"/>
          <w:color w:val="000000" w:themeColor="text1"/>
          <w:sz w:val="24"/>
          <w:szCs w:val="28"/>
          <w:highlight w:val="none"/>
          <w:lang w:val="en-US" w:eastAsia="zh-CN"/>
          <w14:textFill>
            <w14:solidFill>
              <w14:schemeClr w14:val="tx1"/>
            </w14:solidFill>
          </w14:textFill>
        </w:rPr>
        <w:t>2备案表</w:t>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end"/>
      </w:r>
    </w:p>
    <w:p>
      <w:pPr>
        <w:pStyle w:val="28"/>
        <w:pageBreakBefore w:val="0"/>
        <w:tabs>
          <w:tab w:val="right" w:leader="dot" w:pos="8844"/>
        </w:tabs>
        <w:kinsoku/>
        <w:bidi w:val="0"/>
        <w:spacing w:beforeAutospacing="0" w:afterAutospacing="0" w:line="240" w:lineRule="auto"/>
        <w:rPr>
          <w:rFonts w:ascii="Times New Roman" w:hAnsi="Times New Roman" w:eastAsia="宋体"/>
          <w:b w:val="0"/>
          <w:bCs w:val="0"/>
          <w:color w:val="000000" w:themeColor="text1"/>
          <w:sz w:val="24"/>
          <w14:textFill>
            <w14:solidFill>
              <w14:schemeClr w14:val="tx1"/>
            </w14:solidFill>
          </w14:textFill>
        </w:rPr>
      </w:pP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instrText xml:space="preserve"> HYPERLINK \l _Toc4084 </w:instrText>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separate"/>
      </w:r>
      <w:r>
        <w:rPr>
          <w:rFonts w:hint="default" w:ascii="Times New Roman" w:hAnsi="Times New Roman" w:eastAsia="宋体" w:cs="Times New Roman"/>
          <w:b w:val="0"/>
          <w:bCs w:val="0"/>
          <w:color w:val="000000" w:themeColor="text1"/>
          <w:sz w:val="24"/>
          <w:szCs w:val="28"/>
          <w:highlight w:val="none"/>
          <w14:textFill>
            <w14:solidFill>
              <w14:schemeClr w14:val="tx1"/>
            </w14:solidFill>
          </w14:textFill>
        </w:rPr>
        <w:t>附件</w:t>
      </w:r>
      <w:r>
        <w:rPr>
          <w:rFonts w:hint="eastAsia" w:ascii="Times New Roman" w:hAnsi="Times New Roman" w:eastAsia="宋体" w:cs="Times New Roman"/>
          <w:b w:val="0"/>
          <w:bCs w:val="0"/>
          <w:color w:val="000000" w:themeColor="text1"/>
          <w:sz w:val="24"/>
          <w:szCs w:val="28"/>
          <w:highlight w:val="none"/>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8"/>
          <w:highlight w:val="none"/>
          <w14:textFill>
            <w14:solidFill>
              <w14:schemeClr w14:val="tx1"/>
            </w14:solidFill>
          </w14:textFill>
        </w:rPr>
        <w:t>建设单位营业执照</w:t>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end"/>
      </w:r>
    </w:p>
    <w:p>
      <w:pPr>
        <w:pStyle w:val="28"/>
        <w:pageBreakBefore w:val="0"/>
        <w:tabs>
          <w:tab w:val="right" w:leader="dot" w:pos="8844"/>
        </w:tabs>
        <w:kinsoku/>
        <w:bidi w:val="0"/>
        <w:spacing w:beforeAutospacing="0" w:afterAutospacing="0" w:line="240" w:lineRule="auto"/>
        <w:rPr>
          <w:rFonts w:ascii="Times New Roman" w:hAnsi="Times New Roman" w:eastAsia="宋体"/>
          <w:b w:val="0"/>
          <w:bCs w:val="0"/>
          <w:color w:val="000000" w:themeColor="text1"/>
          <w:sz w:val="24"/>
          <w14:textFill>
            <w14:solidFill>
              <w14:schemeClr w14:val="tx1"/>
            </w14:solidFill>
          </w14:textFill>
        </w:rPr>
      </w:pP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instrText xml:space="preserve"> HYPERLINK \l _Toc27865 </w:instrText>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separate"/>
      </w:r>
      <w:r>
        <w:rPr>
          <w:rFonts w:hint="eastAsia" w:ascii="Times New Roman" w:hAnsi="Times New Roman" w:eastAsia="宋体" w:cs="Times New Roman"/>
          <w:b w:val="0"/>
          <w:bCs w:val="0"/>
          <w:color w:val="000000" w:themeColor="text1"/>
          <w:sz w:val="24"/>
          <w:szCs w:val="28"/>
          <w:highlight w:val="none"/>
          <w:lang w:val="en-US" w:eastAsia="zh-CN"/>
          <w14:textFill>
            <w14:solidFill>
              <w14:schemeClr w14:val="tx1"/>
            </w14:solidFill>
          </w14:textFill>
        </w:rPr>
        <w:t>附件4 法人身份证</w:t>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end"/>
      </w:r>
    </w:p>
    <w:p>
      <w:pPr>
        <w:pStyle w:val="28"/>
        <w:pageBreakBefore w:val="0"/>
        <w:tabs>
          <w:tab w:val="right" w:leader="dot" w:pos="8844"/>
        </w:tabs>
        <w:kinsoku/>
        <w:bidi w:val="0"/>
        <w:spacing w:beforeAutospacing="0" w:afterAutospacing="0" w:line="240" w:lineRule="auto"/>
        <w:rPr>
          <w:rFonts w:ascii="Times New Roman" w:hAnsi="Times New Roman" w:eastAsia="宋体"/>
          <w:b w:val="0"/>
          <w:bCs w:val="0"/>
          <w:color w:val="000000" w:themeColor="text1"/>
          <w:sz w:val="24"/>
          <w14:textFill>
            <w14:solidFill>
              <w14:schemeClr w14:val="tx1"/>
            </w14:solidFill>
          </w14:textFill>
        </w:rPr>
      </w:pP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instrText xml:space="preserve"> HYPERLINK \l _Toc29709 </w:instrText>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separate"/>
      </w:r>
      <w:r>
        <w:rPr>
          <w:rFonts w:hint="eastAsia" w:ascii="Times New Roman" w:hAnsi="Times New Roman" w:eastAsia="宋体" w:cs="Times New Roman"/>
          <w:b w:val="0"/>
          <w:bCs w:val="0"/>
          <w:color w:val="000000" w:themeColor="text1"/>
          <w:sz w:val="24"/>
          <w:szCs w:val="28"/>
          <w:highlight w:val="none"/>
          <w:lang w:val="en-US" w:eastAsia="zh-CN"/>
          <w14:textFill>
            <w14:solidFill>
              <w14:schemeClr w14:val="tx1"/>
            </w14:solidFill>
          </w14:textFill>
        </w:rPr>
        <w:t>附件5 项目相关会议纪要</w:t>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end"/>
      </w:r>
    </w:p>
    <w:p>
      <w:pPr>
        <w:pStyle w:val="28"/>
        <w:pageBreakBefore w:val="0"/>
        <w:tabs>
          <w:tab w:val="right" w:leader="dot" w:pos="8844"/>
        </w:tabs>
        <w:kinsoku/>
        <w:bidi w:val="0"/>
        <w:spacing w:beforeAutospacing="0" w:afterAutospacing="0" w:line="240" w:lineRule="auto"/>
        <w:rPr>
          <w:rFonts w:ascii="Times New Roman" w:hAnsi="Times New Roman" w:eastAsia="宋体"/>
          <w:b w:val="0"/>
          <w:bCs w:val="0"/>
          <w:color w:val="000000" w:themeColor="text1"/>
          <w:sz w:val="24"/>
          <w14:textFill>
            <w14:solidFill>
              <w14:schemeClr w14:val="tx1"/>
            </w14:solidFill>
          </w14:textFill>
        </w:rPr>
      </w:pP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instrText xml:space="preserve"> HYPERLINK \l _Toc26681 </w:instrText>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separate"/>
      </w:r>
      <w:r>
        <w:rPr>
          <w:rFonts w:hint="eastAsia" w:ascii="Times New Roman" w:hAnsi="Times New Roman" w:eastAsia="宋体" w:cs="Times New Roman"/>
          <w:b w:val="0"/>
          <w:bCs w:val="0"/>
          <w:color w:val="000000" w:themeColor="text1"/>
          <w:sz w:val="24"/>
          <w:szCs w:val="28"/>
          <w:highlight w:val="none"/>
          <w:lang w:val="en-US" w:eastAsia="zh-CN"/>
          <w14:textFill>
            <w14:solidFill>
              <w14:schemeClr w14:val="tx1"/>
            </w14:solidFill>
          </w14:textFill>
        </w:rPr>
        <w:t>附件6选址意见函</w:t>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end"/>
      </w:r>
    </w:p>
    <w:p>
      <w:pPr>
        <w:pStyle w:val="28"/>
        <w:pageBreakBefore w:val="0"/>
        <w:tabs>
          <w:tab w:val="right" w:leader="dot" w:pos="8844"/>
        </w:tabs>
        <w:kinsoku/>
        <w:bidi w:val="0"/>
        <w:spacing w:beforeAutospacing="0" w:afterAutospacing="0" w:line="240" w:lineRule="auto"/>
        <w:rPr>
          <w:rFonts w:ascii="Times New Roman" w:hAnsi="Times New Roman" w:eastAsia="宋体"/>
          <w:b w:val="0"/>
          <w:bCs w:val="0"/>
          <w:color w:val="000000" w:themeColor="text1"/>
          <w:sz w:val="24"/>
          <w14:textFill>
            <w14:solidFill>
              <w14:schemeClr w14:val="tx1"/>
            </w14:solidFill>
          </w14:textFill>
        </w:rPr>
      </w:pP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instrText xml:space="preserve"> HYPERLINK \l _Toc1033 </w:instrText>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separate"/>
      </w:r>
      <w:r>
        <w:rPr>
          <w:rFonts w:hint="eastAsia" w:ascii="Times New Roman" w:hAnsi="Times New Roman" w:eastAsia="宋体" w:cs="Times New Roman"/>
          <w:b w:val="0"/>
          <w:bCs w:val="0"/>
          <w:color w:val="000000" w:themeColor="text1"/>
          <w:sz w:val="24"/>
          <w:szCs w:val="28"/>
          <w:highlight w:val="none"/>
          <w:lang w:val="en-US" w:eastAsia="zh-CN"/>
          <w14:textFill>
            <w14:solidFill>
              <w14:schemeClr w14:val="tx1"/>
            </w14:solidFill>
          </w14:textFill>
        </w:rPr>
        <w:t>附件7用地规划许可证</w:t>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end"/>
      </w:r>
    </w:p>
    <w:p>
      <w:pPr>
        <w:pStyle w:val="28"/>
        <w:pageBreakBefore w:val="0"/>
        <w:tabs>
          <w:tab w:val="right" w:leader="dot" w:pos="8844"/>
        </w:tabs>
        <w:kinsoku/>
        <w:bidi w:val="0"/>
        <w:spacing w:beforeAutospacing="0" w:afterAutospacing="0" w:line="240" w:lineRule="auto"/>
        <w:rPr>
          <w:rFonts w:ascii="Times New Roman" w:hAnsi="Times New Roman" w:eastAsia="宋体"/>
          <w:b w:val="0"/>
          <w:bCs w:val="0"/>
          <w:color w:val="000000" w:themeColor="text1"/>
          <w:sz w:val="24"/>
          <w14:textFill>
            <w14:solidFill>
              <w14:schemeClr w14:val="tx1"/>
            </w14:solidFill>
          </w14:textFill>
        </w:rPr>
      </w:pP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instrText xml:space="preserve"> HYPERLINK \l _Toc18064 </w:instrText>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separate"/>
      </w:r>
      <w:r>
        <w:rPr>
          <w:rFonts w:hint="eastAsia" w:ascii="Times New Roman" w:hAnsi="Times New Roman" w:eastAsia="宋体" w:cs="Times New Roman"/>
          <w:b w:val="0"/>
          <w:bCs w:val="0"/>
          <w:color w:val="000000" w:themeColor="text1"/>
          <w:sz w:val="24"/>
          <w:szCs w:val="28"/>
          <w:highlight w:val="none"/>
          <w:lang w:val="en-US" w:eastAsia="zh-CN"/>
          <w14:textFill>
            <w14:solidFill>
              <w14:schemeClr w14:val="tx1"/>
            </w14:solidFill>
          </w14:textFill>
        </w:rPr>
        <w:t>附件8用地出让合同</w:t>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end"/>
      </w:r>
    </w:p>
    <w:p>
      <w:pPr>
        <w:pStyle w:val="28"/>
        <w:pageBreakBefore w:val="0"/>
        <w:tabs>
          <w:tab w:val="right" w:leader="dot" w:pos="8844"/>
        </w:tabs>
        <w:kinsoku/>
        <w:bidi w:val="0"/>
        <w:spacing w:beforeAutospacing="0" w:afterAutospacing="0" w:line="240" w:lineRule="auto"/>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t>附件9可研报告评估会议纪要</w:t>
      </w:r>
    </w:p>
    <w:p>
      <w:pPr>
        <w:pStyle w:val="28"/>
        <w:pageBreakBefore w:val="0"/>
        <w:tabs>
          <w:tab w:val="right" w:leader="dot" w:pos="8844"/>
        </w:tabs>
        <w:kinsoku/>
        <w:bidi w:val="0"/>
        <w:spacing w:beforeAutospacing="0" w:afterAutospacing="0" w:line="240" w:lineRule="auto"/>
        <w:rPr>
          <w:rFonts w:ascii="Times New Roman" w:hAnsi="Times New Roman" w:eastAsia="宋体"/>
          <w:b w:val="0"/>
          <w:bCs w:val="0"/>
          <w:color w:val="000000" w:themeColor="text1"/>
          <w14:textFill>
            <w14:solidFill>
              <w14:schemeClr w14:val="tx1"/>
            </w14:solidFill>
          </w14:textFill>
        </w:rPr>
      </w:pP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instrText xml:space="preserve"> HYPERLINK \l _Toc70 </w:instrText>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separate"/>
      </w:r>
      <w:r>
        <w:rPr>
          <w:rFonts w:hint="eastAsia" w:ascii="Times New Roman" w:hAnsi="Times New Roman" w:eastAsia="宋体" w:cs="Times New Roman"/>
          <w:b w:val="0"/>
          <w:bCs w:val="0"/>
          <w:color w:val="000000" w:themeColor="text1"/>
          <w:sz w:val="24"/>
          <w:szCs w:val="28"/>
          <w:highlight w:val="none"/>
          <w:lang w:val="en-US" w:eastAsia="zh-CN"/>
          <w14:textFill>
            <w14:solidFill>
              <w14:schemeClr w14:val="tx1"/>
            </w14:solidFill>
          </w14:textFill>
        </w:rPr>
        <w:t>附件10公示说明</w:t>
      </w:r>
      <w:r>
        <w:rPr>
          <w:rFonts w:hint="default" w:ascii="Times New Roman" w:hAnsi="Times New Roman" w:eastAsia="宋体" w:cs="Times New Roman"/>
          <w:b w:val="0"/>
          <w:bCs w:val="0"/>
          <w:snapToGrid w:val="0"/>
          <w:color w:val="000000" w:themeColor="text1"/>
          <w:sz w:val="24"/>
          <w:szCs w:val="24"/>
          <w:highlight w:val="none"/>
          <w14:textFill>
            <w14:solidFill>
              <w14:schemeClr w14:val="tx1"/>
            </w14:solidFill>
          </w14:textFill>
        </w:rPr>
        <w:fldChar w:fldCharType="end"/>
      </w:r>
    </w:p>
    <w:p>
      <w:pPr>
        <w:pStyle w:val="30"/>
        <w:pageBreakBefore w:val="0"/>
        <w:kinsoku/>
        <w:bidi w:val="0"/>
        <w:spacing w:before="0" w:beforeAutospacing="0" w:after="0" w:afterAutospacing="0" w:line="360" w:lineRule="auto"/>
        <w:jc w:val="center"/>
        <w:outlineLvl w:val="0"/>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sectPr>
          <w:footerReference r:id="rId5" w:type="default"/>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r>
        <w:rPr>
          <w:rFonts w:hint="default" w:ascii="Times New Roman" w:hAnsi="Times New Roman" w:eastAsia="宋体" w:cs="Times New Roman"/>
          <w:snapToGrid w:val="0"/>
          <w:color w:val="000000" w:themeColor="text1"/>
          <w:szCs w:val="24"/>
          <w:highlight w:val="none"/>
          <w14:textFill>
            <w14:solidFill>
              <w14:schemeClr w14:val="tx1"/>
            </w14:solidFill>
          </w14:textFill>
        </w:rPr>
        <w:fldChar w:fldCharType="end"/>
      </w:r>
    </w:p>
    <w:p>
      <w:pPr>
        <w:pStyle w:val="30"/>
        <w:pageBreakBefore w:val="0"/>
        <w:kinsoku/>
        <w:bidi w:val="0"/>
        <w:spacing w:before="0" w:beforeAutospacing="0" w:after="0" w:afterAutospacing="0"/>
        <w:jc w:val="center"/>
        <w:outlineLvl w:val="0"/>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pPr>
      <w:bookmarkStart w:id="8" w:name="_Toc2718"/>
      <w:r>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t>一、建设项目基本情况</w:t>
      </w:r>
      <w:bookmarkEnd w:id="8"/>
    </w:p>
    <w:tbl>
      <w:tblPr>
        <w:tblStyle w:val="33"/>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78"/>
        <w:gridCol w:w="2001"/>
        <w:gridCol w:w="1819"/>
        <w:gridCol w:w="357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78" w:type="dxa"/>
            <w:tcMar>
              <w:top w:w="16" w:type="dxa"/>
              <w:left w:w="16" w:type="dxa"/>
              <w:right w:w="16" w:type="dxa"/>
            </w:tcMar>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建设项目名称</w:t>
            </w:r>
          </w:p>
        </w:tc>
        <w:tc>
          <w:tcPr>
            <w:tcW w:w="7392" w:type="dxa"/>
            <w:gridSpan w:val="3"/>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万成物流仓储项目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78" w:type="dxa"/>
            <w:tcMar>
              <w:top w:w="16" w:type="dxa"/>
              <w:left w:w="16" w:type="dxa"/>
              <w:right w:w="16" w:type="dxa"/>
            </w:tcMar>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项目代码</w:t>
            </w:r>
          </w:p>
        </w:tc>
        <w:tc>
          <w:tcPr>
            <w:tcW w:w="7392" w:type="dxa"/>
            <w:gridSpan w:val="3"/>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2209-350123-04-01-351023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78" w:type="dxa"/>
            <w:tcMar>
              <w:top w:w="16" w:type="dxa"/>
              <w:left w:w="16" w:type="dxa"/>
              <w:right w:w="16" w:type="dxa"/>
            </w:tcMar>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建设单位联系人</w:t>
            </w:r>
          </w:p>
        </w:tc>
        <w:tc>
          <w:tcPr>
            <w:tcW w:w="2001" w:type="dxa"/>
            <w:vAlign w:val="center"/>
          </w:tcPr>
          <w:p>
            <w:pPr>
              <w:pageBreakBefore w:val="0"/>
              <w:kinsoku/>
              <w:bidi w:val="0"/>
              <w:adjustRightInd w:val="0"/>
              <w:snapToGrid w:val="0"/>
              <w:spacing w:beforeAutospacing="0" w:afterAutospacing="0"/>
              <w:jc w:val="center"/>
              <w:rPr>
                <w:rFonts w:hint="eastAsia"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p>
        </w:tc>
        <w:tc>
          <w:tcPr>
            <w:tcW w:w="1819"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联系方式</w:t>
            </w:r>
          </w:p>
        </w:tc>
        <w:tc>
          <w:tcPr>
            <w:tcW w:w="3572"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78" w:type="dxa"/>
            <w:tcMar>
              <w:top w:w="16" w:type="dxa"/>
              <w:left w:w="16" w:type="dxa"/>
              <w:right w:w="16" w:type="dxa"/>
            </w:tcMar>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建设地点</w:t>
            </w:r>
          </w:p>
        </w:tc>
        <w:tc>
          <w:tcPr>
            <w:tcW w:w="7392" w:type="dxa"/>
            <w:gridSpan w:val="3"/>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t xml:space="preserve"> 福建省</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宁德市福鼎市白琳镇沿州村北侧海域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78" w:type="dxa"/>
            <w:tcMar>
              <w:top w:w="16" w:type="dxa"/>
              <w:left w:w="16" w:type="dxa"/>
              <w:right w:w="16" w:type="dxa"/>
            </w:tcMar>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地理坐标</w:t>
            </w:r>
          </w:p>
        </w:tc>
        <w:tc>
          <w:tcPr>
            <w:tcW w:w="7392" w:type="dxa"/>
            <w:gridSpan w:val="3"/>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东经120</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°16′12.334″</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，北纬27</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°14。57。116″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84" w:hRule="atLeast"/>
          <w:jc w:val="center"/>
        </w:trPr>
        <w:tc>
          <w:tcPr>
            <w:tcW w:w="1478" w:type="dxa"/>
            <w:tcMar>
              <w:top w:w="16" w:type="dxa"/>
              <w:left w:w="16" w:type="dxa"/>
              <w:right w:w="16" w:type="dxa"/>
            </w:tcMar>
            <w:vAlign w:val="center"/>
          </w:tcPr>
          <w:p>
            <w:pPr>
              <w:pageBreakBefore w:val="0"/>
              <w:kinsoku/>
              <w:bidi w:val="0"/>
              <w:adjustRightInd w:val="0"/>
              <w:snapToGrid w:val="0"/>
              <w:spacing w:beforeAutospacing="0" w:afterAutospacing="0"/>
              <w:jc w:val="cente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建设项目</w:t>
            </w:r>
          </w:p>
          <w:p>
            <w:pPr>
              <w:pageBreakBefore w:val="0"/>
              <w:kinsoku/>
              <w:bidi w:val="0"/>
              <w:adjustRightInd w:val="0"/>
              <w:snapToGrid w:val="0"/>
              <w:spacing w:beforeAutospacing="0" w:afterAutospacing="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行业类别</w:t>
            </w:r>
          </w:p>
        </w:tc>
        <w:tc>
          <w:tcPr>
            <w:tcW w:w="2001" w:type="dxa"/>
            <w:vAlign w:val="center"/>
          </w:tcPr>
          <w:p>
            <w:pPr>
              <w:pageBreakBefore w:val="0"/>
              <w:kinsoku/>
              <w:bidi w:val="0"/>
              <w:adjustRightInd w:val="0"/>
              <w:snapToGrid w:val="0"/>
              <w:spacing w:beforeAutospacing="0" w:afterAutospacing="0"/>
              <w:jc w:val="both"/>
              <w:rPr>
                <w:rFonts w:hint="default" w:ascii="Times New Roman" w:hAnsi="Times New Roman" w:eastAsia="宋体" w:cs="Times New Roman"/>
                <w:color w:val="000000" w:themeColor="text1"/>
                <w:sz w:val="24"/>
                <w:szCs w:val="24"/>
                <w:highlight w:val="none"/>
                <w:lang w:val="en-US"/>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五十二、交通运输业、管道运输业—139干散货（含煤炭、矿石）、件杂、多用途、通用码头—其他</w:t>
            </w:r>
          </w:p>
        </w:tc>
        <w:tc>
          <w:tcPr>
            <w:tcW w:w="1819" w:type="dxa"/>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用地（用海）面积（m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）/长度（km）</w:t>
            </w:r>
          </w:p>
        </w:tc>
        <w:tc>
          <w:tcPr>
            <w:tcW w:w="3572" w:type="dxa"/>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4"/>
                <w:szCs w:val="24"/>
                <w:highlight w:val="none"/>
                <w:lang w:val="en-US"/>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占地面积404928m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478" w:type="dxa"/>
            <w:tcMar>
              <w:top w:w="16" w:type="dxa"/>
              <w:left w:w="16" w:type="dxa"/>
              <w:right w:w="16" w:type="dxa"/>
            </w:tcMar>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建设性质</w:t>
            </w:r>
          </w:p>
        </w:tc>
        <w:tc>
          <w:tcPr>
            <w:tcW w:w="2001" w:type="dxa"/>
            <w:vAlign w:val="center"/>
          </w:tcPr>
          <w:p>
            <w:pPr>
              <w:pageBreakBefore w:val="0"/>
              <w:kinsoku/>
              <w:bidi w:val="0"/>
              <w:spacing w:beforeAutospacing="0" w:afterAutospacing="0"/>
              <w:jc w:val="left"/>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新建（迁建）</w:t>
            </w:r>
          </w:p>
          <w:p>
            <w:pPr>
              <w:pageBreakBefore w:val="0"/>
              <w:kinsoku/>
              <w:bidi w:val="0"/>
              <w:spacing w:beforeAutospacing="0" w:afterAutospacing="0"/>
              <w:jc w:val="left"/>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□改建</w:t>
            </w:r>
          </w:p>
          <w:p>
            <w:pPr>
              <w:pageBreakBefore w:val="0"/>
              <w:kinsoku/>
              <w:bidi w:val="0"/>
              <w:spacing w:beforeAutospacing="0" w:afterAutospacing="0"/>
              <w:jc w:val="left"/>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□扩建</w:t>
            </w:r>
          </w:p>
          <w:p>
            <w:pPr>
              <w:pageBreakBefore w:val="0"/>
              <w:kinsoku/>
              <w:bidi w:val="0"/>
              <w:spacing w:beforeAutospacing="0" w:afterAutospacing="0"/>
              <w:jc w:val="left"/>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□技术改造</w:t>
            </w:r>
          </w:p>
        </w:tc>
        <w:tc>
          <w:tcPr>
            <w:tcW w:w="1819"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建设项目</w:t>
            </w:r>
          </w:p>
          <w:p>
            <w:pPr>
              <w:pageBreakBefore w:val="0"/>
              <w:kinsoku/>
              <w:bidi w:val="0"/>
              <w:adjustRightInd w:val="0"/>
              <w:snapToGrid w:val="0"/>
              <w:spacing w:beforeAutospacing="0" w:afterAutospacing="0"/>
              <w:jc w:val="cente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申报情形</w:t>
            </w:r>
          </w:p>
        </w:tc>
        <w:tc>
          <w:tcPr>
            <w:tcW w:w="3572" w:type="dxa"/>
            <w:vAlign w:val="center"/>
          </w:tcPr>
          <w:p>
            <w:pPr>
              <w:pageBreakBefore w:val="0"/>
              <w:kinsoku/>
              <w:bidi w:val="0"/>
              <w:spacing w:beforeAutospacing="0" w:afterAutospacing="0"/>
              <w:jc w:val="left"/>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 xml:space="preserve">首次申报项目             </w:t>
            </w:r>
          </w:p>
          <w:p>
            <w:pPr>
              <w:pageBreakBefore w:val="0"/>
              <w:kinsoku/>
              <w:bidi w:val="0"/>
              <w:spacing w:beforeAutospacing="0" w:afterAutospacing="0"/>
              <w:jc w:val="left"/>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□不予批准后再次申报项目</w:t>
            </w:r>
          </w:p>
          <w:p>
            <w:pPr>
              <w:pageBreakBefore w:val="0"/>
              <w:kinsoku/>
              <w:bidi w:val="0"/>
              <w:spacing w:beforeAutospacing="0" w:afterAutospacing="0"/>
              <w:jc w:val="left"/>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 xml:space="preserve">□超五年重新审核项目     </w:t>
            </w:r>
          </w:p>
          <w:p>
            <w:pPr>
              <w:pageBreakBefore w:val="0"/>
              <w:kinsoku/>
              <w:bidi w:val="0"/>
              <w:spacing w:beforeAutospacing="0" w:afterAutospacing="0"/>
              <w:jc w:val="left"/>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478" w:type="dxa"/>
            <w:tcMar>
              <w:top w:w="16" w:type="dxa"/>
              <w:left w:w="16" w:type="dxa"/>
              <w:right w:w="16" w:type="dxa"/>
            </w:tcMar>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项目审批（核准/备案）部门（选填）</w:t>
            </w:r>
          </w:p>
        </w:tc>
        <w:tc>
          <w:tcPr>
            <w:tcW w:w="2001"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福鼎市发展和改革局</w:t>
            </w:r>
          </w:p>
        </w:tc>
        <w:tc>
          <w:tcPr>
            <w:tcW w:w="1819"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项目审批（核准/</w:t>
            </w:r>
          </w:p>
          <w:p>
            <w:pPr>
              <w:pageBreakBefore w:val="0"/>
              <w:kinsoku/>
              <w:bidi w:val="0"/>
              <w:adjustRightInd w:val="0"/>
              <w:snapToGrid w:val="0"/>
              <w:spacing w:beforeAutospacing="0" w:afterAutospacing="0"/>
              <w:jc w:val="cente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备案）文号（选填）</w:t>
            </w:r>
          </w:p>
        </w:tc>
        <w:tc>
          <w:tcPr>
            <w:tcW w:w="3572"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闽发改备[2012]J02004号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478" w:type="dxa"/>
            <w:tcMar>
              <w:top w:w="16" w:type="dxa"/>
              <w:left w:w="16" w:type="dxa"/>
              <w:right w:w="16" w:type="dxa"/>
            </w:tcMar>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总投资（万元）</w:t>
            </w:r>
          </w:p>
        </w:tc>
        <w:tc>
          <w:tcPr>
            <w:tcW w:w="2001"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50000</w:t>
            </w:r>
          </w:p>
        </w:tc>
        <w:tc>
          <w:tcPr>
            <w:tcW w:w="1819" w:type="dxa"/>
            <w:tcMar>
              <w:top w:w="16" w:type="dxa"/>
              <w:left w:w="16" w:type="dxa"/>
              <w:right w:w="16" w:type="dxa"/>
            </w:tcMar>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环保投资（万元）</w:t>
            </w:r>
          </w:p>
        </w:tc>
        <w:tc>
          <w:tcPr>
            <w:tcW w:w="3572"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305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53" w:hRule="atLeast"/>
          <w:jc w:val="center"/>
        </w:trPr>
        <w:tc>
          <w:tcPr>
            <w:tcW w:w="1478" w:type="dxa"/>
            <w:tcMar>
              <w:top w:w="16" w:type="dxa"/>
              <w:left w:w="16" w:type="dxa"/>
              <w:right w:w="16" w:type="dxa"/>
            </w:tcMar>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环保投资占比（%）</w:t>
            </w:r>
          </w:p>
        </w:tc>
        <w:tc>
          <w:tcPr>
            <w:tcW w:w="2001"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0.61</w:t>
            </w:r>
          </w:p>
        </w:tc>
        <w:tc>
          <w:tcPr>
            <w:tcW w:w="1819" w:type="dxa"/>
            <w:tcMar>
              <w:top w:w="16" w:type="dxa"/>
              <w:left w:w="16" w:type="dxa"/>
              <w:right w:w="16" w:type="dxa"/>
            </w:tcMar>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施工工期</w:t>
            </w:r>
          </w:p>
        </w:tc>
        <w:tc>
          <w:tcPr>
            <w:tcW w:w="3572"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36个月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1478" w:type="dxa"/>
            <w:tcMar>
              <w:top w:w="16" w:type="dxa"/>
              <w:left w:w="16" w:type="dxa"/>
              <w:right w:w="16" w:type="dxa"/>
            </w:tcMar>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是否开工建设</w:t>
            </w:r>
          </w:p>
        </w:tc>
        <w:tc>
          <w:tcPr>
            <w:tcW w:w="7392" w:type="dxa"/>
            <w:gridSpan w:val="3"/>
            <w:vAlign w:val="center"/>
          </w:tcPr>
          <w:p>
            <w:pPr>
              <w:keepNext w:val="0"/>
              <w:keepLines w:val="0"/>
              <w:pageBreakBefore w:val="0"/>
              <w:widowControl w:val="0"/>
              <w:kinsoku/>
              <w:wordWrap/>
              <w:overflowPunct/>
              <w:topLinePunct w:val="0"/>
              <w:bidi w:val="0"/>
              <w:adjustRightInd w:val="0"/>
              <w:snapToGrid w:val="0"/>
              <w:spacing w:beforeAutospacing="0" w:afterAutospacing="0" w:line="240" w:lineRule="auto"/>
              <w:textAlignment w:val="auto"/>
              <w:rPr>
                <w:rFonts w:hint="default" w:ascii="Times New Roman" w:hAnsi="Times New Roman" w:eastAsia="宋体" w:cs="Times New Roman"/>
                <w:color w:val="000000" w:themeColor="text1"/>
                <w:spacing w:val="0"/>
                <w:kern w:val="21"/>
                <w:sz w:val="24"/>
                <w:szCs w:val="24"/>
                <w:highlight w:val="none"/>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sym w:font="Wingdings 2" w:char="0052"/>
            </w:r>
            <w:r>
              <w:rPr>
                <w:rFonts w:hint="default" w:ascii="Times New Roman" w:hAnsi="Times New Roman" w:eastAsia="宋体" w:cs="Times New Roman"/>
                <w:color w:val="000000" w:themeColor="text1"/>
                <w:spacing w:val="0"/>
                <w:kern w:val="21"/>
                <w:sz w:val="24"/>
                <w:szCs w:val="24"/>
                <w:highlight w:val="none"/>
                <w14:textFill>
                  <w14:solidFill>
                    <w14:schemeClr w14:val="tx1"/>
                  </w14:solidFill>
                </w14:textFill>
              </w:rPr>
              <w:t>否</w:t>
            </w:r>
          </w:p>
          <w:p>
            <w:pPr>
              <w:pageBreakBefore w:val="0"/>
              <w:kinsoku/>
              <w:bidi w:val="0"/>
              <w:adjustRightInd w:val="0"/>
              <w:snapToGrid w:val="0"/>
              <w:spacing w:beforeAutospacing="0" w:afterAutospacing="0"/>
              <w:jc w:val="both"/>
              <w:rPr>
                <w:rFonts w:hint="default" w:ascii="Times New Roman" w:hAnsi="Times New Roman" w:eastAsia="宋体" w:cs="Times New Roman"/>
                <w:b w:val="0"/>
                <w:bCs w:val="0"/>
                <w:color w:val="000000" w:themeColor="text1"/>
                <w:sz w:val="24"/>
                <w:szCs w:val="24"/>
                <w:highlight w:val="none"/>
                <w:u w:val="singl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0"/>
                <w:kern w:val="21"/>
                <w:sz w:val="24"/>
                <w:szCs w:val="24"/>
                <w:highlight w:val="none"/>
                <w14:textFill>
                  <w14:solidFill>
                    <w14:schemeClr w14:val="tx1"/>
                  </w14:solidFill>
                </w14:textFill>
              </w:rPr>
              <w:t>是：</w:t>
            </w:r>
            <w:r>
              <w:rPr>
                <w:rFonts w:hint="eastAsia" w:ascii="Times New Roman" w:hAnsi="Times New Roman" w:eastAsia="宋体"/>
                <w:color w:val="000000" w:themeColor="text1"/>
                <w:u w:val="single"/>
                <w:lang w:val="en-US" w:eastAsia="zh-CN"/>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3" w:hRule="atLeast"/>
          <w:jc w:val="center"/>
        </w:trPr>
        <w:tc>
          <w:tcPr>
            <w:tcW w:w="1478" w:type="dxa"/>
            <w:vAlign w:val="center"/>
          </w:tcPr>
          <w:p>
            <w:pPr>
              <w:pageBreakBefore w:val="0"/>
              <w:kinsoku/>
              <w:autoSpaceDE w:val="0"/>
              <w:autoSpaceDN w:val="0"/>
              <w:bidi w:val="0"/>
              <w:adjustRightInd w:val="0"/>
              <w:snapToGrid w:val="0"/>
              <w:spacing w:beforeAutospacing="0" w:afterAutospacing="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专项评价设置情况</w:t>
            </w:r>
          </w:p>
        </w:tc>
        <w:tc>
          <w:tcPr>
            <w:tcW w:w="7392" w:type="dxa"/>
            <w:gridSpan w:val="3"/>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根据《建设项目环境影响报告表编制技术指南(生态影响类) (试行)》，专项评价设置原则为根据建设项目特点和涉及的环境敏感区类别，确定专项评价的类别，确有必要的可根据建设项目环境影响程度等实际情况适当调整。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专项评价</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设置情况参照表1-1。</w:t>
            </w:r>
          </w:p>
          <w:p>
            <w:pPr>
              <w:pageBreakBefore w:val="0"/>
              <w:kinsoku/>
              <w:bidi w:val="0"/>
              <w:spacing w:beforeAutospacing="0" w:afterAutospacing="0"/>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p>
          <w:p>
            <w:pPr>
              <w:pageBreakBefore w:val="0"/>
              <w:kinsoku/>
              <w:bidi w:val="0"/>
              <w:spacing w:beforeAutospacing="0" w:afterAutospacing="0"/>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p>
          <w:p>
            <w:pPr>
              <w:pageBreakBefore w:val="0"/>
              <w:kinsoku/>
              <w:bidi w:val="0"/>
              <w:spacing w:beforeAutospacing="0" w:afterAutospacing="0"/>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p>
          <w:p>
            <w:pPr>
              <w:pageBreakBefore w:val="0"/>
              <w:kinsoku/>
              <w:bidi w:val="0"/>
              <w:spacing w:beforeAutospacing="0" w:afterAutospacing="0"/>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p>
          <w:p>
            <w:pPr>
              <w:pageBreakBefore w:val="0"/>
              <w:kinsoku/>
              <w:bidi w:val="0"/>
              <w:spacing w:beforeAutospacing="0" w:afterAutospacing="0"/>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p>
          <w:p>
            <w:pPr>
              <w:pageBreakBefore w:val="0"/>
              <w:kinsoku/>
              <w:bidi w:val="0"/>
              <w:spacing w:beforeAutospacing="0" w:afterAutospacing="0"/>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p>
          <w:p>
            <w:pPr>
              <w:pageBreakBefore w:val="0"/>
              <w:kinsoku/>
              <w:bidi w:val="0"/>
              <w:spacing w:beforeAutospacing="0" w:afterAutospacing="0"/>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p>
          <w:p>
            <w:pPr>
              <w:pageBreakBefore w:val="0"/>
              <w:kinsoku/>
              <w:bidi w:val="0"/>
              <w:spacing w:beforeAutospacing="0" w:afterAutospacing="0"/>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p>
          <w:p>
            <w:pPr>
              <w:pageBreakBefore w:val="0"/>
              <w:kinsoku/>
              <w:bidi w:val="0"/>
              <w:spacing w:beforeAutospacing="0" w:afterAutospacing="0"/>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表1-1 专项评价设置原则表</w:t>
            </w:r>
          </w:p>
          <w:tbl>
            <w:tblPr>
              <w:tblStyle w:val="34"/>
              <w:tblW w:w="717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3107"/>
              <w:gridCol w:w="1841"/>
              <w:gridCol w:w="7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80" w:type="dxa"/>
                  <w:tcBorders>
                    <w:tl2br w:val="nil"/>
                    <w:tr2bl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专项评价的类别</w:t>
                  </w:r>
                </w:p>
              </w:tc>
              <w:tc>
                <w:tcPr>
                  <w:tcW w:w="3107" w:type="dxa"/>
                  <w:tcBorders>
                    <w:tl2br w:val="nil"/>
                    <w:tr2bl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设置原则</w:t>
                  </w:r>
                </w:p>
              </w:tc>
              <w:tc>
                <w:tcPr>
                  <w:tcW w:w="1841" w:type="dxa"/>
                  <w:tcBorders>
                    <w:tl2br w:val="nil"/>
                    <w:tr2bl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本项目情况</w:t>
                  </w:r>
                </w:p>
              </w:tc>
              <w:tc>
                <w:tcPr>
                  <w:tcW w:w="748" w:type="dxa"/>
                  <w:tcBorders>
                    <w:tl2br w:val="nil"/>
                    <w:tr2bl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是否设置专项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80" w:type="dxa"/>
                  <w:tcBorders>
                    <w:tl2br w:val="nil"/>
                    <w:tr2bl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地表水</w:t>
                  </w:r>
                </w:p>
              </w:tc>
              <w:tc>
                <w:tcPr>
                  <w:tcW w:w="3107" w:type="dxa"/>
                  <w:tcBorders>
                    <w:tl2br w:val="nil"/>
                    <w:tr2bl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水力发电：引式发电、涉及调发电的项目；</w:t>
                  </w:r>
                </w:p>
                <w:p>
                  <w:pPr>
                    <w:pStyle w:val="30"/>
                    <w:keepNext w:val="0"/>
                    <w:keepLines w:val="0"/>
                    <w:pageBreakBefore w:val="0"/>
                    <w:widowControl/>
                    <w:suppressLineNumbers w:val="0"/>
                    <w:kinsoku/>
                    <w:bidi w:val="0"/>
                    <w:spacing w:before="0" w:beforeAutospacing="0" w:after="0" w:afterAutospacing="0" w:line="240" w:lineRule="auto"/>
                    <w:ind w:left="0" w:right="0" w:firstLine="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人工湖、人工湿地：全部；</w:t>
                  </w:r>
                </w:p>
                <w:p>
                  <w:pPr>
                    <w:pStyle w:val="30"/>
                    <w:keepNext w:val="0"/>
                    <w:keepLines w:val="0"/>
                    <w:pageBreakBefore w:val="0"/>
                    <w:widowControl/>
                    <w:suppressLineNumbers w:val="0"/>
                    <w:kinsoku/>
                    <w:bidi w:val="0"/>
                    <w:spacing w:before="0" w:beforeAutospacing="0" w:after="0" w:afterAutospacing="0" w:line="240" w:lineRule="auto"/>
                    <w:ind w:left="0" w:right="0" w:firstLine="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水库：全部；</w:t>
                  </w:r>
                </w:p>
                <w:p>
                  <w:pPr>
                    <w:pStyle w:val="30"/>
                    <w:keepNext w:val="0"/>
                    <w:keepLines w:val="0"/>
                    <w:pageBreakBefore w:val="0"/>
                    <w:widowControl/>
                    <w:suppressLineNumbers w:val="0"/>
                    <w:kinsoku/>
                    <w:bidi w:val="0"/>
                    <w:spacing w:before="0" w:beforeAutospacing="0" w:after="0" w:afterAutospacing="0" w:line="240" w:lineRule="auto"/>
                    <w:ind w:left="0" w:right="0" w:firstLine="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引水工程：全部(配套的管线工程等除外) ；</w:t>
                  </w:r>
                </w:p>
                <w:p>
                  <w:pPr>
                    <w:pStyle w:val="30"/>
                    <w:keepNext w:val="0"/>
                    <w:keepLines w:val="0"/>
                    <w:pageBreakBefore w:val="0"/>
                    <w:widowControl/>
                    <w:suppressLineNumbers w:val="0"/>
                    <w:kinsoku/>
                    <w:bidi w:val="0"/>
                    <w:spacing w:before="0" w:beforeAutospacing="0" w:after="0" w:afterAutospacing="0" w:line="240" w:lineRule="auto"/>
                    <w:ind w:left="0" w:right="0" w:firstLine="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防洪除涝工程：包含水库的项目；</w:t>
                  </w:r>
                </w:p>
                <w:p>
                  <w:pPr>
                    <w:pStyle w:val="30"/>
                    <w:keepNext w:val="0"/>
                    <w:keepLines w:val="0"/>
                    <w:pageBreakBefore w:val="0"/>
                    <w:widowControl/>
                    <w:suppressLineNumbers w:val="0"/>
                    <w:kinsoku/>
                    <w:bidi w:val="0"/>
                    <w:spacing w:before="0" w:beforeAutospacing="0" w:after="0" w:afterAutospacing="0" w:line="240" w:lineRule="auto"/>
                    <w:ind w:left="0" w:right="0" w:firstLine="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河湖整治：涉及清淤且底泥存在重金 属污染的项目</w:t>
                  </w:r>
                </w:p>
              </w:tc>
              <w:tc>
                <w:tcPr>
                  <w:tcW w:w="1841" w:type="dxa"/>
                  <w:tcBorders>
                    <w:tl2br w:val="nil"/>
                    <w:tr2bl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不涉及该项内容</w:t>
                  </w:r>
                </w:p>
              </w:tc>
              <w:tc>
                <w:tcPr>
                  <w:tcW w:w="748" w:type="dxa"/>
                  <w:tcBorders>
                    <w:tl2br w:val="nil"/>
                    <w:tr2bl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80" w:type="dxa"/>
                  <w:tcBorders>
                    <w:tl2br w:val="nil"/>
                    <w:tr2bl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地下水</w:t>
                  </w:r>
                </w:p>
              </w:tc>
              <w:tc>
                <w:tcPr>
                  <w:tcW w:w="3107" w:type="dxa"/>
                  <w:tcBorders>
                    <w:tl2br w:val="nil"/>
                    <w:tr2bl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陆地石油和天然气开采： 全部；地 下水 (含矿泉水) 开采：全部；</w:t>
                  </w:r>
                </w:p>
                <w:p>
                  <w:pPr>
                    <w:pStyle w:val="30"/>
                    <w:keepNext w:val="0"/>
                    <w:keepLines w:val="0"/>
                    <w:pageBreakBefore w:val="0"/>
                    <w:widowControl/>
                    <w:suppressLineNumbers w:val="0"/>
                    <w:kinsoku/>
                    <w:bidi w:val="0"/>
                    <w:spacing w:before="0" w:beforeAutospacing="0" w:after="0" w:afterAutospacing="0" w:line="240" w:lineRule="auto"/>
                    <w:ind w:left="0" w:right="0" w:firstLine="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水利、水电、交通等：含穿越可溶岩地层隧道的项目</w:t>
                  </w:r>
                </w:p>
              </w:tc>
              <w:tc>
                <w:tcPr>
                  <w:tcW w:w="1841" w:type="dxa"/>
                  <w:tcBorders>
                    <w:tl2br w:val="nil"/>
                    <w:tr2bl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不涉及该项内容</w:t>
                  </w:r>
                </w:p>
              </w:tc>
              <w:tc>
                <w:tcPr>
                  <w:tcW w:w="748" w:type="dxa"/>
                  <w:tcBorders>
                    <w:tl2br w:val="nil"/>
                    <w:tr2bl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80" w:type="dxa"/>
                  <w:tcBorders>
                    <w:tl2br w:val="nil"/>
                    <w:tr2bl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生态</w:t>
                  </w:r>
                </w:p>
              </w:tc>
              <w:tc>
                <w:tcPr>
                  <w:tcW w:w="3107" w:type="dxa"/>
                  <w:tcBorders>
                    <w:tl2br w:val="nil"/>
                    <w:tr2bl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涉及环境敏感区(不包括饮用水水源保护区，以居住、医疗卫生、文化教育、科研、行政办公为主要功能的区域，以及文物保护单位) 的项目</w:t>
                  </w:r>
                </w:p>
              </w:tc>
              <w:tc>
                <w:tcPr>
                  <w:tcW w:w="1841" w:type="dxa"/>
                  <w:tcBorders>
                    <w:tl2br w:val="nil"/>
                    <w:tr2bl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项目不占用、跨越生态保护红线区范围；且通过分析，项目影响范围内不涉及生态保护红线区范围</w:t>
                  </w:r>
                </w:p>
              </w:tc>
              <w:tc>
                <w:tcPr>
                  <w:tcW w:w="748" w:type="dxa"/>
                  <w:tcBorders>
                    <w:tl2br w:val="nil"/>
                    <w:tr2bl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80" w:type="dxa"/>
                  <w:tcBorders>
                    <w:tl2br w:val="nil"/>
                    <w:tr2bl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大气</w:t>
                  </w:r>
                </w:p>
              </w:tc>
              <w:tc>
                <w:tcPr>
                  <w:tcW w:w="3107" w:type="dxa"/>
                  <w:tcBorders>
                    <w:tl2br w:val="nil"/>
                    <w:tr2bl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油气、液体化工码头：全部；</w:t>
                  </w:r>
                </w:p>
                <w:p>
                  <w:pPr>
                    <w:pStyle w:val="30"/>
                    <w:keepNext w:val="0"/>
                    <w:keepLines w:val="0"/>
                    <w:pageBreakBefore w:val="0"/>
                    <w:widowControl/>
                    <w:suppressLineNumbers w:val="0"/>
                    <w:kinsoku/>
                    <w:bidi w:val="0"/>
                    <w:spacing w:before="0" w:beforeAutospacing="0" w:after="0" w:afterAutospacing="0" w:line="240" w:lineRule="auto"/>
                    <w:ind w:left="0" w:right="0" w:firstLine="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干散货 (含煤炭、矿石)、件杂、多用途、通用码头涉及粉尘、挥发性有机物排放的项目</w:t>
                  </w:r>
                </w:p>
              </w:tc>
              <w:tc>
                <w:tcPr>
                  <w:tcW w:w="1841" w:type="dxa"/>
                  <w:tcBorders>
                    <w:tl2br w:val="nil"/>
                    <w:tr2bl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本项目为散货码头，涉及矿石或</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河砂</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等货物装卸，</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因此涉及粉尘的排放</w:t>
                  </w:r>
                </w:p>
              </w:tc>
              <w:tc>
                <w:tcPr>
                  <w:tcW w:w="748" w:type="dxa"/>
                  <w:tcBorders>
                    <w:tl2br w:val="nil"/>
                    <w:tr2bl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80" w:type="dxa"/>
                  <w:tcBorders>
                    <w:tl2br w:val="nil"/>
                    <w:tr2bl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噪声</w:t>
                  </w:r>
                </w:p>
              </w:tc>
              <w:tc>
                <w:tcPr>
                  <w:tcW w:w="3107" w:type="dxa"/>
                  <w:tcBorders>
                    <w:tl2br w:val="nil"/>
                    <w:tr2bl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公路、铁路、机场等交通运输业涉及环境敏感区 (以居住、医疗卫生、文化教育、科研、行政办公为主要功能的区域) 的项目；</w:t>
                  </w:r>
                </w:p>
                <w:p>
                  <w:pPr>
                    <w:pStyle w:val="30"/>
                    <w:keepNext w:val="0"/>
                    <w:keepLines w:val="0"/>
                    <w:pageBreakBefore w:val="0"/>
                    <w:widowControl/>
                    <w:suppressLineNumbers w:val="0"/>
                    <w:kinsoku/>
                    <w:bidi w:val="0"/>
                    <w:spacing w:before="0" w:beforeAutospacing="0" w:after="0" w:afterAutospacing="0" w:line="240" w:lineRule="auto"/>
                    <w:ind w:left="0" w:right="0" w:firstLine="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城市道路(不含维护，不含支路、人行天桥、人行地道)：全部</w:t>
                  </w:r>
                </w:p>
              </w:tc>
              <w:tc>
                <w:tcPr>
                  <w:tcW w:w="1841" w:type="dxa"/>
                  <w:tcBorders>
                    <w:tl2br w:val="nil"/>
                    <w:tr2bl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项目为配套码头，周边不涉及以居住、医疗卫生、 文化教育、科研、行政办公为主要功能的区域，不涉及该项内容</w:t>
                  </w:r>
                </w:p>
              </w:tc>
              <w:tc>
                <w:tcPr>
                  <w:tcW w:w="748" w:type="dxa"/>
                  <w:tcBorders>
                    <w:tl2br w:val="nil"/>
                    <w:tr2bl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80" w:type="dxa"/>
                  <w:tcBorders>
                    <w:tl2br w:val="nil"/>
                    <w:tr2bl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环境风险</w:t>
                  </w:r>
                </w:p>
              </w:tc>
              <w:tc>
                <w:tcPr>
                  <w:tcW w:w="3107" w:type="dxa"/>
                  <w:tcBorders>
                    <w:tl2br w:val="nil"/>
                    <w:tr2bl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石油和天然气开采：全部；</w:t>
                  </w:r>
                </w:p>
                <w:p>
                  <w:pPr>
                    <w:pStyle w:val="30"/>
                    <w:keepNext w:val="0"/>
                    <w:keepLines w:val="0"/>
                    <w:pageBreakBefore w:val="0"/>
                    <w:widowControl/>
                    <w:suppressLineNumbers w:val="0"/>
                    <w:kinsoku/>
                    <w:bidi w:val="0"/>
                    <w:spacing w:before="0" w:beforeAutospacing="0" w:after="0" w:afterAutospacing="0" w:line="240" w:lineRule="auto"/>
                    <w:ind w:left="0" w:right="0" w:firstLine="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油气、液体化工码头：全部；</w:t>
                  </w:r>
                </w:p>
                <w:p>
                  <w:pPr>
                    <w:pStyle w:val="30"/>
                    <w:keepNext w:val="0"/>
                    <w:keepLines w:val="0"/>
                    <w:pageBreakBefore w:val="0"/>
                    <w:widowControl/>
                    <w:suppressLineNumbers w:val="0"/>
                    <w:kinsoku/>
                    <w:bidi w:val="0"/>
                    <w:spacing w:before="0" w:beforeAutospacing="0" w:after="0" w:afterAutospacing="0" w:line="240" w:lineRule="auto"/>
                    <w:ind w:left="0" w:right="0" w:firstLine="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原油、成品油、天然气管线 (不含城镇天然气管线、企业厂区内管线) ，危险化学品输送管线(不含企业厂区内管线) ：全部</w:t>
                  </w:r>
                </w:p>
              </w:tc>
              <w:tc>
                <w:tcPr>
                  <w:tcW w:w="1841" w:type="dxa"/>
                  <w:tcBorders>
                    <w:tl2br w:val="nil"/>
                    <w:tr2bl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本工程为散货码头，不涉及设置原则所列的条款</w:t>
                  </w:r>
                </w:p>
              </w:tc>
              <w:tc>
                <w:tcPr>
                  <w:tcW w:w="748" w:type="dxa"/>
                  <w:tcBorders>
                    <w:tl2br w:val="nil"/>
                    <w:tr2bl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否</w:t>
                  </w:r>
                </w:p>
              </w:tc>
            </w:tr>
          </w:tbl>
          <w:p>
            <w:pPr>
              <w:keepNext w:val="0"/>
              <w:keepLines w:val="0"/>
              <w:pageBreakBefore w:val="0"/>
              <w:widowControl w:val="0"/>
              <w:kinsoku/>
              <w:wordWrap/>
              <w:overflowPunct/>
              <w:topLinePunct w:val="0"/>
              <w:autoSpaceDE/>
              <w:autoSpaceDN/>
              <w:bidi w:val="0"/>
              <w:adjustRightInd w:val="0"/>
              <w:snapToGrid w:val="0"/>
              <w:spacing w:beforeAutospacing="0" w:afterAutospacing="0" w:line="288" w:lineRule="auto"/>
              <w:textAlignment w:val="auto"/>
              <w:rPr>
                <w:rFonts w:hint="default" w:ascii="Times New Roman" w:hAnsi="Times New Roman" w:eastAsia="宋体" w:cs="Times New Roman"/>
                <w:color w:val="000000" w:themeColor="text1"/>
                <w:sz w:val="21"/>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4"/>
                <w:highlight w:val="none"/>
                <w:lang w:val="en-US" w:eastAsia="zh-CN"/>
                <w14:textFill>
                  <w14:solidFill>
                    <w14:schemeClr w14:val="tx1"/>
                  </w14:solidFill>
                </w14:textFill>
              </w:rPr>
              <w:t>注：</w:t>
            </w:r>
            <w:r>
              <w:rPr>
                <w:rFonts w:hint="eastAsia" w:ascii="Times New Roman" w:hAnsi="Times New Roman" w:eastAsia="宋体" w:cs="Times New Roman"/>
                <w:color w:val="000000" w:themeColor="text1"/>
                <w:sz w:val="21"/>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4"/>
                <w:highlight w:val="none"/>
                <w:lang w:val="en-US" w:eastAsia="zh-CN"/>
                <w14:textFill>
                  <w14:solidFill>
                    <w14:schemeClr w14:val="tx1"/>
                  </w14:solidFill>
                </w14:textFill>
              </w:rPr>
              <w:t>涉及环境敏感区</w:t>
            </w:r>
            <w:r>
              <w:rPr>
                <w:rFonts w:hint="eastAsia" w:ascii="Times New Roman" w:hAnsi="Times New Roman" w:eastAsia="宋体" w:cs="Times New Roman"/>
                <w:color w:val="000000" w:themeColor="text1"/>
                <w:sz w:val="21"/>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4"/>
                <w:highlight w:val="none"/>
                <w:lang w:val="en-US" w:eastAsia="zh-CN"/>
                <w14:textFill>
                  <w14:solidFill>
                    <w14:schemeClr w14:val="tx1"/>
                  </w14:solidFill>
                </w14:textFill>
              </w:rPr>
              <w:t>是指建设项目位于、穿（跨）越（无害化通过的除外）环境敏感区，或环境影响范围涵盖环境敏感区。环境敏感区是指《建设项目环境影响评价分类管理名录》中针对该类项目所列的敏感区。</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综上，本项目设置大气环境专项评价内容。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478" w:type="dxa"/>
            <w:vAlign w:val="center"/>
          </w:tcPr>
          <w:p>
            <w:pPr>
              <w:pageBreakBefore w:val="0"/>
              <w:kinsoku/>
              <w:autoSpaceDE w:val="0"/>
              <w:autoSpaceDN w:val="0"/>
              <w:bidi w:val="0"/>
              <w:adjustRightInd w:val="0"/>
              <w:snapToGrid w:val="0"/>
              <w:spacing w:beforeAutospacing="0" w:afterAutospacing="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规划情况</w:t>
            </w:r>
          </w:p>
        </w:tc>
        <w:tc>
          <w:tcPr>
            <w:tcW w:w="7392" w:type="dxa"/>
            <w:gridSpan w:val="3"/>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规划</w:t>
            </w:r>
            <w:r>
              <w:rPr>
                <w:rFonts w:hint="default" w:ascii="Times New Roman" w:hAnsi="Times New Roman" w:eastAsia="宋体" w:cs="Times New Roman"/>
                <w:color w:val="000000" w:themeColor="text1"/>
                <w:sz w:val="24"/>
                <w:szCs w:val="24"/>
                <w:highlight w:val="none"/>
                <w14:textFill>
                  <w14:solidFill>
                    <w14:schemeClr w14:val="tx1"/>
                  </w14:solidFill>
                </w14:textFill>
              </w:rPr>
              <w:t>文件名称：《福州港总体规划（203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年）》</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审</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批</w:t>
            </w:r>
            <w:r>
              <w:rPr>
                <w:rFonts w:hint="default" w:ascii="Times New Roman" w:hAnsi="Times New Roman" w:eastAsia="宋体" w:cs="Times New Roman"/>
                <w:color w:val="000000" w:themeColor="text1"/>
                <w:sz w:val="24"/>
                <w:szCs w:val="24"/>
                <w:highlight w:val="none"/>
                <w14:textFill>
                  <w14:solidFill>
                    <w14:schemeClr w14:val="tx1"/>
                  </w14:solidFill>
                </w14:textFill>
              </w:rPr>
              <w:t>机关：交通运输部 福建省人民政府</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textAlignment w:val="auto"/>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批文号及时间：交规划函[2021]394号，2021年10月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1478"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规划环境影响评价情况</w:t>
            </w:r>
          </w:p>
        </w:tc>
        <w:tc>
          <w:tcPr>
            <w:tcW w:w="7392" w:type="dxa"/>
            <w:gridSpan w:val="3"/>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规划环境影响评价文件名称：《福州港总体规划 (修订) 环境影响报告书》</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审查机关：生态环境部</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审查文件名称及文号：《生态环境部关于福州港总体规划 (修订) 环境影响报告书的审查意见》(环审[2021] 10号)</w:t>
            </w:r>
          </w:p>
        </w:tc>
      </w:tr>
    </w:tbl>
    <w:p>
      <w:pPr>
        <w:pageBreakBefore w:val="0"/>
        <w:kinsoku/>
        <w:autoSpaceDE w:val="0"/>
        <w:autoSpaceDN w:val="0"/>
        <w:bidi w:val="0"/>
        <w:adjustRightInd w:val="0"/>
        <w:snapToGrid w:val="0"/>
        <w:spacing w:beforeAutospacing="0" w:afterAutospacing="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br w:type="page"/>
      </w:r>
    </w:p>
    <w:tbl>
      <w:tblPr>
        <w:tblStyle w:val="33"/>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78"/>
        <w:gridCol w:w="73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83" w:hRule="atLeast"/>
          <w:jc w:val="center"/>
        </w:trPr>
        <w:tc>
          <w:tcPr>
            <w:tcW w:w="1478" w:type="dxa"/>
            <w:vAlign w:val="center"/>
          </w:tcPr>
          <w:p>
            <w:pPr>
              <w:pageBreakBefore w:val="0"/>
              <w:kinsoku/>
              <w:autoSpaceDE w:val="0"/>
              <w:autoSpaceDN w:val="0"/>
              <w:bidi w:val="0"/>
              <w:adjustRightInd w:val="0"/>
              <w:snapToGrid w:val="0"/>
              <w:spacing w:beforeAutospacing="0" w:afterAutospacing="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规划及规划环境影响评价符合性分析</w:t>
            </w:r>
          </w:p>
        </w:tc>
        <w:tc>
          <w:tcPr>
            <w:tcW w:w="7392" w:type="dxa"/>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1、规划符合性分析 </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（1）与《福建省海洋环境保护规划（2011-2020 年）》的符合性分析</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根据《福建省海洋环境保护规划（2011-2020 年）》，本工程位于“沙埕港渔业环境保护利用区”，周边有“姚家屿农渔业区”、具体环境保护管理要求为“控制工业、城镇与港口污染，加强溢油和化学品泄漏风险防范。控制围填海，工程建设不得占用红树林湿地。”。</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工程桩基采用灌注桩钢护筒桩基施工，对周边的海洋环境和水动力条件影响很小，不会改变周边海洋环境质量；项目所在海域无水产养殖，工程运营期无重大污染物入海风险，对周边水产养殖无影响。因此本工程满足《福建省海洋环境保护规划（2011-2020 年）》的环境保护管理要求。</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（2）与《福建省海洋功能区划（2011-2020 年）》的符合性分析</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根据《福建省海洋功能区划（2011-2020 年）》，本项目位于</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沙埕港保留区</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，其周边海域的海洋功能区主要有</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沙埕港口航运区</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以及</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江家岐港口航运区</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default" w:ascii="Times New Roman" w:hAnsi="Times New Roman" w:eastAsia="宋体"/>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本项目用海类型为</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交通运输用海</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中的</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港口用海</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，采用透空桩基结构，不改变海域自然属性，对渔业资源自然繁育空间影响较小，符合其用途管制与用海方式要求；</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根据《万成港口开发有限公司用地围填海生态评估报告》</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本项目评价范围不涉及围填海</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运营期不直接排放污水，可以维持现状的海水水质标准。因此，本项目符合沙埕港区的海洋环境保护要求，符合《福建省海洋功能区划（2011</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2020年）》。</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textAlignment w:val="auto"/>
              <w:rPr>
                <w:rFonts w:hint="default" w:ascii="Times New Roman" w:hAnsi="Times New Roman" w:eastAsia="宋体"/>
                <w:color w:val="000000" w:themeColor="text1"/>
                <w14:textFill>
                  <w14:solidFill>
                    <w14:schemeClr w14:val="tx1"/>
                  </w14:solidFill>
                </w14:textFill>
              </w:rPr>
            </w:pPr>
          </w:p>
        </w:tc>
      </w:tr>
    </w:tbl>
    <w:p>
      <w:pPr>
        <w:pStyle w:val="30"/>
        <w:pageBreakBefore w:val="0"/>
        <w:kinsoku/>
        <w:bidi w:val="0"/>
        <w:spacing w:before="0" w:beforeAutospacing="0" w:after="0" w:afterAutospacing="0"/>
        <w:jc w:val="center"/>
        <w:outlineLvl w:val="0"/>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p>
    <w:tbl>
      <w:tblPr>
        <w:tblStyle w:val="33"/>
        <w:tblW w:w="136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62"/>
        <w:gridCol w:w="122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05" w:hRule="atLeast"/>
          <w:jc w:val="center"/>
        </w:trPr>
        <w:tc>
          <w:tcPr>
            <w:tcW w:w="1362" w:type="dxa"/>
            <w:vAlign w:val="center"/>
          </w:tcPr>
          <w:p>
            <w:pPr>
              <w:pageBreakBefore w:val="0"/>
              <w:kinsoku/>
              <w:autoSpaceDE w:val="0"/>
              <w:autoSpaceDN w:val="0"/>
              <w:bidi w:val="0"/>
              <w:adjustRightInd w:val="0"/>
              <w:snapToGrid w:val="0"/>
              <w:spacing w:beforeAutospacing="0" w:afterAutospacing="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规划及规划环境影响评价符合性分析</w:t>
            </w:r>
          </w:p>
        </w:tc>
        <w:tc>
          <w:tcPr>
            <w:tcW w:w="12285" w:type="dxa"/>
            <w:vAlign w:val="center"/>
          </w:tcPr>
          <w:p>
            <w:pPr>
              <w:pageBreakBefore w:val="0"/>
              <w:kinsoku/>
              <w:bidi w:val="0"/>
              <w:spacing w:beforeAutospacing="0" w:afterAutospacing="0"/>
              <w:jc w:val="cente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表1-</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  项目区周边海域海洋功能区登记表</w:t>
            </w:r>
          </w:p>
          <w:tbl>
            <w:tblPr>
              <w:tblStyle w:val="34"/>
              <w:tblW w:w="1206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097"/>
              <w:gridCol w:w="1097"/>
              <w:gridCol w:w="1097"/>
              <w:gridCol w:w="1097"/>
              <w:gridCol w:w="1097"/>
              <w:gridCol w:w="1097"/>
              <w:gridCol w:w="1097"/>
              <w:gridCol w:w="1097"/>
              <w:gridCol w:w="1097"/>
              <w:gridCol w:w="10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名称</w:t>
                  </w:r>
                </w:p>
              </w:tc>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地区</w:t>
                  </w:r>
                </w:p>
              </w:tc>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地理范围</w:t>
                  </w:r>
                </w:p>
              </w:tc>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功能区类型</w:t>
                  </w:r>
                </w:p>
              </w:tc>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面积（公顷）</w:t>
                  </w:r>
                </w:p>
              </w:tc>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岸段长度（m）</w:t>
                  </w:r>
                </w:p>
              </w:tc>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用途管制</w:t>
                  </w:r>
                </w:p>
              </w:tc>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用海方式</w:t>
                  </w:r>
                </w:p>
              </w:tc>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海岸整治</w:t>
                  </w:r>
                </w:p>
              </w:tc>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海洋环境保护要求</w:t>
                  </w:r>
                </w:p>
              </w:tc>
              <w:tc>
                <w:tcPr>
                  <w:tcW w:w="109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沙埕港保留区</w:t>
                  </w:r>
                </w:p>
              </w:tc>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福鼎市</w:t>
                  </w:r>
                </w:p>
              </w:tc>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沙埕港,东至120°26′19.2〞 E、西至120°13′26.5〞 E、南至27°8′43.4〞 N、北至27°18′18.1〞 N 。</w:t>
                  </w:r>
                </w:p>
              </w:tc>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保留区</w:t>
                  </w:r>
                </w:p>
              </w:tc>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 xml:space="preserve">3230 </w:t>
                  </w:r>
                </w:p>
              </w:tc>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w:t>
                  </w:r>
                </w:p>
              </w:tc>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保障渔业资源自然繁育空间</w:t>
                  </w:r>
                </w:p>
              </w:tc>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禁止改变海域自然属性，禁止开展影响国防和交通安全用海的人工水产养殖</w:t>
                  </w:r>
                </w:p>
              </w:tc>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w:t>
                  </w:r>
                </w:p>
              </w:tc>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重点保护海洋生态环境和渔业苗种场、索饵场、洄游通道，执行不低于现状的海水水质标准。</w:t>
                  </w:r>
                </w:p>
              </w:tc>
              <w:tc>
                <w:tcPr>
                  <w:tcW w:w="109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项目</w:t>
                  </w: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所在区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姚家屿农渔业区</w:t>
                  </w:r>
                </w:p>
              </w:tc>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宁德市福鼎市</w:t>
                  </w:r>
                </w:p>
              </w:tc>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沙埕港姚家屿周围海域,东至120°19′52.7〞 E、西至120°16′34.8〞 E、南至27°15′00.1〞 N、北至27°17′32.6〞 N 。</w:t>
                  </w:r>
                </w:p>
              </w:tc>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农渔业区</w:t>
                  </w:r>
                </w:p>
              </w:tc>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 xml:space="preserve">742 </w:t>
                  </w:r>
                </w:p>
              </w:tc>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 xml:space="preserve">20970 </w:t>
                  </w:r>
                </w:p>
              </w:tc>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保障开放式养殖用海，优化养殖结构，结合红树林保护区建设实施生态养殖</w:t>
                  </w:r>
                </w:p>
              </w:tc>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禁止改变海域自然属性，禁止围填海</w:t>
                  </w:r>
                </w:p>
              </w:tc>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保护自然岸线</w:t>
                  </w:r>
                </w:p>
              </w:tc>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重点保护苗种场、索饵场、洄游通道，执行不劣于第二类海水水质标准、不劣于第一类海洋沉积物质量标准、不劣于第一类海洋生物质量标准</w:t>
                  </w:r>
                </w:p>
              </w:tc>
              <w:tc>
                <w:tcPr>
                  <w:tcW w:w="109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项目区东</w:t>
                  </w: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北</w:t>
                  </w: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侧约</w:t>
                  </w: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850</w:t>
                  </w: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江家岐港口航运区</w:t>
                  </w:r>
                </w:p>
              </w:tc>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宁德市福鼎市</w:t>
                  </w:r>
                </w:p>
              </w:tc>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沙埕港八尺门口南岸海域，东至120°16′13.5〞 E、西至120°14′27.9〞 E、南至27°14′36.0〞 N、北至27°15′25.9〞 N 。</w:t>
                  </w:r>
                </w:p>
              </w:tc>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港口航运区</w:t>
                  </w:r>
                </w:p>
              </w:tc>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 xml:space="preserve">111 </w:t>
                  </w:r>
                </w:p>
              </w:tc>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 xml:space="preserve">3750 </w:t>
                  </w:r>
                </w:p>
              </w:tc>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保障港口用海，兼容不损害港口功能的用海</w:t>
                  </w:r>
                </w:p>
              </w:tc>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控制填海规模，优化码头岸线布局，尽量增加码头岸线长度，填海控制前沿线以内允许适度改变海域自然属性，以外禁止改变海域自然属性</w:t>
                  </w:r>
                </w:p>
              </w:tc>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加强海岸景观建设</w:t>
                  </w:r>
                </w:p>
              </w:tc>
              <w:tc>
                <w:tcPr>
                  <w:tcW w:w="109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重点保护港区前沿的水深地形条件，保护沙埕港水道的水动力环境，执行不劣于第四类海水水质标准、不劣于第三类海洋沉积物质量标准、不劣于第三类海洋生物质量标准</w:t>
                  </w:r>
                </w:p>
              </w:tc>
              <w:tc>
                <w:tcPr>
                  <w:tcW w:w="109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项目区</w:t>
                  </w: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西</w:t>
                  </w: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侧约1</w:t>
                  </w: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5</w:t>
                  </w: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0m</w:t>
                  </w:r>
                </w:p>
              </w:tc>
            </w:tr>
          </w:tbl>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textAlignment w:val="auto"/>
              <w:rPr>
                <w:rFonts w:hint="default" w:ascii="Times New Roman" w:hAnsi="Times New Roman" w:eastAsia="宋体"/>
                <w:color w:val="000000" w:themeColor="text1"/>
                <w14:textFill>
                  <w14:solidFill>
                    <w14:schemeClr w14:val="tx1"/>
                  </w14:solidFill>
                </w14:textFill>
              </w:rPr>
            </w:pPr>
          </w:p>
        </w:tc>
      </w:tr>
    </w:tbl>
    <w:p>
      <w:pPr>
        <w:pStyle w:val="30"/>
        <w:pageBreakBefore w:val="0"/>
        <w:kinsoku/>
        <w:bidi w:val="0"/>
        <w:spacing w:before="0" w:beforeAutospacing="0" w:after="0" w:afterAutospacing="0"/>
        <w:jc w:val="center"/>
        <w:outlineLvl w:val="0"/>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start="1"/>
          <w:cols w:space="720" w:num="1"/>
          <w:docGrid w:linePitch="312" w:charSpace="0"/>
        </w:sectPr>
      </w:pPr>
    </w:p>
    <w:tbl>
      <w:tblPr>
        <w:tblStyle w:val="33"/>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74"/>
        <w:gridCol w:w="76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74" w:type="dxa"/>
            <w:vAlign w:val="center"/>
          </w:tcPr>
          <w:p>
            <w:pPr>
              <w:pageBreakBefore w:val="0"/>
              <w:kinsoku/>
              <w:autoSpaceDE w:val="0"/>
              <w:autoSpaceDN w:val="0"/>
              <w:bidi w:val="0"/>
              <w:adjustRightInd w:val="0"/>
              <w:snapToGrid w:val="0"/>
              <w:spacing w:beforeAutospacing="0" w:afterAutospacing="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规划及规划环境影响评价符合性分析</w:t>
            </w:r>
          </w:p>
        </w:tc>
        <w:tc>
          <w:tcPr>
            <w:tcW w:w="7696" w:type="dxa"/>
            <w:vAlign w:val="center"/>
          </w:tcPr>
          <w:p>
            <w:pPr>
              <w:pageBreakBefore w:val="0"/>
              <w:kinsoku/>
              <w:bidi w:val="0"/>
              <w:spacing w:beforeAutospacing="0" w:afterAutospacing="0"/>
              <w:jc w:val="cente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表1-</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 本项目与福建省海洋环境功能区划（2011~2020年）符合性分析</w:t>
            </w:r>
          </w:p>
          <w:tbl>
            <w:tblPr>
              <w:tblStyle w:val="34"/>
              <w:tblW w:w="737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9"/>
              <w:gridCol w:w="1613"/>
              <w:gridCol w:w="4025"/>
              <w:gridCol w:w="8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9"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序号</w:t>
                  </w:r>
                </w:p>
              </w:tc>
              <w:tc>
                <w:tcPr>
                  <w:tcW w:w="1613"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具体内容</w:t>
                  </w:r>
                </w:p>
              </w:tc>
              <w:tc>
                <w:tcPr>
                  <w:tcW w:w="4025"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本项目</w:t>
                  </w:r>
                </w:p>
              </w:tc>
              <w:tc>
                <w:tcPr>
                  <w:tcW w:w="854"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517" w:type="dxa"/>
                  <w:gridSpan w:val="3"/>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沙埕港保留区</w:t>
                  </w:r>
                </w:p>
              </w:tc>
              <w:tc>
                <w:tcPr>
                  <w:tcW w:w="854"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2" w:hRule="atLeast"/>
              </w:trPr>
              <w:tc>
                <w:tcPr>
                  <w:tcW w:w="879"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1、用途管制</w:t>
                  </w:r>
                </w:p>
              </w:tc>
              <w:tc>
                <w:tcPr>
                  <w:tcW w:w="1613"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保障渔业资源自然繁育空间</w:t>
                  </w:r>
                </w:p>
              </w:tc>
              <w:tc>
                <w:tcPr>
                  <w:tcW w:w="4025"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本项目</w:t>
                  </w: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为万成物流仓储配套码头</w:t>
                  </w: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符合福州港总体规划（2035年）》</w:t>
                  </w: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，项目建设有利于保障当地生产</w:t>
                  </w: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进出口</w:t>
                  </w: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；本项目主要为</w:t>
                  </w: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干散货码头</w:t>
                  </w: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，不属于危险品项目用海</w:t>
                  </w: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，污染因子主要为颗粒物，通过措施处理后，对周边环境影响不大，不会改变周边渔业资源环境</w:t>
                  </w: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w:t>
                  </w:r>
                </w:p>
              </w:tc>
              <w:tc>
                <w:tcPr>
                  <w:tcW w:w="854"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9"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2、用海方式</w:t>
                  </w:r>
                </w:p>
              </w:tc>
              <w:tc>
                <w:tcPr>
                  <w:tcW w:w="1613"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禁止改变海域自然属性，禁止开展影响国防和交通安全用海的人工水产养殖。</w:t>
                  </w:r>
                </w:p>
              </w:tc>
              <w:tc>
                <w:tcPr>
                  <w:tcW w:w="4025"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本</w:t>
                  </w: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项目</w:t>
                  </w: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评价范围</w:t>
                  </w: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不涉及围填海。项目建设</w:t>
                  </w: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中</w:t>
                  </w: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桩基透水构筑物用海对海域水文动力和冲淤环境影响很小，基本不改变海域自然属性；港池用海不改变海域自然属性。</w:t>
                  </w:r>
                </w:p>
              </w:tc>
              <w:tc>
                <w:tcPr>
                  <w:tcW w:w="854"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9"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3、岸线整治</w:t>
                  </w:r>
                </w:p>
              </w:tc>
              <w:tc>
                <w:tcPr>
                  <w:tcW w:w="1613"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w:t>
                  </w:r>
                </w:p>
              </w:tc>
              <w:tc>
                <w:tcPr>
                  <w:tcW w:w="4025"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项目建设利用岸线总长2074 m，主要进行散货、杂货的装卸，服务于福鼎市及周边地区城乡建设</w:t>
                  </w: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不占用</w:t>
                  </w: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自然</w:t>
                  </w: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岸线</w:t>
                  </w: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项目建设不会破坏海岛景观。</w:t>
                  </w:r>
                </w:p>
              </w:tc>
              <w:tc>
                <w:tcPr>
                  <w:tcW w:w="854"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79"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4、海洋环境保护</w:t>
                  </w: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要求</w:t>
                  </w:r>
                </w:p>
              </w:tc>
              <w:tc>
                <w:tcPr>
                  <w:tcW w:w="1613"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重点保护海洋生态环境和渔业苗种场、索饵场、洄游通道，执行不低于现状的海水水质标准。</w:t>
                  </w:r>
                </w:p>
              </w:tc>
              <w:tc>
                <w:tcPr>
                  <w:tcW w:w="4025"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项目周边不涉及渔业苗种场、索饵场。</w:t>
                  </w: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项目建设占用海洋生物的栖息环境，导致海洋生物损失，但</w:t>
                  </w: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占用</w:t>
                  </w: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面积较小，对海域生态系统完整性的影响不大，经过一段时间的调整后，将会达到新的生态平衡。项目施工悬浮泥沙对水质环境有一定短暂影响，施工结束后，悬浮泥沙沉降，水质状况可恢复，由于悬浮泥沙主要来自于项目区附近底质泥沙，对当地水质和沉积物影响较小，在严格执行不低于现状的海水水质标准的前提下，项目基本可维持海域自然环境质量现状</w:t>
                  </w:r>
                  <w:r>
                    <w:rPr>
                      <w:rFonts w:hint="eastAsia"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，不会改变海洋生态环境</w:t>
                  </w: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w:t>
                  </w:r>
                </w:p>
              </w:tc>
              <w:tc>
                <w:tcPr>
                  <w:tcW w:w="854" w:type="dxa"/>
                  <w:tcBorders>
                    <w:tl2br w:val="nil"/>
                    <w:tr2bl w:val="nil"/>
                  </w:tcBorders>
                  <w:vAlign w:val="center"/>
                </w:tcPr>
                <w:p>
                  <w:pPr>
                    <w:keepNext w:val="0"/>
                    <w:keepLines w:val="0"/>
                    <w:pageBreakBefore w:val="0"/>
                    <w:widowControl w:val="0"/>
                    <w:numPr>
                      <w:ilvl w:val="0"/>
                      <w:numId w:val="0"/>
                    </w:numPr>
                    <w:kinsoku/>
                    <w:wordWrap/>
                    <w:overflowPunct/>
                    <w:topLinePunct w:val="0"/>
                    <w:autoSpaceDE w:val="0"/>
                    <w:autoSpaceDN w:val="0"/>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符合</w:t>
                  </w:r>
                </w:p>
              </w:tc>
            </w:tr>
          </w:tbl>
          <w:p>
            <w:pPr>
              <w:keepNext w:val="0"/>
              <w:keepLines w:val="0"/>
              <w:pageBreakBefore w:val="0"/>
              <w:widowControl w:val="0"/>
              <w:numPr>
                <w:ilvl w:val="0"/>
                <w:numId w:val="2"/>
              </w:numPr>
              <w:kinsoku/>
              <w:wordWrap/>
              <w:overflowPunct/>
              <w:topLinePunct w:val="0"/>
              <w:autoSpaceDE/>
              <w:autoSpaceDN/>
              <w:bidi w:val="0"/>
              <w:adjustRightInd w:val="0"/>
              <w:snapToGrid w:val="0"/>
              <w:spacing w:beforeAutospacing="0" w:afterAutospacing="0" w:line="360" w:lineRule="auto"/>
              <w:ind w:firstLine="482" w:firstLineChars="200"/>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与《福鼎市城乡总体规划（2014~2030）》的符合性分析</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位于福鼎市白琳镇沿州村，根据《福鼎市城乡总体规划（2014-2030）》，白琳镇为工贸型重点镇，重点发展人居商贸、先进制造、集散联运功能，协调发展特色加工产业。沿州村重点发展临港产业，带动港口、物流业发展，提升传统产业。</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根据《福鼎市城乡总体规划（2014-2030）》，本项目后方陆域属于工业用地，本项目属于临港产业配套码头设施，有利于带动港口、物流业发展，符合《福鼎市城乡总体规划（2014-2030）》。</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（4）与《福州港总体规划（2035年）》的符合性分析</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沙埕</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港区下辖</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杨岐</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、八尺门和鸡母岩三个作业区。，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本项目位于福建省宁德市福鼎市白琳镇沿州村北侧海域，不属于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《福州港总体规划（2035年）》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规划中的现有码头，主要储存货种为河砂、碎石及废金属矿，属于干散货，符合沙埕港区“散杂货运输为主”的要求。根据福鼎市人民政府专题会议纪要</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《关于文化艺术中心北侧地块整治工程纳人2022年政府性投资计划等有关事宜的纪要》（[2022]17号）</w:t>
            </w:r>
            <w:r>
              <w:rPr>
                <w:rFonts w:hint="eastAsia" w:ascii="Times New Roman" w:hAnsi="Times New Roman" w:eastAsia="宋体"/>
                <w:color w:val="000000" w:themeColor="text1"/>
                <w:sz w:val="24"/>
                <w:szCs w:val="24"/>
                <w:lang w:eastAsia="zh-CN"/>
                <w14:textFill>
                  <w14:solidFill>
                    <w14:schemeClr w14:val="tx1"/>
                  </w14:solidFill>
                </w14:textFill>
              </w:rPr>
              <w:t>，</w:t>
            </w:r>
            <w:r>
              <w:rPr>
                <w:rFonts w:hint="eastAsia" w:ascii="Times New Roman" w:hAnsi="Times New Roman" w:eastAsia="宋体"/>
                <w:color w:val="000000" w:themeColor="text1"/>
                <w:sz w:val="24"/>
                <w:szCs w:val="24"/>
                <w:lang w:val="en-US" w:eastAsia="zh-CN"/>
                <w14:textFill>
                  <w14:solidFill>
                    <w14:schemeClr w14:val="tx1"/>
                  </w14:solidFill>
                </w14:textFill>
              </w:rPr>
              <w:t>详见附件10</w:t>
            </w:r>
            <w:r>
              <w:rPr>
                <w:rFonts w:hint="eastAsia" w:ascii="Times New Roman" w:hAnsi="Times New Roman" w:eastAsia="宋体"/>
                <w:color w:val="000000" w:themeColor="text1"/>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本项目在《福州港总体规划（2035年）》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修编过程中被遗漏，将于下一轮修编纳入规划中码头。</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因此，本项目的建设《福州港总体规划（2035年）》无冲突。</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2、与《福州港总体规划（修订）环境影响报告书（报批稿）》及审查意见的符合性分析</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位于沙埕港区，根据《沙埕港总体规划（修订）环境影响报告书（报批稿）》（交通运输部规划研究院，2021年1月），沙埕港区：主要服务福鼎市地方经济发展，以散杂货运输为主，兼顾城市发展所需的油品运输。沙埕港区下辖杨岐、八尺门两个作业区和鸡母岩港点。该港区规划岸线14.3km，已利用岸线6.3km，新增岸线8.0km，规划泊位数量37个，其中深水泊位9个。港区还规划了金屿门岸段，小巽～关盘、马仙居～石头尾长约4.5km的岸线规划为港口岸线，主要服务临港工业，已建迈拓3000吨级2个，在建迈拓3000吨级泊位2个、立新船厂舾装码头、创恒和江南船厂舾装码头（现为鼎盛钢铁厂通用码头）。</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根据《关于&lt;福州港总体规划（修订）环境影响报告书&gt;的审查意见》（环审〔2021〕10号），在规划优化调整和实施过程中应“严守生态保护红线。优先避让相关敏感区域，优化沙埕港区（金屿门岸段、杨岐岸段、青屿锚地）的部分规划内容，使其符合相关保护区域、生态保护红线、自然岸线的政策和管控要求。”。</w:t>
            </w:r>
          </w:p>
          <w:p>
            <w:pPr>
              <w:pStyle w:val="23"/>
              <w:keepNext w:val="0"/>
              <w:keepLines w:val="0"/>
              <w:pageBreakBefore w:val="0"/>
              <w:widowControl w:val="0"/>
              <w:numPr>
                <w:ilvl w:val="0"/>
                <w:numId w:val="0"/>
              </w:numPr>
              <w:suppressLineNumbers w:val="0"/>
              <w:kinsoku/>
              <w:wordWrap/>
              <w:overflowPunct/>
              <w:topLinePunct w:val="0"/>
              <w:bidi w:val="0"/>
              <w:spacing w:before="0" w:beforeAutospacing="0" w:after="0" w:afterAutospacing="0" w:line="360" w:lineRule="auto"/>
              <w:ind w:left="0" w:right="113" w:rightChars="0" w:firstLine="480" w:firstLineChars="20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根据《福州港总体规划 (修订) 环境影响报告书》，本项目与福州港的港口项目准入条件符合情况见表</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1-3</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p>
            <w:pPr>
              <w:pageBreakBefore w:val="0"/>
              <w:kinsoku/>
              <w:bidi w:val="0"/>
              <w:spacing w:beforeAutospacing="0" w:afterAutospacing="0"/>
              <w:jc w:val="center"/>
              <w:rPr>
                <w:rFonts w:hint="eastAsia" w:ascii="Times New Roman" w:hAnsi="Times New Roman" w:eastAsia="宋体"/>
                <w:b/>
                <w:bCs/>
                <w:color w:val="000000" w:themeColor="text1"/>
                <w:sz w:val="24"/>
                <w:szCs w:val="24"/>
                <w:highlight w:val="none"/>
                <w:lang w:val="en-US" w:eastAsia="zh-CN"/>
                <w14:textFill>
                  <w14:solidFill>
                    <w14:schemeClr w14:val="tx1"/>
                  </w14:solidFill>
                </w14:textFill>
              </w:rPr>
            </w:pPr>
          </w:p>
          <w:p>
            <w:pPr>
              <w:pageBreakBefore w:val="0"/>
              <w:kinsoku/>
              <w:bidi w:val="0"/>
              <w:spacing w:beforeAutospacing="0" w:afterAutospacing="0"/>
              <w:jc w:val="center"/>
              <w:rPr>
                <w:rFonts w:hint="eastAsia" w:ascii="Times New Roman" w:hAnsi="Times New Roman" w:eastAsia="宋体"/>
                <w:b/>
                <w:bCs/>
                <w:color w:val="000000" w:themeColor="text1"/>
                <w:sz w:val="24"/>
                <w:szCs w:val="24"/>
                <w:highlight w:val="none"/>
                <w:lang w:val="en-US" w:eastAsia="zh-CN"/>
                <w14:textFill>
                  <w14:solidFill>
                    <w14:schemeClr w14:val="tx1"/>
                  </w14:solidFill>
                </w14:textFill>
              </w:rPr>
            </w:pPr>
          </w:p>
          <w:p>
            <w:pPr>
              <w:pageBreakBefore w:val="0"/>
              <w:kinsoku/>
              <w:bidi w:val="0"/>
              <w:spacing w:beforeAutospacing="0" w:afterAutospacing="0"/>
              <w:jc w:val="cente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b/>
                <w:bCs/>
                <w:color w:val="000000" w:themeColor="text1"/>
                <w:sz w:val="24"/>
                <w:szCs w:val="24"/>
                <w:highlight w:val="none"/>
                <w:lang w:val="en-US" w:eastAsia="zh-CN"/>
                <w14:textFill>
                  <w14:solidFill>
                    <w14:schemeClr w14:val="tx1"/>
                  </w14:solidFill>
                </w14:textFill>
              </w:rPr>
              <w:t>表1-3 项目与福州港总体规划港口环保准入条件符合性</w:t>
            </w:r>
          </w:p>
          <w:tbl>
            <w:tblPr>
              <w:tblStyle w:val="34"/>
              <w:tblW w:w="74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0"/>
              <w:gridCol w:w="1373"/>
              <w:gridCol w:w="1083"/>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0" w:type="dxa"/>
                  <w:tcBorders>
                    <w:top w:val="single" w:color="auto" w:sz="12" w:space="0"/>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控制指标</w:t>
                  </w:r>
                </w:p>
              </w:tc>
              <w:tc>
                <w:tcPr>
                  <w:tcW w:w="1373" w:type="dxa"/>
                  <w:tcBorders>
                    <w:top w:val="single" w:color="auto" w:sz="12" w:space="0"/>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准入</w:t>
                  </w: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数值</w:t>
                  </w:r>
                </w:p>
              </w:tc>
              <w:tc>
                <w:tcPr>
                  <w:tcW w:w="1083" w:type="dxa"/>
                  <w:tcBorders>
                    <w:top w:val="single" w:color="auto" w:sz="12" w:space="0"/>
                    <w:right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本项目数值</w:t>
                  </w:r>
                </w:p>
              </w:tc>
              <w:tc>
                <w:tcPr>
                  <w:tcW w:w="1371" w:type="dxa"/>
                  <w:tcBorders>
                    <w:top w:val="single" w:color="auto" w:sz="12" w:space="0"/>
                    <w:right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0" w:type="dxa"/>
                  <w:tcBorders>
                    <w:left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港区污水处理达标率(%)</w:t>
                  </w:r>
                </w:p>
              </w:tc>
              <w:tc>
                <w:tcPr>
                  <w:tcW w:w="1373" w:type="dxa"/>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100</w:t>
                  </w:r>
                </w:p>
              </w:tc>
              <w:tc>
                <w:tcPr>
                  <w:tcW w:w="1083" w:type="dxa"/>
                  <w:tcBorders>
                    <w:right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100</w:t>
                  </w:r>
                </w:p>
              </w:tc>
              <w:tc>
                <w:tcPr>
                  <w:tcW w:w="1371" w:type="dxa"/>
                  <w:tcBorders>
                    <w:right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0" w:type="dxa"/>
                  <w:tcBorders>
                    <w:left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港区污水集中处理率(%)</w:t>
                  </w:r>
                </w:p>
              </w:tc>
              <w:tc>
                <w:tcPr>
                  <w:tcW w:w="1373" w:type="dxa"/>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100</w:t>
                  </w:r>
                </w:p>
              </w:tc>
              <w:tc>
                <w:tcPr>
                  <w:tcW w:w="1083" w:type="dxa"/>
                  <w:tcBorders>
                    <w:right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100</w:t>
                  </w:r>
                </w:p>
              </w:tc>
              <w:tc>
                <w:tcPr>
                  <w:tcW w:w="1371" w:type="dxa"/>
                  <w:tcBorders>
                    <w:right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0" w:type="dxa"/>
                  <w:tcBorders>
                    <w:left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船舶污水接收处理率(%)</w:t>
                  </w:r>
                </w:p>
              </w:tc>
              <w:tc>
                <w:tcPr>
                  <w:tcW w:w="1373" w:type="dxa"/>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100</w:t>
                  </w:r>
                </w:p>
              </w:tc>
              <w:tc>
                <w:tcPr>
                  <w:tcW w:w="1083" w:type="dxa"/>
                  <w:tcBorders>
                    <w:right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不涉及</w:t>
                  </w:r>
                </w:p>
              </w:tc>
              <w:tc>
                <w:tcPr>
                  <w:tcW w:w="1371" w:type="dxa"/>
                  <w:tcBorders>
                    <w:right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0" w:type="dxa"/>
                  <w:tcBorders>
                    <w:left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大宗干散货综合防尘率(%)</w:t>
                  </w:r>
                </w:p>
              </w:tc>
              <w:tc>
                <w:tcPr>
                  <w:tcW w:w="1373" w:type="dxa"/>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≥90</w:t>
                  </w:r>
                </w:p>
              </w:tc>
              <w:tc>
                <w:tcPr>
                  <w:tcW w:w="1083" w:type="dxa"/>
                  <w:tcBorders>
                    <w:right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95</w:t>
                  </w:r>
                </w:p>
              </w:tc>
              <w:tc>
                <w:tcPr>
                  <w:tcW w:w="1371" w:type="dxa"/>
                  <w:tcBorders>
                    <w:right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0" w:type="dxa"/>
                  <w:tcBorders>
                    <w:left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港区固体废物处理率(%)</w:t>
                  </w:r>
                </w:p>
              </w:tc>
              <w:tc>
                <w:tcPr>
                  <w:tcW w:w="1373" w:type="dxa"/>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100</w:t>
                  </w:r>
                </w:p>
              </w:tc>
              <w:tc>
                <w:tcPr>
                  <w:tcW w:w="1083" w:type="dxa"/>
                  <w:tcBorders>
                    <w:right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100</w:t>
                  </w:r>
                </w:p>
              </w:tc>
              <w:tc>
                <w:tcPr>
                  <w:tcW w:w="1371" w:type="dxa"/>
                  <w:tcBorders>
                    <w:right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0" w:type="dxa"/>
                  <w:tcBorders>
                    <w:left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船舶固体废物接收处理率(%)</w:t>
                  </w:r>
                </w:p>
              </w:tc>
              <w:tc>
                <w:tcPr>
                  <w:tcW w:w="1373" w:type="dxa"/>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100</w:t>
                  </w:r>
                </w:p>
              </w:tc>
              <w:tc>
                <w:tcPr>
                  <w:tcW w:w="1083" w:type="dxa"/>
                  <w:tcBorders>
                    <w:right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100</w:t>
                  </w:r>
                </w:p>
              </w:tc>
              <w:tc>
                <w:tcPr>
                  <w:tcW w:w="1371" w:type="dxa"/>
                  <w:tcBorders>
                    <w:right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0" w:type="dxa"/>
                  <w:tcBorders>
                    <w:left w:val="nil"/>
                    <w:bottom w:val="single" w:color="auto" w:sz="12" w:space="0"/>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中水回用率(%)</w:t>
                  </w:r>
                </w:p>
              </w:tc>
              <w:tc>
                <w:tcPr>
                  <w:tcW w:w="1373" w:type="dxa"/>
                  <w:tcBorders>
                    <w:bottom w:val="single" w:color="auto" w:sz="12" w:space="0"/>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100</w:t>
                  </w:r>
                </w:p>
              </w:tc>
              <w:tc>
                <w:tcPr>
                  <w:tcW w:w="1083" w:type="dxa"/>
                  <w:tcBorders>
                    <w:bottom w:val="single" w:color="auto" w:sz="12" w:space="0"/>
                    <w:right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100</w:t>
                  </w:r>
                </w:p>
              </w:tc>
              <w:tc>
                <w:tcPr>
                  <w:tcW w:w="1371" w:type="dxa"/>
                  <w:tcBorders>
                    <w:bottom w:val="single" w:color="auto" w:sz="12" w:space="0"/>
                    <w:right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符合</w:t>
                  </w:r>
                </w:p>
              </w:tc>
            </w:tr>
          </w:tbl>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本项目为万成物流仓储配套码头，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位于沙埕港保留区区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。工程不涉及生态保护红线（</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详见附图10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），符合相关保护区域的政策和管控要求。</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default" w:ascii="Times New Roman" w:hAnsi="Times New Roman" w:eastAsia="宋体"/>
                <w:color w:val="000000" w:themeColor="text1"/>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综上，本项目符合《福州港总体规划（修订）环境影响报告书（报批稿）》及其审查意见的要求。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74" w:type="dxa"/>
            <w:vAlign w:val="center"/>
          </w:tcPr>
          <w:p>
            <w:pPr>
              <w:pageBreakBefore w:val="0"/>
              <w:kinsoku/>
              <w:autoSpaceDE w:val="0"/>
              <w:autoSpaceDN w:val="0"/>
              <w:bidi w:val="0"/>
              <w:adjustRightInd w:val="0"/>
              <w:snapToGrid w:val="0"/>
              <w:spacing w:beforeAutospacing="0" w:afterAutospacing="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其他符合性分析</w:t>
            </w:r>
          </w:p>
        </w:tc>
        <w:tc>
          <w:tcPr>
            <w:tcW w:w="7696" w:type="dxa"/>
            <w:vAlign w:val="center"/>
          </w:tcPr>
          <w:p>
            <w:pPr>
              <w:pStyle w:val="11"/>
              <w:pageBreakBefore w:val="0"/>
              <w:kinsoku/>
              <w:bidi w:val="0"/>
              <w:spacing w:beforeAutospacing="0" w:afterAutospacing="0"/>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32"/>
                <w:szCs w:val="32"/>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政策符合性分析</w:t>
            </w:r>
          </w:p>
          <w:p>
            <w:pPr>
              <w:pStyle w:val="1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textAlignment w:val="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产业政策符合性分析</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本项目不属于《产业结构调整指导目录（2019年本）》中的限制类、淘汰类，为允许类项目。</w:t>
            </w:r>
            <w:r>
              <w:rPr>
                <w:rFonts w:hint="default" w:ascii="Times New Roman" w:hAnsi="Times New Roman" w:eastAsia="宋体" w:cs="Times New Roman"/>
                <w:color w:val="000000" w:themeColor="text1"/>
                <w:sz w:val="24"/>
                <w:szCs w:val="24"/>
                <w:highlight w:val="none"/>
                <w14:textFill>
                  <w14:solidFill>
                    <w14:schemeClr w14:val="tx1"/>
                  </w14:solidFill>
                </w14:textFill>
              </w:rPr>
              <w:t>检索《限制用地项目目录》（2012年本）和《禁止用地项目目录》（2012年本），本项目不属于以上目录中的项目。同时，检索工信部《部分工业行业淘汰落后生产工艺装备和产品指导目录》（2010年本）有关条款，本项目使用的生产设备均不属于淘汰落后生产工艺装备</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。本项目已在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福鼎市</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发展和改革局备案，备案</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号为</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闽发改备[2012]J02004号。</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综上，</w:t>
            </w:r>
            <w:r>
              <w:rPr>
                <w:rFonts w:hint="default" w:ascii="Times New Roman" w:hAnsi="Times New Roman" w:eastAsia="宋体" w:cs="Times New Roman"/>
                <w:color w:val="000000" w:themeColor="text1"/>
                <w:spacing w:val="0"/>
                <w:kern w:val="21"/>
                <w:sz w:val="24"/>
                <w:szCs w:val="24"/>
                <w:highlight w:val="none"/>
                <w:lang w:val="en-US" w:eastAsia="zh-CN"/>
                <w14:textFill>
                  <w14:solidFill>
                    <w14:schemeClr w14:val="tx1"/>
                  </w14:solidFill>
                </w14:textFill>
              </w:rPr>
              <w:t>本项目符合国家及地方相关产业政策的要求。</w:t>
            </w:r>
          </w:p>
          <w:p>
            <w:pPr>
              <w:pStyle w:val="1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textAlignment w:val="auto"/>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1.1.2选址合理性分析</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textAlignment w:val="auto"/>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2.1</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用地性质符合性分析</w:t>
            </w:r>
            <w:r>
              <w:rPr>
                <w:rFonts w:hint="default" w:ascii="Times New Roman" w:hAnsi="Times New Roman" w:eastAsia="宋体" w:cs="Times New Roman"/>
                <w:b/>
                <w:bCs/>
                <w:color w:val="000000" w:themeColor="text1"/>
                <w:sz w:val="28"/>
                <w:szCs w:val="28"/>
                <w:highlight w:val="none"/>
                <w:lang w:val="en-US" w:eastAsia="zh-CN"/>
                <w14:textFill>
                  <w14:solidFill>
                    <w14:schemeClr w14:val="tx1"/>
                  </w14:solidFill>
                </w14:textFill>
              </w:rPr>
              <w:t xml:space="preserve"> </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Times New Roman" w:hAnsi="Times New Roman" w:eastAsia="宋体" w:cs="宋体"/>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宋体"/>
                <w:color w:val="000000" w:themeColor="text1"/>
                <w:sz w:val="24"/>
                <w:szCs w:val="24"/>
                <w:highlight w:val="none"/>
                <w:lang w:val="en-US" w:eastAsia="zh-CN"/>
                <w14:textFill>
                  <w14:solidFill>
                    <w14:schemeClr w14:val="tx1"/>
                  </w14:solidFill>
                </w14:textFill>
              </w:rPr>
              <w:t xml:space="preserve">项目位于福建省宁德市福鼎市白琳镇沿州村，根据《福鼎市白琳城镇总体规划（局部调整）》可知，本项目所在地为工业用地及物流仓储用地，因此，本项目符合土地利用规划要求。 </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1.1.2.2选址可行性分析 </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本项目位于</w:t>
            </w:r>
            <w:r>
              <w:rPr>
                <w:rFonts w:hint="eastAsia" w:ascii="Times New Roman" w:hAnsi="Times New Roman" w:eastAsia="宋体" w:cs="宋体"/>
                <w:color w:val="000000" w:themeColor="text1"/>
                <w:sz w:val="24"/>
                <w:szCs w:val="24"/>
                <w:highlight w:val="none"/>
                <w:lang w:val="en-US" w:eastAsia="zh-CN"/>
                <w14:textFill>
                  <w14:solidFill>
                    <w14:schemeClr w14:val="tx1"/>
                  </w14:solidFill>
                </w14:textFill>
              </w:rPr>
              <w:t>福建省宁德市福鼎市白琳镇沿州村</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，项目地址不涉及基本农田保护区、饮用水源保护区等敏感区，</w:t>
            </w:r>
            <w:r>
              <w:rPr>
                <w:rFonts w:hint="eastAsia" w:ascii="Times New Roman" w:hAnsi="Times New Roman" w:eastAsia="宋体" w:cs="Times New Roman"/>
                <w:color w:val="000000" w:themeColor="text1"/>
                <w:spacing w:val="0"/>
                <w:kern w:val="21"/>
                <w:sz w:val="24"/>
                <w:szCs w:val="24"/>
                <w:highlight w:val="none"/>
                <w:lang w:val="en-US" w:eastAsia="zh-CN"/>
                <w14:textFill>
                  <w14:solidFill>
                    <w14:schemeClr w14:val="tx1"/>
                  </w14:solidFill>
                </w14:textFill>
              </w:rPr>
              <w:t>同时根据福鼎市城市规划委员会会议纪要[2022]6号文及福鼎市住房和城乡规划建设局文件鼎建村[2013]14号，本项目已通过批准允许落地，</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项目通过采取合理环保措施，对环境影响较小，从环境分析角度考虑本项目的选址是可行的。</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textAlignment w:val="auto"/>
              <w:rPr>
                <w:rFonts w:hint="eastAsia" w:ascii="Times New Roman" w:hAnsi="Times New Roman" w:eastAsia="宋体" w:cs="Times New Roman"/>
                <w:b/>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1.1.2.3环境功能区划符合性分析</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本项目主要从事码头物流仓储，不涉及重金属、持久性有毒有机污染物排放，</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也不属于产能的限制类、淘汰类项目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通过调查可知，本项目所在区域的地表水、环境空气质量等均可以满足环境功能区划要求，同时污染物排放水平较低，且对各项污染物采取了合理处置和综合利用措施，在项目实施后的施工期，也不会对区域环境造成较大影响，区域环境等级不会恶化或下降，可以满足环境功能区划要求。</w:t>
            </w:r>
          </w:p>
          <w:p>
            <w:pPr>
              <w:pageBreakBefore w:val="0"/>
              <w:kinsoku/>
              <w:bidi w:val="0"/>
              <w:spacing w:beforeAutospacing="0" w:afterAutospacing="0" w:line="360" w:lineRule="auto"/>
              <w:ind w:firstLine="480" w:firstLineChars="20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综上所述，本项目选址符合要求。</w:t>
            </w:r>
          </w:p>
          <w:p>
            <w:pPr>
              <w:pStyle w:val="131"/>
              <w:pageBreakBefore w:val="0"/>
              <w:numPr>
                <w:ilvl w:val="0"/>
                <w:numId w:val="0"/>
              </w:numPr>
              <w:kinsoku/>
              <w:bidi w:val="0"/>
              <w:spacing w:beforeAutospacing="0" w:afterAutospacing="0"/>
              <w:ind w:leftChars="0"/>
              <w:rPr>
                <w:rFonts w:hint="eastAsia" w:ascii="Times New Roman" w:hAnsi="Times New Roman" w:eastAsia="宋体" w:cs="宋体"/>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highlight w:val="none"/>
                <w:lang w:val="en-US" w:eastAsia="zh-CN"/>
                <w14:textFill>
                  <w14:solidFill>
                    <w14:schemeClr w14:val="tx1"/>
                  </w14:solidFill>
                </w14:textFill>
              </w:rPr>
              <w:t>.3</w:t>
            </w:r>
            <w:r>
              <w:rPr>
                <w:rFonts w:hint="eastAsia" w:ascii="Times New Roman" w:hAnsi="Times New Roman" w:eastAsia="宋体" w:cs="宋体"/>
                <w:color w:val="000000" w:themeColor="text1"/>
                <w:highlight w:val="none"/>
                <w14:textFill>
                  <w14:solidFill>
                    <w14:schemeClr w14:val="tx1"/>
                  </w14:solidFill>
                </w14:textFill>
              </w:rPr>
              <w:t>《福建省打赢蓝天保卫战三年行动计划实施方案》符合性分析</w:t>
            </w:r>
          </w:p>
          <w:p>
            <w:pPr>
              <w:pStyle w:val="132"/>
              <w:pageBreakBefore w:val="0"/>
              <w:kinsoku/>
              <w:bidi w:val="0"/>
              <w:spacing w:beforeAutospacing="0" w:afterAutospacing="0"/>
              <w:rPr>
                <w:rFonts w:hint="default" w:ascii="Times New Roman" w:hAnsi="Times New Roman" w:eastAsia="宋体"/>
                <w:color w:val="000000" w:themeColor="text1"/>
                <w:highlight w:val="none"/>
                <w14:textFill>
                  <w14:solidFill>
                    <w14:schemeClr w14:val="tx1"/>
                  </w14:solidFill>
                </w14:textFill>
              </w:rPr>
            </w:pPr>
            <w:r>
              <w:rPr>
                <w:rFonts w:hint="default" w:ascii="Times New Roman" w:hAnsi="Times New Roman" w:eastAsia="宋体"/>
                <w:color w:val="000000" w:themeColor="text1"/>
                <w:highlight w:val="none"/>
                <w14:textFill>
                  <w14:solidFill>
                    <w14:schemeClr w14:val="tx1"/>
                  </w14:solidFill>
                </w14:textFill>
              </w:rPr>
              <w:t>根据《福建省打赢蓝天保卫战三年行动计划实施方案》相关规定——</w:t>
            </w:r>
            <w:r>
              <w:rPr>
                <w:rFonts w:hint="eastAsia" w:ascii="Times New Roman" w:hAnsi="Times New Roman" w:eastAsia="宋体"/>
                <w:color w:val="000000" w:themeColor="text1"/>
                <w:highlight w:val="none"/>
                <w:lang w:eastAsia="zh-CN"/>
                <w14:textFill>
                  <w14:solidFill>
                    <w14:schemeClr w14:val="tx1"/>
                  </w14:solidFill>
                </w14:textFill>
              </w:rPr>
              <w:t>“</w:t>
            </w:r>
            <w:r>
              <w:rPr>
                <w:rFonts w:hint="default" w:ascii="Times New Roman" w:hAnsi="Times New Roman" w:eastAsia="宋体"/>
                <w:b w:val="0"/>
                <w:bCs w:val="0"/>
                <w:color w:val="000000" w:themeColor="text1"/>
                <w:highlight w:val="none"/>
                <w14:textFill>
                  <w14:solidFill>
                    <w14:schemeClr w14:val="tx1"/>
                  </w14:solidFill>
                </w14:textFill>
              </w:rPr>
              <w:t>福州、</w:t>
            </w:r>
            <w:r>
              <w:rPr>
                <w:rFonts w:hint="default" w:ascii="Times New Roman" w:hAnsi="Times New Roman" w:eastAsia="宋体"/>
                <w:color w:val="000000" w:themeColor="text1"/>
                <w:highlight w:val="none"/>
                <w14:textFill>
                  <w14:solidFill>
                    <w14:schemeClr w14:val="tx1"/>
                  </w14:solidFill>
                </w14:textFill>
              </w:rPr>
              <w:t>厦门、漳州、泉州、莆田、</w:t>
            </w:r>
            <w:r>
              <w:rPr>
                <w:rFonts w:hint="default" w:ascii="Times New Roman" w:hAnsi="Times New Roman" w:eastAsia="宋体"/>
                <w:b/>
                <w:bCs/>
                <w:color w:val="000000" w:themeColor="text1"/>
                <w:highlight w:val="none"/>
                <w14:textFill>
                  <w14:solidFill>
                    <w14:schemeClr w14:val="tx1"/>
                  </w14:solidFill>
                </w14:textFill>
              </w:rPr>
              <w:t>宁德</w:t>
            </w:r>
            <w:r>
              <w:rPr>
                <w:rFonts w:hint="default" w:ascii="Times New Roman" w:hAnsi="Times New Roman" w:eastAsia="宋体"/>
                <w:color w:val="000000" w:themeColor="text1"/>
                <w:highlight w:val="none"/>
                <w14:textFill>
                  <w14:solidFill>
                    <w14:schemeClr w14:val="tx1"/>
                  </w14:solidFill>
                </w14:textFill>
              </w:rPr>
              <w:t>等地要严格控制石化、化工、包装印刷、工业涂装、制鞋等高VOCs排放的项目建设，相关新建项目必须进工业园区，新建炼化项目应符合我省石化产业总体布局的要求。</w:t>
            </w:r>
            <w:r>
              <w:rPr>
                <w:rFonts w:hint="eastAsia" w:ascii="Times New Roman" w:hAnsi="Times New Roman" w:eastAsia="宋体"/>
                <w:color w:val="000000" w:themeColor="text1"/>
                <w:highlight w:val="none"/>
                <w:lang w:eastAsia="zh-CN"/>
                <w14:textFill>
                  <w14:solidFill>
                    <w14:schemeClr w14:val="tx1"/>
                  </w14:solidFill>
                </w14:textFill>
              </w:rPr>
              <w:t>”</w:t>
            </w:r>
          </w:p>
          <w:p>
            <w:pPr>
              <w:pStyle w:val="132"/>
              <w:pageBreakBefore w:val="0"/>
              <w:kinsoku/>
              <w:bidi w:val="0"/>
              <w:spacing w:beforeAutospacing="0" w:afterAutospacing="0"/>
              <w:rPr>
                <w:rFonts w:hint="default" w:ascii="Times New Roman" w:hAnsi="Times New Roman" w:eastAsia="宋体"/>
                <w:color w:val="000000" w:themeColor="text1"/>
                <w:highlight w:val="none"/>
                <w14:textFill>
                  <w14:solidFill>
                    <w14:schemeClr w14:val="tx1"/>
                  </w14:solidFill>
                </w14:textFill>
              </w:rPr>
            </w:pPr>
            <w:r>
              <w:rPr>
                <w:rFonts w:hint="default" w:ascii="Times New Roman" w:hAnsi="Times New Roman" w:eastAsia="宋体"/>
                <w:color w:val="000000" w:themeColor="text1"/>
                <w:highlight w:val="none"/>
                <w14:textFill>
                  <w14:solidFill>
                    <w14:schemeClr w14:val="tx1"/>
                  </w14:solidFill>
                </w14:textFill>
              </w:rPr>
              <w:t>本项目位于</w:t>
            </w:r>
            <w:r>
              <w:rPr>
                <w:rFonts w:hint="eastAsia" w:ascii="Times New Roman" w:hAnsi="Times New Roman" w:eastAsia="宋体"/>
                <w:color w:val="000000" w:themeColor="text1"/>
                <w:highlight w:val="none"/>
                <w:lang w:val="en-US" w:eastAsia="zh-CN"/>
                <w14:textFill>
                  <w14:solidFill>
                    <w14:schemeClr w14:val="tx1"/>
                  </w14:solidFill>
                </w14:textFill>
              </w:rPr>
              <w:t>福建省宁德市福鼎市白琳镇沿州村</w:t>
            </w:r>
            <w:r>
              <w:rPr>
                <w:rFonts w:hint="default" w:ascii="Times New Roman" w:hAnsi="Times New Roman" w:eastAsia="宋体"/>
                <w:color w:val="000000" w:themeColor="text1"/>
                <w:highlight w:val="none"/>
                <w14:textFill>
                  <w14:solidFill>
                    <w14:schemeClr w14:val="tx1"/>
                  </w14:solidFill>
                </w14:textFill>
              </w:rPr>
              <w:t>，</w:t>
            </w:r>
            <w:r>
              <w:rPr>
                <w:rFonts w:hint="eastAsia" w:ascii="Times New Roman" w:hAnsi="Times New Roman" w:eastAsia="宋体"/>
                <w:color w:val="000000" w:themeColor="text1"/>
                <w:highlight w:val="none"/>
                <w:lang w:val="en-US" w:eastAsia="zh-CN"/>
                <w14:textFill>
                  <w14:solidFill>
                    <w14:schemeClr w14:val="tx1"/>
                  </w14:solidFill>
                </w14:textFill>
              </w:rPr>
              <w:t>属于码头物流仓储，不属于</w:t>
            </w:r>
            <w:r>
              <w:rPr>
                <w:rFonts w:hint="default" w:ascii="Times New Roman" w:hAnsi="Times New Roman" w:eastAsia="宋体"/>
                <w:color w:val="000000" w:themeColor="text1"/>
                <w:highlight w:val="none"/>
                <w14:textFill>
                  <w14:solidFill>
                    <w14:schemeClr w14:val="tx1"/>
                  </w14:solidFill>
                </w14:textFill>
              </w:rPr>
              <w:t>高VOCs排放</w:t>
            </w:r>
            <w:r>
              <w:rPr>
                <w:rFonts w:hint="eastAsia" w:ascii="Times New Roman" w:hAnsi="Times New Roman" w:eastAsia="宋体"/>
                <w:color w:val="000000" w:themeColor="text1"/>
                <w:highlight w:val="none"/>
                <w:lang w:val="en-US" w:eastAsia="zh-CN"/>
                <w14:textFill>
                  <w14:solidFill>
                    <w14:schemeClr w14:val="tx1"/>
                  </w14:solidFill>
                </w14:textFill>
              </w:rPr>
              <w:t>的行业，</w:t>
            </w:r>
            <w:r>
              <w:rPr>
                <w:rFonts w:hint="default" w:ascii="Times New Roman" w:hAnsi="Times New Roman" w:eastAsia="宋体"/>
                <w:color w:val="000000" w:themeColor="text1"/>
                <w:highlight w:val="none"/>
                <w14:textFill>
                  <w14:solidFill>
                    <w14:schemeClr w14:val="tx1"/>
                  </w14:solidFill>
                </w14:textFill>
              </w:rPr>
              <w:t>符合《福建省打赢蓝天保卫战三年行动计划实施方案》的有关规定。</w:t>
            </w:r>
          </w:p>
          <w:p>
            <w:pPr>
              <w:pStyle w:val="131"/>
              <w:pageBreakBefore w:val="0"/>
              <w:numPr>
                <w:ilvl w:val="0"/>
                <w:numId w:val="0"/>
              </w:numPr>
              <w:kinsoku/>
              <w:bidi w:val="0"/>
              <w:spacing w:beforeAutospacing="0" w:afterAutospacing="0"/>
              <w:ind w:leftChars="0"/>
              <w:rPr>
                <w:rFonts w:hint="eastAsia" w:ascii="Times New Roman" w:hAnsi="Times New Roman" w:eastAsia="宋体" w:cs="宋体"/>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4</w:t>
            </w:r>
            <w:r>
              <w:rPr>
                <w:rFonts w:hint="eastAsia" w:ascii="Times New Roman" w:hAnsi="Times New Roman" w:eastAsia="宋体" w:cs="宋体"/>
                <w:color w:val="000000" w:themeColor="text1"/>
                <w:highlight w:val="none"/>
                <w14:textFill>
                  <w14:solidFill>
                    <w14:schemeClr w14:val="tx1"/>
                  </w14:solidFill>
                </w14:textFill>
              </w:rPr>
              <w:t>与福建省海洋生态保护红线的符合性分析</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firstLine="480" w:firstLineChars="200"/>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根据福建省海洋生态保护红线分布图（附图</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），工程海域未被划定为生态保护红线区，工程岸线未被划定为大陆自然岸线，本项目与</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姚家屿</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重要渔业水域生态保护红线区相距约</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0.8</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km；与</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沙埕港红树林</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生态保护红线区相距约</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1.7</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km。</w:t>
            </w:r>
          </w:p>
          <w:p>
            <w:pPr>
              <w:keepNext w:val="0"/>
              <w:keepLines w:val="0"/>
              <w:pageBreakBefore w:val="0"/>
              <w:widowControl w:val="0"/>
              <w:kinsoku/>
              <w:wordWrap/>
              <w:overflowPunct/>
              <w:topLinePunct w:val="0"/>
              <w:autoSpaceDE w:val="0"/>
              <w:autoSpaceDN w:val="0"/>
              <w:bidi w:val="0"/>
              <w:adjustRightInd w:val="0"/>
              <w:snapToGrid w:val="0"/>
              <w:spacing w:beforeAutospacing="0" w:afterAutospacing="0" w:line="360" w:lineRule="auto"/>
              <w:ind w:firstLine="480" w:firstLineChars="200"/>
              <w:textAlignment w:val="auto"/>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万成物流</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码头属于交通基础设施建设，项目用海符合省级海洋功能区划和海洋环境保护规划，在严格落实相关环保与生态用海措施的前提下， 项目用海基本可以维持海域自然环境现状，其建设对周边海洋生态保护红线区基本没有影响。因此，项目用海可以满足福建省海洋生态保护红线的相关要求。</w:t>
            </w:r>
          </w:p>
          <w:p>
            <w:pPr>
              <w:pStyle w:val="11"/>
              <w:pageBreakBefore w:val="0"/>
              <w:kinsoku/>
              <w:bidi w:val="0"/>
              <w:spacing w:beforeAutospacing="0" w:afterAutospacing="0"/>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32"/>
                <w:szCs w:val="32"/>
                <w:highlight w:val="none"/>
                <w:lang w:val="en-US" w:eastAsia="zh-CN"/>
                <w14:textFill>
                  <w14:solidFill>
                    <w14:schemeClr w14:val="tx1"/>
                  </w14:solidFill>
                </w14:textFill>
              </w:rPr>
              <w:t>1.2</w:t>
            </w:r>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“三线一单”控制要求符合性分析</w:t>
            </w:r>
          </w:p>
          <w:p>
            <w:pPr>
              <w:pStyle w:val="11"/>
              <w:pageBreakBefore w:val="0"/>
              <w:kinsoku/>
              <w:bidi w:val="0"/>
              <w:spacing w:beforeAutospacing="0" w:afterAutospacing="0"/>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1.2.1</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与生态红线的相符性分析</w:t>
            </w:r>
          </w:p>
          <w:p>
            <w:pPr>
              <w:pStyle w:val="103"/>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jc w:val="both"/>
              <w:textAlignment w:val="auto"/>
              <w:rPr>
                <w:rFonts w:hint="default" w:ascii="Times New Roman" w:hAnsi="Times New Roman" w:eastAsia="宋体" w:cs="宋体"/>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宋体"/>
                <w:color w:val="000000" w:themeColor="text1"/>
                <w:kern w:val="0"/>
                <w:sz w:val="24"/>
                <w:szCs w:val="24"/>
                <w:highlight w:val="none"/>
                <w:lang w:val="en-US" w:eastAsia="zh-CN" w:bidi="ar-SA"/>
                <w14:textFill>
                  <w14:solidFill>
                    <w14:schemeClr w14:val="tx1"/>
                  </w14:solidFill>
                </w14:textFill>
              </w:rPr>
              <w:t>对照《福建省人民政府办公厅关于印发福建省生态保护红线划定成果调整工作方案的通知》（闽政办[2017]80号）</w:t>
            </w:r>
            <w:r>
              <w:rPr>
                <w:rFonts w:hint="eastAsia" w:ascii="Times New Roman" w:hAnsi="Times New Roman" w:eastAsia="宋体" w:cs="宋体"/>
                <w:color w:val="000000" w:themeColor="text1"/>
                <w:kern w:val="0"/>
                <w:sz w:val="24"/>
                <w:szCs w:val="24"/>
                <w:highlight w:val="none"/>
                <w:lang w:val="en-US" w:eastAsia="zh-CN" w:bidi="ar-SA"/>
                <w14:textFill>
                  <w14:solidFill>
                    <w14:schemeClr w14:val="tx1"/>
                  </w14:solidFill>
                </w14:textFill>
              </w:rPr>
              <w:t>及《宁德市人民政府关于印发宁德市“三线一单”生态环境分区管控方案的通知》（宁政[2021]11号）</w:t>
            </w:r>
            <w:r>
              <w:rPr>
                <w:rFonts w:hint="default" w:ascii="Times New Roman" w:hAnsi="Times New Roman" w:eastAsia="宋体" w:cs="宋体"/>
                <w:color w:val="000000" w:themeColor="text1"/>
                <w:kern w:val="0"/>
                <w:sz w:val="24"/>
                <w:szCs w:val="24"/>
                <w:highlight w:val="none"/>
                <w:lang w:val="en-US" w:eastAsia="zh-CN" w:bidi="ar-SA"/>
                <w14:textFill>
                  <w14:solidFill>
                    <w14:schemeClr w14:val="tx1"/>
                  </w14:solidFill>
                </w14:textFill>
              </w:rPr>
              <w:t>，项目选址于</w:t>
            </w:r>
            <w:r>
              <w:rPr>
                <w:rFonts w:hint="eastAsia" w:ascii="Times New Roman" w:hAnsi="Times New Roman" w:eastAsia="宋体" w:cs="宋体"/>
                <w:color w:val="000000" w:themeColor="text1"/>
                <w:kern w:val="0"/>
                <w:sz w:val="24"/>
                <w:szCs w:val="24"/>
                <w:highlight w:val="none"/>
                <w:lang w:val="en-US" w:eastAsia="zh-CN" w:bidi="ar-SA"/>
                <w14:textFill>
                  <w14:solidFill>
                    <w14:schemeClr w14:val="tx1"/>
                  </w14:solidFill>
                </w14:textFill>
              </w:rPr>
              <w:t>福建省宁德市福鼎市白琳镇沿州村</w:t>
            </w:r>
            <w:r>
              <w:rPr>
                <w:rFonts w:hint="default" w:ascii="Times New Roman" w:hAnsi="Times New Roman" w:eastAsia="宋体" w:cs="宋体"/>
                <w:color w:val="000000" w:themeColor="text1"/>
                <w:kern w:val="0"/>
                <w:sz w:val="24"/>
                <w:szCs w:val="24"/>
                <w:highlight w:val="none"/>
                <w:lang w:val="en-US" w:eastAsia="zh-CN" w:bidi="ar-SA"/>
                <w14:textFill>
                  <w14:solidFill>
                    <w14:schemeClr w14:val="tx1"/>
                  </w14:solidFill>
                </w14:textFill>
              </w:rPr>
              <w:t>，不位于自然保护区、风景名胜区、饮用水源保护地和其他需要特别保护等法律法规禁止开发建设的区域。因此，项目建设符合生态红线控制要求。</w:t>
            </w:r>
          </w:p>
          <w:p>
            <w:pPr>
              <w:pStyle w:val="11"/>
              <w:pageBreakBefore w:val="0"/>
              <w:kinsoku/>
              <w:bidi w:val="0"/>
              <w:spacing w:beforeAutospacing="0" w:afterAutospacing="0"/>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1.2.2与环境质量底线的相符性分析</w:t>
            </w:r>
          </w:p>
          <w:p>
            <w:pPr>
              <w:keepNext w:val="0"/>
              <w:keepLines w:val="0"/>
              <w:pageBreakBefore w:val="0"/>
              <w:widowControl/>
              <w:suppressLineNumbers w:val="0"/>
              <w:kinsoku/>
              <w:bidi w:val="0"/>
              <w:spacing w:beforeAutospacing="0" w:afterAutospacing="0" w:line="360" w:lineRule="auto"/>
              <w:ind w:firstLine="480" w:firstLineChars="200"/>
              <w:jc w:val="left"/>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olor w:val="000000" w:themeColor="text1"/>
                <w:kern w:val="0"/>
                <w:sz w:val="24"/>
                <w:highlight w:val="none"/>
                <w14:textFill>
                  <w14:solidFill>
                    <w14:schemeClr w14:val="tx1"/>
                  </w14:solidFill>
                </w14:textFill>
              </w:rPr>
              <w:t>根据《宁德市人民政府关于印发宁德市“三线一单”生态环境分区管控方案的通知》（宁政﹝2021﹞11号），到2025年，全市主要流域国、省控断面水质优良（达到或优于Ⅲ类）比例总体达100%，县级以上集中式饮用水水源水质达标率达100%。到2030年，全市主要流域国、省控断面水质优良（达到或优于Ⅲ类）比例总体达100%，县级以上城市建成区黑臭水体总体得到消除，县级以上集中式饮用水水源水质稳定达标。到2035年，全市主要流域国、省控断面水质优良（达到或优于Ⅲ类）比例总体达100%，水生态系统实现良性循环。</w:t>
            </w:r>
          </w:p>
          <w:p>
            <w:pPr>
              <w:pageBreakBefore w:val="0"/>
              <w:tabs>
                <w:tab w:val="left" w:pos="1980"/>
                <w:tab w:val="left" w:pos="3825"/>
                <w:tab w:val="left" w:pos="4680"/>
              </w:tabs>
              <w:kinsoku/>
              <w:bidi w:val="0"/>
              <w:spacing w:beforeAutospacing="0" w:afterAutospacing="0" w:line="360" w:lineRule="auto"/>
              <w:ind w:firstLine="480" w:firstLineChars="200"/>
              <w:jc w:val="left"/>
              <w:rPr>
                <w:rFonts w:hint="eastAsia" w:ascii="Times New Roman" w:hAnsi="Times New Roman" w:eastAsia="宋体"/>
                <w:color w:val="000000" w:themeColor="text1"/>
                <w:kern w:val="0"/>
                <w:sz w:val="24"/>
                <w:highlight w:val="none"/>
                <w14:textFill>
                  <w14:solidFill>
                    <w14:schemeClr w14:val="tx1"/>
                  </w14:solidFill>
                </w14:textFill>
              </w:rPr>
            </w:pPr>
            <w:r>
              <w:rPr>
                <w:rFonts w:hint="eastAsia" w:ascii="Times New Roman" w:hAnsi="Times New Roman" w:eastAsia="宋体"/>
                <w:color w:val="000000" w:themeColor="text1"/>
                <w:kern w:val="0"/>
                <w:sz w:val="24"/>
                <w:highlight w:val="none"/>
                <w:lang w:val="en-US" w:eastAsia="zh-CN"/>
                <w14:textFill>
                  <w14:solidFill>
                    <w14:schemeClr w14:val="tx1"/>
                  </w14:solidFill>
                </w14:textFill>
              </w:rPr>
              <w:t>项目所在区域的环境质量底线为环境空气质量目标《环境空气质量标 准》（GB3095-2012）二级浓度限值，声环境质量目标《声环境质量标准》（GB3096-2008）3 类区标准，海水水质目标《海水水质标准》（GB3097- 1997）第三类海水水质标准。根据预测分析结果及《万成港口开发有限公司用地围填海生态评估报告》分析，通过采取各项环保措施， 施工及营运对周边环境保护目标影响在可接受范围内。</w:t>
            </w:r>
          </w:p>
          <w:p>
            <w:pPr>
              <w:pageBreakBefore w:val="0"/>
              <w:tabs>
                <w:tab w:val="left" w:pos="1980"/>
                <w:tab w:val="left" w:pos="3825"/>
                <w:tab w:val="left" w:pos="4680"/>
              </w:tabs>
              <w:kinsoku/>
              <w:bidi w:val="0"/>
              <w:spacing w:beforeAutospacing="0" w:afterAutospacing="0" w:line="360" w:lineRule="auto"/>
              <w:ind w:firstLine="480" w:firstLineChars="200"/>
              <w:jc w:val="left"/>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宋体"/>
                <w:color w:val="000000" w:themeColor="text1"/>
                <w:kern w:val="0"/>
                <w:sz w:val="24"/>
                <w:szCs w:val="24"/>
                <w:highlight w:val="none"/>
                <w14:textFill>
                  <w14:solidFill>
                    <w14:schemeClr w14:val="tx1"/>
                  </w14:solidFill>
                </w14:textFill>
              </w:rPr>
              <w:t>本项目无生产废水</w:t>
            </w:r>
            <w:r>
              <w:rPr>
                <w:rFonts w:hint="eastAsia" w:ascii="Times New Roman" w:hAnsi="Times New Roman" w:eastAsia="宋体" w:cs="宋体"/>
                <w:color w:val="000000" w:themeColor="text1"/>
                <w:kern w:val="0"/>
                <w:sz w:val="24"/>
                <w:szCs w:val="24"/>
                <w:highlight w:val="none"/>
                <w:lang w:val="en-US" w:eastAsia="zh-CN"/>
                <w14:textFill>
                  <w14:solidFill>
                    <w14:schemeClr w14:val="tx1"/>
                  </w14:solidFill>
                </w14:textFill>
              </w:rPr>
              <w:t>产生</w:t>
            </w:r>
            <w:r>
              <w:rPr>
                <w:rFonts w:hint="eastAsia" w:ascii="Times New Roman" w:hAnsi="Times New Roman" w:eastAsia="宋体" w:cs="宋体"/>
                <w:color w:val="000000" w:themeColor="text1"/>
                <w:kern w:val="0"/>
                <w:sz w:val="24"/>
                <w:szCs w:val="24"/>
                <w:highlight w:val="none"/>
                <w14:textFill>
                  <w14:solidFill>
                    <w14:schemeClr w14:val="tx1"/>
                  </w14:solidFill>
                </w14:textFill>
              </w:rPr>
              <w:t>；车辆冲洗废水采用隔油沉淀池处理后循环使用，不外排；初期雨水经初期雨水池收集后，由水泵抽至沉淀池处理后作为</w:t>
            </w:r>
            <w:r>
              <w:rPr>
                <w:rFonts w:hint="eastAsia" w:ascii="Times New Roman" w:hAnsi="Times New Roman" w:eastAsia="宋体" w:cs="宋体"/>
                <w:color w:val="000000" w:themeColor="text1"/>
                <w:kern w:val="0"/>
                <w:sz w:val="24"/>
                <w:szCs w:val="24"/>
                <w:highlight w:val="none"/>
                <w:lang w:val="en-US" w:eastAsia="zh-CN"/>
                <w14:textFill>
                  <w14:solidFill>
                    <w14:schemeClr w14:val="tx1"/>
                  </w14:solidFill>
                </w14:textFill>
              </w:rPr>
              <w:t>抑尘</w:t>
            </w:r>
            <w:r>
              <w:rPr>
                <w:rFonts w:hint="eastAsia" w:ascii="Times New Roman" w:hAnsi="Times New Roman" w:eastAsia="宋体" w:cs="宋体"/>
                <w:color w:val="000000" w:themeColor="text1"/>
                <w:kern w:val="0"/>
                <w:sz w:val="24"/>
                <w:szCs w:val="24"/>
                <w:highlight w:val="none"/>
                <w14:textFill>
                  <w14:solidFill>
                    <w14:schemeClr w14:val="tx1"/>
                  </w14:solidFill>
                </w14:textFill>
              </w:rPr>
              <w:t>补充水，不外排；生活污水通过化粪池处理后用槽罐车运往</w:t>
            </w:r>
            <w:r>
              <w:rPr>
                <w:rFonts w:hint="eastAsia" w:ascii="Times New Roman" w:hAnsi="Times New Roman" w:eastAsia="宋体" w:cs="宋体"/>
                <w:color w:val="000000" w:themeColor="text1"/>
                <w:kern w:val="0"/>
                <w:sz w:val="24"/>
                <w:szCs w:val="24"/>
                <w:highlight w:val="none"/>
                <w:lang w:val="en-US" w:eastAsia="zh-CN"/>
                <w14:textFill>
                  <w14:solidFill>
                    <w14:schemeClr w14:val="tx1"/>
                  </w14:solidFill>
                </w14:textFill>
              </w:rPr>
              <w:t>福鼎市白琳镇</w:t>
            </w:r>
            <w:r>
              <w:rPr>
                <w:rFonts w:hint="eastAsia" w:ascii="Times New Roman" w:hAnsi="Times New Roman" w:eastAsia="宋体" w:cs="宋体"/>
                <w:color w:val="000000" w:themeColor="text1"/>
                <w:kern w:val="0"/>
                <w:sz w:val="24"/>
                <w:szCs w:val="24"/>
                <w:highlight w:val="none"/>
                <w:lang w:eastAsia="zh-CN"/>
                <w14:textFill>
                  <w14:solidFill>
                    <w14:schemeClr w14:val="tx1"/>
                  </w14:solidFill>
                </w14:textFill>
              </w:rPr>
              <w:t>污水处理站</w:t>
            </w:r>
            <w:r>
              <w:rPr>
                <w:rFonts w:hint="eastAsia" w:ascii="Times New Roman" w:hAnsi="Times New Roman" w:eastAsia="宋体" w:cs="宋体"/>
                <w:color w:val="000000" w:themeColor="text1"/>
                <w:kern w:val="0"/>
                <w:sz w:val="24"/>
                <w:szCs w:val="24"/>
                <w:highlight w:val="none"/>
                <w14:textFill>
                  <w14:solidFill>
                    <w14:schemeClr w14:val="tx1"/>
                  </w14:solidFill>
                </w14:textFill>
              </w:rPr>
              <w:t>深度处理，对区域地表水环境基本不会造成影响，对周围环境影响不大。项目废气为</w:t>
            </w:r>
            <w:r>
              <w:rPr>
                <w:rFonts w:hint="eastAsia" w:ascii="Times New Roman" w:hAnsi="Times New Roman" w:eastAsia="宋体" w:cs="宋体"/>
                <w:color w:val="000000" w:themeColor="text1"/>
                <w:kern w:val="0"/>
                <w:sz w:val="24"/>
                <w:szCs w:val="24"/>
                <w:highlight w:val="none"/>
                <w:lang w:val="en-US" w:eastAsia="zh-CN"/>
                <w14:textFill>
                  <w14:solidFill>
                    <w14:schemeClr w14:val="tx1"/>
                  </w14:solidFill>
                </w14:textFill>
              </w:rPr>
              <w:t>装卸过程</w:t>
            </w:r>
            <w:r>
              <w:rPr>
                <w:rFonts w:hint="eastAsia" w:ascii="Times New Roman" w:hAnsi="Times New Roman" w:eastAsia="宋体" w:cs="宋体"/>
                <w:color w:val="000000" w:themeColor="text1"/>
                <w:kern w:val="0"/>
                <w:sz w:val="24"/>
                <w:szCs w:val="24"/>
                <w:highlight w:val="none"/>
                <w14:textFill>
                  <w14:solidFill>
                    <w14:schemeClr w14:val="tx1"/>
                  </w14:solidFill>
                </w14:textFill>
              </w:rPr>
              <w:t>中产生的粉尘、料场堆放以及汽车运输过程中的无组织扬尘</w:t>
            </w:r>
            <w:r>
              <w:rPr>
                <w:rFonts w:hint="eastAsia" w:ascii="Times New Roman" w:hAnsi="Times New Roman" w:eastAsia="宋体" w:cs="宋体"/>
                <w:color w:val="000000" w:themeColor="text1"/>
                <w:kern w:val="0"/>
                <w:sz w:val="24"/>
                <w:szCs w:val="24"/>
                <w:highlight w:val="none"/>
                <w:lang w:eastAsia="zh-CN"/>
                <w14:textFill>
                  <w14:solidFill>
                    <w14:schemeClr w14:val="tx1"/>
                  </w14:solidFill>
                </w14:textFill>
              </w:rPr>
              <w:t>，</w:t>
            </w:r>
            <w:r>
              <w:rPr>
                <w:rFonts w:hint="eastAsia" w:ascii="Times New Roman" w:hAnsi="Times New Roman" w:eastAsia="宋体" w:cs="宋体"/>
                <w:color w:val="000000" w:themeColor="text1"/>
                <w:kern w:val="0"/>
                <w:sz w:val="24"/>
                <w:szCs w:val="24"/>
                <w:highlight w:val="none"/>
                <w:lang w:val="en-US" w:eastAsia="zh-CN"/>
                <w14:textFill>
                  <w14:solidFill>
                    <w14:schemeClr w14:val="tx1"/>
                  </w14:solidFill>
                </w14:textFill>
              </w:rPr>
              <w:t>上述废气</w:t>
            </w:r>
            <w:r>
              <w:rPr>
                <w:rFonts w:hint="eastAsia" w:ascii="Times New Roman" w:hAnsi="Times New Roman" w:eastAsia="宋体" w:cs="宋体"/>
                <w:color w:val="000000" w:themeColor="text1"/>
                <w:kern w:val="0"/>
                <w:sz w:val="24"/>
                <w:szCs w:val="24"/>
                <w:highlight w:val="none"/>
                <w14:textFill>
                  <w14:solidFill>
                    <w14:schemeClr w14:val="tx1"/>
                  </w14:solidFill>
                </w14:textFill>
              </w:rPr>
              <w:t>经处理达标</w:t>
            </w:r>
            <w:r>
              <w:rPr>
                <w:rFonts w:hint="eastAsia" w:ascii="Times New Roman" w:hAnsi="Times New Roman" w:eastAsia="宋体" w:cs="宋体"/>
                <w:color w:val="000000" w:themeColor="text1"/>
                <w:kern w:val="0"/>
                <w:sz w:val="24"/>
                <w:szCs w:val="24"/>
                <w:highlight w:val="none"/>
                <w:lang w:eastAsia="zh-CN"/>
                <w14:textFill>
                  <w14:solidFill>
                    <w14:schemeClr w14:val="tx1"/>
                  </w14:solidFill>
                </w14:textFill>
              </w:rPr>
              <w:t>排放</w:t>
            </w:r>
            <w:r>
              <w:rPr>
                <w:rFonts w:hint="eastAsia" w:ascii="Times New Roman" w:hAnsi="Times New Roman" w:eastAsia="宋体" w:cs="宋体"/>
                <w:color w:val="000000" w:themeColor="text1"/>
                <w:kern w:val="0"/>
                <w:sz w:val="24"/>
                <w:szCs w:val="24"/>
                <w:highlight w:val="none"/>
                <w14:textFill>
                  <w14:solidFill>
                    <w14:schemeClr w14:val="tx1"/>
                  </w14:solidFill>
                </w14:textFill>
              </w:rPr>
              <w:t>后对周围环境影响较小，各生产设备产生的噪声经综合降噪措施后不会对周边环境造成重大影响。</w:t>
            </w:r>
          </w:p>
          <w:p>
            <w:pPr>
              <w:pageBreakBefore w:val="0"/>
              <w:tabs>
                <w:tab w:val="left" w:pos="1980"/>
                <w:tab w:val="left" w:pos="3825"/>
                <w:tab w:val="left" w:pos="4680"/>
              </w:tabs>
              <w:kinsoku/>
              <w:bidi w:val="0"/>
              <w:spacing w:beforeAutospacing="0" w:afterAutospacing="0" w:line="360" w:lineRule="auto"/>
              <w:ind w:firstLine="480" w:firstLineChars="200"/>
              <w:jc w:val="left"/>
              <w:rPr>
                <w:rFonts w:hint="eastAsia" w:ascii="Times New Roman" w:hAnsi="Times New Roman" w:eastAsia="宋体" w:cs="宋体"/>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宋体"/>
                <w:color w:val="000000" w:themeColor="text1"/>
                <w:kern w:val="0"/>
                <w:sz w:val="24"/>
                <w:szCs w:val="24"/>
                <w:highlight w:val="none"/>
                <w:lang w:val="en-US" w:eastAsia="zh-CN"/>
                <w14:textFill>
                  <w14:solidFill>
                    <w14:schemeClr w14:val="tx1"/>
                  </w14:solidFill>
                </w14:textFill>
              </w:rPr>
              <w:t>综合分析，项目在采取本环评提出的相关防治措施后，本项目排放的污染物不会对区域环境质量底线造成冲击。</w:t>
            </w:r>
          </w:p>
          <w:p>
            <w:pPr>
              <w:pStyle w:val="11"/>
              <w:pageBreakBefore w:val="0"/>
              <w:kinsoku/>
              <w:bidi w:val="0"/>
              <w:spacing w:beforeAutospacing="0" w:afterAutospacing="0"/>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1.2.3与资源利用上限的对照分析</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t>根据《宁德市人民政府关于印发宁德市“三线一单”生态环境分区管控方案的通知》（宁政﹝2021﹞11号），水资源利用上线衔接水资源管理“三条红线”，土地资源利用上线衔接国土空间总体规划要求，能源资源利用上线衔接节能减排、能源规划等文件要求。</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t>项目用电为区域集中供应，项目运行过程通过内部管理、设备选择、原辅材料的选用和管理、废物回收利用、污染治理等多方面采取合理可行的防治措施，以</w:t>
            </w:r>
            <w:r>
              <w:rPr>
                <w:rFonts w:hint="default" w:ascii="Times New Roman" w:hAnsi="Times New Roman" w:eastAsia="宋体" w:cs="宋体"/>
                <w:color w:val="000000" w:themeColor="text1"/>
                <w:kern w:val="0"/>
                <w:sz w:val="24"/>
                <w:szCs w:val="24"/>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t>节能、降耗、减污</w:t>
            </w:r>
            <w:r>
              <w:rPr>
                <w:rFonts w:hint="default" w:ascii="Times New Roman" w:hAnsi="Times New Roman" w:eastAsia="宋体" w:cs="宋体"/>
                <w:color w:val="000000" w:themeColor="text1"/>
                <w:kern w:val="0"/>
                <w:sz w:val="24"/>
                <w:szCs w:val="24"/>
                <w:highlight w:val="none"/>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4"/>
                <w:szCs w:val="24"/>
                <w:highlight w:val="none"/>
                <w:lang w:val="en-US" w:eastAsia="zh-CN" w:bidi="ar"/>
                <w14:textFill>
                  <w14:solidFill>
                    <w14:schemeClr w14:val="tx1"/>
                  </w14:solidFill>
                </w14:textFill>
              </w:rPr>
              <w:t>为目标，有效地控制污染。项目的水、气等资源利用不会突破区域的资源利用上线。</w:t>
            </w:r>
          </w:p>
          <w:p>
            <w:pPr>
              <w:pStyle w:val="11"/>
              <w:pageBreakBefore w:val="0"/>
              <w:kinsoku/>
              <w:bidi w:val="0"/>
              <w:spacing w:beforeAutospacing="0" w:afterAutospacing="0"/>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1.2.4与环境准入负面清单符合性分析</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本项目不属于《产业结构调整指导目录（2019年）》中的限制类、淘汰类，属允许类项目；满足《市场准入负面清单（2022年版）》；不属于《福建省人民政府关于加强重点流域水环境综和整治的意见》中禁止的产业。项目不属于《重点生态功能区产业准入负面清单编制实施办法》和《市场准入负面清单（2022年版）》中禁止或限制项目；项目采取有效的三废治理措施，符合当地环保规划要求。</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4"/>
                <w:highlight w:val="none"/>
                <w:lang w:val="en-US" w:eastAsia="zh-CN"/>
                <w14:textFill>
                  <w14:solidFill>
                    <w14:schemeClr w14:val="tx1"/>
                  </w14:solidFill>
                </w14:textFill>
              </w:rPr>
              <w:t>此外，根据《宁德市人民政府关于印发宁德市</w:t>
            </w:r>
            <w:r>
              <w:rPr>
                <w:rFonts w:hint="eastAsia" w:ascii="Times New Roman" w:hAnsi="Times New Roman" w:eastAsia="宋体" w:cs="Times New Roman"/>
                <w:bCs/>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kern w:val="0"/>
                <w:sz w:val="24"/>
                <w:highlight w:val="none"/>
                <w:lang w:val="en-US" w:eastAsia="zh-CN"/>
                <w14:textFill>
                  <w14:solidFill>
                    <w14:schemeClr w14:val="tx1"/>
                  </w14:solidFill>
                </w14:textFill>
              </w:rPr>
              <w:t>三线一单</w:t>
            </w:r>
            <w:r>
              <w:rPr>
                <w:rFonts w:hint="eastAsia" w:ascii="Times New Roman" w:hAnsi="Times New Roman" w:eastAsia="宋体" w:cs="Times New Roman"/>
                <w:bCs/>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kern w:val="0"/>
                <w:sz w:val="24"/>
                <w:highlight w:val="none"/>
                <w:lang w:val="en-US" w:eastAsia="zh-CN"/>
                <w14:textFill>
                  <w14:solidFill>
                    <w14:schemeClr w14:val="tx1"/>
                  </w14:solidFill>
                </w14:textFill>
              </w:rPr>
              <w:t>生态环境分区管控方案的通知》(宁政[2021]11号) 宁德市生态环境总体准入要求(见表</w:t>
            </w:r>
            <w:r>
              <w:rPr>
                <w:rFonts w:hint="eastAsia" w:ascii="Times New Roman" w:hAnsi="Times New Roman" w:eastAsia="宋体" w:cs="Times New Roman"/>
                <w:bCs/>
                <w:color w:val="000000" w:themeColor="text1"/>
                <w:kern w:val="0"/>
                <w:sz w:val="24"/>
                <w:highlight w:val="none"/>
                <w:lang w:val="en-US" w:eastAsia="zh-CN"/>
                <w14:textFill>
                  <w14:solidFill>
                    <w14:schemeClr w14:val="tx1"/>
                  </w14:solidFill>
                </w14:textFill>
              </w:rPr>
              <w:t>1.2-2</w:t>
            </w:r>
            <w:r>
              <w:rPr>
                <w:rFonts w:hint="default" w:ascii="Times New Roman" w:hAnsi="Times New Roman" w:eastAsia="宋体" w:cs="Times New Roman"/>
                <w:bCs/>
                <w:color w:val="000000" w:themeColor="text1"/>
                <w:kern w:val="0"/>
                <w:sz w:val="24"/>
                <w:highlight w:val="none"/>
                <w:lang w:val="en-US" w:eastAsia="zh-CN"/>
                <w14:textFill>
                  <w14:solidFill>
                    <w14:schemeClr w14:val="tx1"/>
                  </w14:solidFill>
                </w14:textFill>
              </w:rPr>
              <w:t>)，项目符合宁德市近岸海域空间布局约束以及污染排放管控要求。</w:t>
            </w:r>
            <w:r>
              <w:rPr>
                <w:rFonts w:hint="eastAsia" w:ascii="Times New Roman" w:hAnsi="Times New Roman" w:eastAsia="宋体" w:cs="Times New Roman"/>
                <w:color w:val="000000" w:themeColor="text1"/>
                <w:kern w:val="0"/>
                <w:sz w:val="24"/>
                <w:szCs w:val="24"/>
                <w:lang w:val="en-US" w:eastAsia="zh-CN"/>
                <w14:textFill>
                  <w14:solidFill>
                    <w14:schemeClr w14:val="tx1"/>
                  </w14:solidFill>
                </w14:textFill>
              </w:rPr>
              <w:t>对照全省生态环境总体准入要求及宁德市生态环境总体准入要求，本项目均不属于环境准入负面清单禁止类和限制类之列。</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bCs/>
                <w:color w:val="000000" w:themeColor="text1"/>
                <w:kern w:val="0"/>
                <w:sz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kern w:val="0"/>
                <w:sz w:val="24"/>
                <w:highlight w:val="none"/>
                <w:lang w:val="en-US" w:eastAsia="zh-CN"/>
                <w14:textFill>
                  <w14:solidFill>
                    <w14:schemeClr w14:val="tx1"/>
                  </w14:solidFill>
                </w14:textFill>
              </w:rPr>
              <w:t>综上分析，项目的建设符合相关规划，且符合</w:t>
            </w:r>
            <w:r>
              <w:rPr>
                <w:rFonts w:hint="eastAsia" w:ascii="Times New Roman" w:hAnsi="Times New Roman" w:eastAsia="宋体" w:cs="Times New Roman"/>
                <w:bCs/>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kern w:val="0"/>
                <w:sz w:val="24"/>
                <w:highlight w:val="none"/>
                <w:lang w:val="en-US" w:eastAsia="zh-CN"/>
                <w14:textFill>
                  <w14:solidFill>
                    <w14:schemeClr w14:val="tx1"/>
                  </w14:solidFill>
                </w14:textFill>
              </w:rPr>
              <w:t>三线一单</w:t>
            </w:r>
            <w:r>
              <w:rPr>
                <w:rFonts w:hint="eastAsia" w:ascii="Times New Roman" w:hAnsi="Times New Roman" w:eastAsia="宋体" w:cs="Times New Roman"/>
                <w:bCs/>
                <w:color w:val="000000" w:themeColor="text1"/>
                <w:kern w:val="0"/>
                <w:sz w:val="24"/>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kern w:val="0"/>
                <w:sz w:val="24"/>
                <w:highlight w:val="none"/>
                <w:lang w:val="en-US" w:eastAsia="zh-CN"/>
                <w14:textFill>
                  <w14:solidFill>
                    <w14:schemeClr w14:val="tx1"/>
                  </w14:solidFill>
                </w14:textFill>
              </w:rPr>
              <w:t>管控要求。</w:t>
            </w:r>
          </w:p>
          <w:p>
            <w:pPr>
              <w:pageBreakBefore w:val="0"/>
              <w:kinsoku/>
              <w:bidi w:val="0"/>
              <w:spacing w:beforeAutospacing="0" w:afterAutospacing="0"/>
              <w:jc w:val="cente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b/>
                <w:bCs/>
                <w:color w:val="000000" w:themeColor="text1"/>
                <w:sz w:val="24"/>
                <w:szCs w:val="24"/>
                <w:highlight w:val="none"/>
                <w:lang w:val="en-US" w:eastAsia="zh-CN"/>
                <w14:textFill>
                  <w14:solidFill>
                    <w14:schemeClr w14:val="tx1"/>
                  </w14:solidFill>
                </w14:textFill>
              </w:rPr>
              <w:t>表1.2.-1  宁德市生态环境总体准入要求</w:t>
            </w:r>
          </w:p>
          <w:tbl>
            <w:tblPr>
              <w:tblStyle w:val="34"/>
              <w:tblW w:w="74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0"/>
              <w:gridCol w:w="446"/>
              <w:gridCol w:w="4121"/>
              <w:gridCol w:w="23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986" w:type="dxa"/>
                  <w:gridSpan w:val="2"/>
                  <w:tcBorders>
                    <w:tl2br w:val="nil"/>
                    <w:tr2bl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适用范围</w:t>
                  </w:r>
                </w:p>
              </w:tc>
              <w:tc>
                <w:tcPr>
                  <w:tcW w:w="4121" w:type="dxa"/>
                  <w:tcBorders>
                    <w:tl2br w:val="nil"/>
                    <w:tr2bl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准入要求</w:t>
                  </w:r>
                </w:p>
              </w:tc>
              <w:tc>
                <w:tcPr>
                  <w:tcW w:w="2370" w:type="dxa"/>
                  <w:tcBorders>
                    <w:tl2br w:val="nil"/>
                    <w:tr2bl w:val="nil"/>
                  </w:tcBorders>
                  <w:vAlign w:val="center"/>
                </w:tcPr>
                <w:p>
                  <w:pPr>
                    <w:pStyle w:val="30"/>
                    <w:keepNext w:val="0"/>
                    <w:keepLines w:val="0"/>
                    <w:pageBreakBefore w:val="0"/>
                    <w:widowControl/>
                    <w:suppressLineNumbers w:val="0"/>
                    <w:kinsoku/>
                    <w:bidi w:val="0"/>
                    <w:spacing w:before="0" w:beforeAutospacing="0" w:after="0" w:afterAutospacing="0" w:line="240" w:lineRule="auto"/>
                    <w:ind w:left="0" w:right="0" w:firstLine="0"/>
                    <w:jc w:val="cente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t>项目是否符合要求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540" w:type="dxa"/>
                  <w:tcBorders>
                    <w:tl2br w:val="nil"/>
                    <w:tr2bl w:val="nil"/>
                  </w:tcBorders>
                  <w:vAlign w:val="center"/>
                </w:tcPr>
                <w:p>
                  <w:pPr>
                    <w:keepNext w:val="0"/>
                    <w:keepLines w:val="0"/>
                    <w:pageBreakBefore w:val="0"/>
                    <w:suppressLineNumbers w:val="0"/>
                    <w:kinsoku/>
                    <w:bidi w:val="0"/>
                    <w:adjustRightInd w:val="0"/>
                    <w:snapToGrid w:val="0"/>
                    <w:spacing w:beforeAutospacing="0" w:afterAutospacing="0" w:line="240" w:lineRule="auto"/>
                    <w:ind w:left="0" w:leftChars="0" w:right="0" w:firstLine="0" w:firstLineChars="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海岸线</w:t>
                  </w:r>
                </w:p>
              </w:tc>
              <w:tc>
                <w:tcPr>
                  <w:tcW w:w="446" w:type="dxa"/>
                  <w:tcBorders>
                    <w:tl2br w:val="nil"/>
                    <w:tr2bl w:val="nil"/>
                  </w:tcBorders>
                  <w:vAlign w:val="center"/>
                </w:tcPr>
                <w:p>
                  <w:pPr>
                    <w:keepNext w:val="0"/>
                    <w:keepLines w:val="0"/>
                    <w:pageBreakBefore w:val="0"/>
                    <w:suppressLineNumbers w:val="0"/>
                    <w:kinsoku/>
                    <w:bidi w:val="0"/>
                    <w:adjustRightInd w:val="0"/>
                    <w:snapToGrid w:val="0"/>
                    <w:spacing w:beforeAutospacing="0" w:afterAutospacing="0" w:line="240" w:lineRule="auto"/>
                    <w:ind w:left="0" w:leftChars="0" w:right="0" w:firstLine="0" w:firstLineChars="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空间布局约束</w:t>
                  </w:r>
                </w:p>
              </w:tc>
              <w:tc>
                <w:tcPr>
                  <w:tcW w:w="4121" w:type="dxa"/>
                  <w:tcBorders>
                    <w:tl2br w:val="nil"/>
                    <w:tr2bl w:val="nil"/>
                  </w:tcBorders>
                  <w:vAlign w:val="center"/>
                </w:tcPr>
                <w:p>
                  <w:pPr>
                    <w:keepNext w:val="0"/>
                    <w:keepLines w:val="0"/>
                    <w:pageBreakBefore w:val="0"/>
                    <w:suppressLineNumbers w:val="0"/>
                    <w:kinsoku/>
                    <w:bidi w:val="0"/>
                    <w:adjustRightInd w:val="0"/>
                    <w:snapToGrid w:val="0"/>
                    <w:spacing w:beforeAutospacing="0" w:afterAutospacing="0" w:line="240" w:lineRule="auto"/>
                    <w:ind w:left="0" w:leftChars="0" w:right="0" w:firstLine="0" w:firstLineChars="0"/>
                    <w:jc w:val="both"/>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1.最大限度维持三都澳湿地水禽红树林自然保护区内岸线的自然属性，贴岸工厂限期调整及清退，加强受损自然岸线的整治与修复，恢复自然岸线原有功能。</w:t>
                  </w:r>
                </w:p>
                <w:p>
                  <w:pPr>
                    <w:keepNext w:val="0"/>
                    <w:keepLines w:val="0"/>
                    <w:pageBreakBefore w:val="0"/>
                    <w:suppressLineNumbers w:val="0"/>
                    <w:kinsoku/>
                    <w:bidi w:val="0"/>
                    <w:adjustRightInd w:val="0"/>
                    <w:snapToGrid w:val="0"/>
                    <w:spacing w:beforeAutospacing="0" w:afterAutospacing="0" w:line="240" w:lineRule="auto"/>
                    <w:ind w:left="0" w:leftChars="0" w:right="0" w:firstLine="0" w:firstLineChars="0"/>
                    <w:jc w:val="both"/>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2.限期调出位于生态保护红线区内的港区规划岸线，对严重影响生态红线区域主导生态功能的港区设施进行拆除或搬迁。</w:t>
                  </w:r>
                </w:p>
                <w:p>
                  <w:pPr>
                    <w:keepNext w:val="0"/>
                    <w:keepLines w:val="0"/>
                    <w:pageBreakBefore w:val="0"/>
                    <w:suppressLineNumbers w:val="0"/>
                    <w:kinsoku/>
                    <w:bidi w:val="0"/>
                    <w:adjustRightInd w:val="0"/>
                    <w:snapToGrid w:val="0"/>
                    <w:spacing w:beforeAutospacing="0" w:afterAutospacing="0" w:line="240" w:lineRule="auto"/>
                    <w:ind w:left="0" w:leftChars="0" w:right="0" w:firstLine="0" w:firstLineChars="0"/>
                    <w:jc w:val="both"/>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3.三沙湾赛江港杂货码头区近期维持现状，未来逐步将部分货运功能转移至白马港区其他作业区。</w:t>
                  </w:r>
                </w:p>
              </w:tc>
              <w:tc>
                <w:tcPr>
                  <w:tcW w:w="2370" w:type="dxa"/>
                  <w:tcBorders>
                    <w:tl2br w:val="nil"/>
                    <w:tr2bl w:val="nil"/>
                  </w:tcBorders>
                  <w:vAlign w:val="center"/>
                </w:tcPr>
                <w:p>
                  <w:pPr>
                    <w:keepNext w:val="0"/>
                    <w:keepLines w:val="0"/>
                    <w:pageBreakBefore w:val="0"/>
                    <w:suppressLineNumbers w:val="0"/>
                    <w:kinsoku/>
                    <w:bidi w:val="0"/>
                    <w:adjustRightInd w:val="0"/>
                    <w:snapToGrid w:val="0"/>
                    <w:spacing w:beforeAutospacing="0" w:afterAutospacing="0" w:line="240" w:lineRule="auto"/>
                    <w:ind w:left="0" w:leftChars="0" w:right="0" w:firstLine="0" w:firstLineChars="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项目位于沙埕港海域，所占岸线不属于三都澳湿地水禽红树林自然保护区内岸线，不属于生态保护红线区内的港区规划岸线，不属于三沙湾赛江港杂货码头区。项目符合海岸线空间布局约束要求。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2" w:hRule="atLeast"/>
                <w:jc w:val="center"/>
              </w:trPr>
              <w:tc>
                <w:tcPr>
                  <w:tcW w:w="540" w:type="dxa"/>
                  <w:vMerge w:val="restart"/>
                  <w:tcBorders>
                    <w:tl2br w:val="nil"/>
                    <w:tr2bl w:val="nil"/>
                  </w:tcBorders>
                  <w:vAlign w:val="center"/>
                </w:tcPr>
                <w:p>
                  <w:pPr>
                    <w:keepNext w:val="0"/>
                    <w:keepLines w:val="0"/>
                    <w:pageBreakBefore w:val="0"/>
                    <w:suppressLineNumbers w:val="0"/>
                    <w:kinsoku/>
                    <w:bidi w:val="0"/>
                    <w:adjustRightInd w:val="0"/>
                    <w:snapToGrid w:val="0"/>
                    <w:spacing w:beforeAutospacing="0" w:afterAutospacing="0" w:line="240" w:lineRule="auto"/>
                    <w:ind w:left="0" w:leftChars="0" w:right="0" w:firstLine="0" w:firstLineChars="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近岸海域</w:t>
                  </w:r>
                </w:p>
              </w:tc>
              <w:tc>
                <w:tcPr>
                  <w:tcW w:w="446" w:type="dxa"/>
                  <w:tcBorders>
                    <w:tl2br w:val="nil"/>
                    <w:tr2bl w:val="nil"/>
                  </w:tcBorders>
                  <w:vAlign w:val="center"/>
                </w:tcPr>
                <w:p>
                  <w:pPr>
                    <w:keepNext w:val="0"/>
                    <w:keepLines w:val="0"/>
                    <w:pageBreakBefore w:val="0"/>
                    <w:suppressLineNumbers w:val="0"/>
                    <w:kinsoku/>
                    <w:bidi w:val="0"/>
                    <w:adjustRightInd w:val="0"/>
                    <w:snapToGrid w:val="0"/>
                    <w:spacing w:beforeAutospacing="0" w:afterAutospacing="0" w:line="240" w:lineRule="auto"/>
                    <w:ind w:left="0" w:leftChars="0" w:right="0" w:firstLine="0" w:firstLineChars="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空间布局约束</w:t>
                  </w:r>
                </w:p>
              </w:tc>
              <w:tc>
                <w:tcPr>
                  <w:tcW w:w="4121" w:type="dxa"/>
                  <w:tcBorders>
                    <w:tl2br w:val="nil"/>
                    <w:tr2bl w:val="nil"/>
                  </w:tcBorders>
                  <w:vAlign w:val="center"/>
                </w:tcPr>
                <w:p>
                  <w:pPr>
                    <w:keepNext w:val="0"/>
                    <w:keepLines w:val="0"/>
                    <w:pageBreakBefore w:val="0"/>
                    <w:suppressLineNumbers w:val="0"/>
                    <w:kinsoku/>
                    <w:bidi w:val="0"/>
                    <w:adjustRightInd w:val="0"/>
                    <w:snapToGrid w:val="0"/>
                    <w:spacing w:beforeAutospacing="0" w:afterAutospacing="0" w:line="240" w:lineRule="auto"/>
                    <w:ind w:left="0" w:leftChars="0" w:right="0" w:firstLine="0" w:firstLineChars="0"/>
                    <w:jc w:val="both"/>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1.落实国家围填海管控规定，除国家重大项目外，全面禁止围填海。</w:t>
                  </w:r>
                </w:p>
                <w:p>
                  <w:pPr>
                    <w:keepNext w:val="0"/>
                    <w:keepLines w:val="0"/>
                    <w:pageBreakBefore w:val="0"/>
                    <w:suppressLineNumbers w:val="0"/>
                    <w:kinsoku/>
                    <w:bidi w:val="0"/>
                    <w:adjustRightInd w:val="0"/>
                    <w:snapToGrid w:val="0"/>
                    <w:spacing w:beforeAutospacing="0" w:afterAutospacing="0" w:line="240" w:lineRule="auto"/>
                    <w:ind w:left="0" w:leftChars="0" w:right="0" w:firstLine="0" w:firstLineChars="0"/>
                    <w:jc w:val="both"/>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2.优化大型液体散货码头作业布局，与官井洋大黄鱼繁殖保护区安全距离符合相关要求。</w:t>
                  </w:r>
                </w:p>
                <w:p>
                  <w:pPr>
                    <w:keepNext w:val="0"/>
                    <w:keepLines w:val="0"/>
                    <w:pageBreakBefore w:val="0"/>
                    <w:suppressLineNumbers w:val="0"/>
                    <w:kinsoku/>
                    <w:bidi w:val="0"/>
                    <w:adjustRightInd w:val="0"/>
                    <w:snapToGrid w:val="0"/>
                    <w:spacing w:beforeAutospacing="0" w:afterAutospacing="0" w:line="240" w:lineRule="auto"/>
                    <w:ind w:left="0" w:leftChars="0" w:right="0" w:firstLine="0" w:firstLineChars="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3.落实养殖水域滩涂规划，优化海水养殖空间布局，清理整治超规划养殖，禁养区内水产养殖退养，限养区及养殖区控制养殖规模和密度。</w:t>
                  </w:r>
                </w:p>
              </w:tc>
              <w:tc>
                <w:tcPr>
                  <w:tcW w:w="2370" w:type="dxa"/>
                  <w:tcBorders>
                    <w:tl2br w:val="nil"/>
                    <w:tr2bl w:val="nil"/>
                  </w:tcBorders>
                  <w:vAlign w:val="center"/>
                </w:tcPr>
                <w:p>
                  <w:pPr>
                    <w:keepNext w:val="0"/>
                    <w:keepLines w:val="0"/>
                    <w:pageBreakBefore w:val="0"/>
                    <w:suppressLineNumbers w:val="0"/>
                    <w:kinsoku/>
                    <w:bidi w:val="0"/>
                    <w:adjustRightInd w:val="0"/>
                    <w:snapToGrid w:val="0"/>
                    <w:spacing w:beforeAutospacing="0" w:afterAutospacing="0" w:line="240" w:lineRule="auto"/>
                    <w:ind w:left="0" w:leftChars="0" w:right="0" w:firstLine="0" w:firstLineChars="0"/>
                    <w:jc w:val="both"/>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本项目用海方式为透水构筑物用海，不属于围填海，填海不属于本次评价范围，已在《万成港口开发有限公司用地围填海生态评估报告》中另行评价；项目位于沙埕港海域，距离官井洋大黄鱼繁殖保护区</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距离77km</w:t>
                  </w: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；项目位于“限养区”，与《福鼎市养殖水域滩涂规划(2018-2030)》不冲突。项目符合空间布局约束要求。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62" w:hRule="atLeast"/>
                <w:jc w:val="center"/>
              </w:trPr>
              <w:tc>
                <w:tcPr>
                  <w:tcW w:w="540" w:type="dxa"/>
                  <w:vMerge w:val="continue"/>
                  <w:tcBorders>
                    <w:tl2br w:val="nil"/>
                    <w:tr2bl w:val="nil"/>
                  </w:tcBorders>
                  <w:vAlign w:val="center"/>
                </w:tcPr>
                <w:p>
                  <w:pPr>
                    <w:keepNext w:val="0"/>
                    <w:keepLines w:val="0"/>
                    <w:pageBreakBefore w:val="0"/>
                    <w:widowControl/>
                    <w:suppressLineNumbers w:val="0"/>
                    <w:kinsoku/>
                    <w:bidi w:val="0"/>
                    <w:spacing w:beforeAutospacing="0" w:afterAutospacing="0" w:line="240" w:lineRule="auto"/>
                    <w:ind w:left="0" w:right="0"/>
                    <w:jc w:val="both"/>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p>
              </w:tc>
              <w:tc>
                <w:tcPr>
                  <w:tcW w:w="446" w:type="dxa"/>
                  <w:tcBorders>
                    <w:tl2br w:val="nil"/>
                    <w:tr2bl w:val="nil"/>
                  </w:tcBorders>
                  <w:vAlign w:val="center"/>
                </w:tcPr>
                <w:p>
                  <w:pPr>
                    <w:keepNext w:val="0"/>
                    <w:keepLines w:val="0"/>
                    <w:pageBreakBefore w:val="0"/>
                    <w:suppressLineNumbers w:val="0"/>
                    <w:kinsoku/>
                    <w:bidi w:val="0"/>
                    <w:adjustRightInd w:val="0"/>
                    <w:snapToGrid w:val="0"/>
                    <w:spacing w:beforeAutospacing="0" w:afterAutospacing="0" w:line="240" w:lineRule="auto"/>
                    <w:ind w:left="0" w:leftChars="0" w:right="0" w:firstLine="0" w:firstLineChars="0"/>
                    <w:jc w:val="both"/>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p>
                  <w:pPr>
                    <w:keepNext w:val="0"/>
                    <w:keepLines w:val="0"/>
                    <w:pageBreakBefore w:val="0"/>
                    <w:suppressLineNumbers w:val="0"/>
                    <w:kinsoku/>
                    <w:bidi w:val="0"/>
                    <w:adjustRightInd w:val="0"/>
                    <w:snapToGrid w:val="0"/>
                    <w:spacing w:beforeAutospacing="0" w:afterAutospacing="0" w:line="240" w:lineRule="auto"/>
                    <w:ind w:left="0" w:leftChars="0" w:right="0" w:firstLine="0" w:firstLineChars="0"/>
                    <w:jc w:val="both"/>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p>
                  <w:pPr>
                    <w:keepNext w:val="0"/>
                    <w:keepLines w:val="0"/>
                    <w:pageBreakBefore w:val="0"/>
                    <w:suppressLineNumbers w:val="0"/>
                    <w:kinsoku/>
                    <w:bidi w:val="0"/>
                    <w:adjustRightInd w:val="0"/>
                    <w:snapToGrid w:val="0"/>
                    <w:spacing w:beforeAutospacing="0" w:afterAutospacing="0" w:line="240" w:lineRule="auto"/>
                    <w:ind w:left="0" w:leftChars="0" w:right="0" w:firstLine="0" w:firstLineChars="0"/>
                    <w:jc w:val="both"/>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p>
                  <w:pPr>
                    <w:keepNext w:val="0"/>
                    <w:keepLines w:val="0"/>
                    <w:pageBreakBefore w:val="0"/>
                    <w:suppressLineNumbers w:val="0"/>
                    <w:kinsoku/>
                    <w:bidi w:val="0"/>
                    <w:adjustRightInd w:val="0"/>
                    <w:snapToGrid w:val="0"/>
                    <w:spacing w:beforeAutospacing="0" w:afterAutospacing="0" w:line="240" w:lineRule="auto"/>
                    <w:ind w:left="0" w:leftChars="0" w:right="0" w:firstLine="0" w:firstLineChars="0"/>
                    <w:jc w:val="both"/>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p>
                  <w:pPr>
                    <w:keepNext w:val="0"/>
                    <w:keepLines w:val="0"/>
                    <w:pageBreakBefore w:val="0"/>
                    <w:suppressLineNumbers w:val="0"/>
                    <w:kinsoku/>
                    <w:bidi w:val="0"/>
                    <w:adjustRightInd w:val="0"/>
                    <w:snapToGrid w:val="0"/>
                    <w:spacing w:beforeAutospacing="0" w:afterAutospacing="0" w:line="240" w:lineRule="auto"/>
                    <w:ind w:left="0" w:leftChars="0" w:right="0" w:firstLine="0" w:firstLineChars="0"/>
                    <w:jc w:val="both"/>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p>
                  <w:pPr>
                    <w:keepNext w:val="0"/>
                    <w:keepLines w:val="0"/>
                    <w:pageBreakBefore w:val="0"/>
                    <w:suppressLineNumbers w:val="0"/>
                    <w:kinsoku/>
                    <w:bidi w:val="0"/>
                    <w:adjustRightInd w:val="0"/>
                    <w:snapToGrid w:val="0"/>
                    <w:spacing w:beforeAutospacing="0" w:afterAutospacing="0" w:line="240" w:lineRule="auto"/>
                    <w:ind w:left="0" w:leftChars="0" w:right="0" w:firstLine="0" w:firstLineChars="0"/>
                    <w:jc w:val="both"/>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p>
                  <w:pPr>
                    <w:keepNext w:val="0"/>
                    <w:keepLines w:val="0"/>
                    <w:pageBreakBefore w:val="0"/>
                    <w:suppressLineNumbers w:val="0"/>
                    <w:kinsoku/>
                    <w:bidi w:val="0"/>
                    <w:adjustRightInd w:val="0"/>
                    <w:snapToGrid w:val="0"/>
                    <w:spacing w:beforeAutospacing="0" w:afterAutospacing="0" w:line="240" w:lineRule="auto"/>
                    <w:ind w:left="0" w:leftChars="0" w:right="0" w:firstLine="0" w:firstLineChars="0"/>
                    <w:jc w:val="both"/>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p>
                  <w:pPr>
                    <w:keepNext w:val="0"/>
                    <w:keepLines w:val="0"/>
                    <w:pageBreakBefore w:val="0"/>
                    <w:suppressLineNumbers w:val="0"/>
                    <w:kinsoku/>
                    <w:bidi w:val="0"/>
                    <w:adjustRightInd w:val="0"/>
                    <w:snapToGrid w:val="0"/>
                    <w:spacing w:beforeAutospacing="0" w:afterAutospacing="0" w:line="240" w:lineRule="auto"/>
                    <w:ind w:left="0" w:leftChars="0" w:right="0" w:firstLine="0" w:firstLineChars="0"/>
                    <w:jc w:val="both"/>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p>
                  <w:pPr>
                    <w:keepNext w:val="0"/>
                    <w:keepLines w:val="0"/>
                    <w:pageBreakBefore w:val="0"/>
                    <w:suppressLineNumbers w:val="0"/>
                    <w:kinsoku/>
                    <w:bidi w:val="0"/>
                    <w:adjustRightInd w:val="0"/>
                    <w:snapToGrid w:val="0"/>
                    <w:spacing w:beforeAutospacing="0" w:afterAutospacing="0" w:line="240" w:lineRule="auto"/>
                    <w:ind w:left="0" w:leftChars="0" w:right="0" w:firstLine="0" w:firstLineChars="0"/>
                    <w:jc w:val="both"/>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p>
                  <w:pPr>
                    <w:keepNext w:val="0"/>
                    <w:keepLines w:val="0"/>
                    <w:pageBreakBefore w:val="0"/>
                    <w:suppressLineNumbers w:val="0"/>
                    <w:kinsoku/>
                    <w:bidi w:val="0"/>
                    <w:adjustRightInd w:val="0"/>
                    <w:snapToGrid w:val="0"/>
                    <w:spacing w:beforeAutospacing="0" w:afterAutospacing="0" w:line="240" w:lineRule="auto"/>
                    <w:ind w:left="0" w:leftChars="0" w:right="0" w:firstLine="0" w:firstLineChars="0"/>
                    <w:jc w:val="both"/>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p>
                  <w:pPr>
                    <w:keepNext w:val="0"/>
                    <w:keepLines w:val="0"/>
                    <w:pageBreakBefore w:val="0"/>
                    <w:suppressLineNumbers w:val="0"/>
                    <w:kinsoku/>
                    <w:bidi w:val="0"/>
                    <w:adjustRightInd w:val="0"/>
                    <w:snapToGrid w:val="0"/>
                    <w:spacing w:beforeAutospacing="0" w:afterAutospacing="0" w:line="240" w:lineRule="auto"/>
                    <w:ind w:left="0" w:leftChars="0" w:right="0" w:firstLine="0" w:firstLineChars="0"/>
                    <w:jc w:val="both"/>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p>
                  <w:pPr>
                    <w:keepNext w:val="0"/>
                    <w:keepLines w:val="0"/>
                    <w:pageBreakBefore w:val="0"/>
                    <w:suppressLineNumbers w:val="0"/>
                    <w:kinsoku/>
                    <w:bidi w:val="0"/>
                    <w:adjustRightInd w:val="0"/>
                    <w:snapToGrid w:val="0"/>
                    <w:spacing w:beforeAutospacing="0" w:afterAutospacing="0" w:line="240" w:lineRule="auto"/>
                    <w:ind w:left="0" w:leftChars="0" w:right="0" w:firstLine="0" w:firstLineChars="0"/>
                    <w:jc w:val="both"/>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p>
                  <w:pPr>
                    <w:keepNext w:val="0"/>
                    <w:keepLines w:val="0"/>
                    <w:pageBreakBefore w:val="0"/>
                    <w:suppressLineNumbers w:val="0"/>
                    <w:kinsoku/>
                    <w:bidi w:val="0"/>
                    <w:adjustRightInd w:val="0"/>
                    <w:snapToGrid w:val="0"/>
                    <w:spacing w:beforeAutospacing="0" w:afterAutospacing="0" w:line="240" w:lineRule="auto"/>
                    <w:ind w:left="0" w:leftChars="0" w:right="0" w:firstLine="0" w:firstLineChars="0"/>
                    <w:jc w:val="both"/>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污染</w:t>
                  </w:r>
                </w:p>
                <w:p>
                  <w:pPr>
                    <w:keepNext w:val="0"/>
                    <w:keepLines w:val="0"/>
                    <w:pageBreakBefore w:val="0"/>
                    <w:suppressLineNumbers w:val="0"/>
                    <w:kinsoku/>
                    <w:bidi w:val="0"/>
                    <w:adjustRightInd w:val="0"/>
                    <w:snapToGrid w:val="0"/>
                    <w:spacing w:beforeAutospacing="0" w:afterAutospacing="0" w:line="240" w:lineRule="auto"/>
                    <w:ind w:left="0" w:leftChars="0" w:right="0" w:firstLine="0" w:firstLineChars="0"/>
                    <w:jc w:val="both"/>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物排</w:t>
                  </w:r>
                </w:p>
                <w:p>
                  <w:pPr>
                    <w:keepNext w:val="0"/>
                    <w:keepLines w:val="0"/>
                    <w:pageBreakBefore w:val="0"/>
                    <w:suppressLineNumbers w:val="0"/>
                    <w:kinsoku/>
                    <w:bidi w:val="0"/>
                    <w:adjustRightInd w:val="0"/>
                    <w:snapToGrid w:val="0"/>
                    <w:spacing w:beforeAutospacing="0" w:afterAutospacing="0" w:line="240" w:lineRule="auto"/>
                    <w:ind w:left="0" w:leftChars="0" w:right="0" w:firstLine="0" w:firstLineChars="0"/>
                    <w:jc w:val="both"/>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放管</w:t>
                  </w:r>
                </w:p>
                <w:p>
                  <w:pPr>
                    <w:keepNext w:val="0"/>
                    <w:keepLines w:val="0"/>
                    <w:pageBreakBefore w:val="0"/>
                    <w:suppressLineNumbers w:val="0"/>
                    <w:kinsoku/>
                    <w:bidi w:val="0"/>
                    <w:adjustRightInd w:val="0"/>
                    <w:snapToGrid w:val="0"/>
                    <w:spacing w:beforeAutospacing="0" w:afterAutospacing="0" w:line="240" w:lineRule="auto"/>
                    <w:ind w:left="0" w:leftChars="0" w:right="0" w:firstLine="0" w:firstLineChars="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控</w:t>
                  </w:r>
                </w:p>
              </w:tc>
              <w:tc>
                <w:tcPr>
                  <w:tcW w:w="4121" w:type="dxa"/>
                  <w:tcBorders>
                    <w:tl2br w:val="nil"/>
                    <w:tr2bl w:val="nil"/>
                  </w:tcBorders>
                  <w:vAlign w:val="center"/>
                </w:tcPr>
                <w:p>
                  <w:pPr>
                    <w:keepNext w:val="0"/>
                    <w:keepLines w:val="0"/>
                    <w:pageBreakBefore w:val="0"/>
                    <w:suppressLineNumbers w:val="0"/>
                    <w:kinsoku/>
                    <w:bidi w:val="0"/>
                    <w:adjustRightInd w:val="0"/>
                    <w:snapToGrid w:val="0"/>
                    <w:spacing w:beforeAutospacing="0" w:afterAutospacing="0" w:line="240" w:lineRule="auto"/>
                    <w:ind w:left="0" w:leftChars="0" w:right="0" w:firstLine="0" w:firstLineChars="0"/>
                    <w:jc w:val="both"/>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1.实行三沙湾主要污染物入海总量控制，控制交溪、霍童溪入海断面水质，削减交溪总氮入海总量及霍童溪氮磷入海总量，重点开展沙埕港内湾及三沙湾内白马港、盐田港、漳湾、铁基湾、官井洋、东吾洋等海域劣四类水质综合整治。</w:t>
                  </w:r>
                </w:p>
                <w:p>
                  <w:pPr>
                    <w:keepNext w:val="0"/>
                    <w:keepLines w:val="0"/>
                    <w:pageBreakBefore w:val="0"/>
                    <w:suppressLineNumbers w:val="0"/>
                    <w:kinsoku/>
                    <w:bidi w:val="0"/>
                    <w:adjustRightInd w:val="0"/>
                    <w:snapToGrid w:val="0"/>
                    <w:spacing w:beforeAutospacing="0" w:afterAutospacing="0" w:line="240" w:lineRule="auto"/>
                    <w:ind w:left="0" w:leftChars="0" w:right="0" w:firstLine="0" w:firstLineChars="0"/>
                    <w:jc w:val="both"/>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2.全面完成各类入海排污口排查、监测和溯源，系统推进入海排污口分类整治。规范三沙湾排污口设置，统筹设置湾内排污口，适时实施湾外深海排放。</w:t>
                  </w:r>
                </w:p>
                <w:p>
                  <w:pPr>
                    <w:keepNext w:val="0"/>
                    <w:keepLines w:val="0"/>
                    <w:pageBreakBefore w:val="0"/>
                    <w:suppressLineNumbers w:val="0"/>
                    <w:kinsoku/>
                    <w:bidi w:val="0"/>
                    <w:adjustRightInd w:val="0"/>
                    <w:snapToGrid w:val="0"/>
                    <w:spacing w:beforeAutospacing="0" w:afterAutospacing="0" w:line="240" w:lineRule="auto"/>
                    <w:ind w:left="0" w:leftChars="0" w:right="0" w:firstLine="0" w:firstLineChars="0"/>
                    <w:jc w:val="both"/>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3.完善城镇及工业集中区污水处理设施及配套管网建设，强化达标排放监管，提升沿海农村生活污水收集处理率。近岸海域汇水区域内县级及以上城镇污水处理设施执行不低于一级A排放标准。</w:t>
                  </w:r>
                </w:p>
                <w:p>
                  <w:pPr>
                    <w:keepNext w:val="0"/>
                    <w:keepLines w:val="0"/>
                    <w:pageBreakBefore w:val="0"/>
                    <w:suppressLineNumbers w:val="0"/>
                    <w:kinsoku/>
                    <w:bidi w:val="0"/>
                    <w:adjustRightInd w:val="0"/>
                    <w:snapToGrid w:val="0"/>
                    <w:spacing w:beforeAutospacing="0" w:afterAutospacing="0" w:line="240" w:lineRule="auto"/>
                    <w:ind w:left="0" w:leftChars="0" w:right="0" w:firstLine="0" w:firstLineChars="0"/>
                    <w:jc w:val="both"/>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4.三沙湾、沙埕港强化违法违规养殖反弹管控。实行湾内养殖总量控制，优化养殖结构及品种，严控投饵型鱼类网箱养殖比例，实行生态养殖，强化养殖尾水治理与监管，推进标准化池塘改造和工厂化循环水养殖基地建设，推进规模以上养殖主体尾水综合治理达标排放，鼓励循环回用。</w:t>
                  </w:r>
                </w:p>
                <w:p>
                  <w:pPr>
                    <w:keepNext w:val="0"/>
                    <w:keepLines w:val="0"/>
                    <w:pageBreakBefore w:val="0"/>
                    <w:suppressLineNumbers w:val="0"/>
                    <w:kinsoku/>
                    <w:bidi w:val="0"/>
                    <w:adjustRightInd w:val="0"/>
                    <w:snapToGrid w:val="0"/>
                    <w:spacing w:beforeAutospacing="0" w:afterAutospacing="0" w:line="240" w:lineRule="auto"/>
                    <w:ind w:left="0" w:leftChars="0" w:right="0" w:firstLine="0" w:firstLineChars="0"/>
                    <w:jc w:val="both"/>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5.建立海上环卫队伍，实现海滩海面常态化清理保洁，强化渔业垃圾等管控，强化重点岸段的监视监控，定期开展专项整治行动。</w:t>
                  </w:r>
                </w:p>
                <w:p>
                  <w:pPr>
                    <w:keepNext w:val="0"/>
                    <w:keepLines w:val="0"/>
                    <w:pageBreakBefore w:val="0"/>
                    <w:suppressLineNumbers w:val="0"/>
                    <w:kinsoku/>
                    <w:bidi w:val="0"/>
                    <w:adjustRightInd w:val="0"/>
                    <w:snapToGrid w:val="0"/>
                    <w:spacing w:beforeAutospacing="0" w:afterAutospacing="0" w:line="240" w:lineRule="auto"/>
                    <w:ind w:left="0" w:leftChars="0" w:right="0" w:firstLine="0" w:firstLineChars="0"/>
                    <w:jc w:val="both"/>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6.强化陆海污染联防联控，推动“蓝色海湾”整治项目、海岸带生态保护修复工程等重大工程建设，推进沿海岸线自然化和生态保护修复。</w:t>
                  </w:r>
                </w:p>
              </w:tc>
              <w:tc>
                <w:tcPr>
                  <w:tcW w:w="2370" w:type="dxa"/>
                  <w:tcBorders>
                    <w:tl2br w:val="nil"/>
                    <w:tr2bl w:val="nil"/>
                  </w:tcBorders>
                  <w:vAlign w:val="center"/>
                </w:tcPr>
                <w:p>
                  <w:pPr>
                    <w:keepNext w:val="0"/>
                    <w:keepLines w:val="0"/>
                    <w:pageBreakBefore w:val="0"/>
                    <w:suppressLineNumbers w:val="0"/>
                    <w:kinsoku/>
                    <w:bidi w:val="0"/>
                    <w:adjustRightInd w:val="0"/>
                    <w:snapToGrid w:val="0"/>
                    <w:spacing w:beforeAutospacing="0" w:afterAutospacing="0" w:line="240" w:lineRule="auto"/>
                    <w:ind w:left="0" w:leftChars="0" w:right="0" w:firstLine="0" w:firstLineChars="0"/>
                    <w:jc w:val="both"/>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本项目位于沙埕港海域，建设通用码头工程，建设、运营过程废水均能得到有效处置，不排放入海，对海水水质环境影响较小；项目码头各区域均 设置有垃圾桶，垃圾统一收集交由环卫部门处理，并且加强管理，做到垃圾不入海。项目符合近岸海域污染物排放管控要求。</w:t>
                  </w:r>
                </w:p>
              </w:tc>
            </w:tr>
          </w:tbl>
          <w:p>
            <w:pPr>
              <w:pStyle w:val="22"/>
              <w:pageBreakBefore w:val="0"/>
              <w:kinsoku/>
              <w:bidi w:val="0"/>
              <w:spacing w:beforeAutospacing="0" w:after="0" w:afterAutospacing="0" w:line="360" w:lineRule="auto"/>
              <w:ind w:left="0" w:leftChars="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p>
        </w:tc>
      </w:tr>
    </w:tbl>
    <w:p>
      <w:pPr>
        <w:pStyle w:val="30"/>
        <w:pageBreakBefore w:val="0"/>
        <w:kinsoku/>
        <w:bidi w:val="0"/>
        <w:spacing w:before="0" w:beforeAutospacing="0" w:after="0" w:afterAutospacing="0"/>
        <w:jc w:val="center"/>
        <w:outlineLvl w:val="0"/>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pgNumType w:fmt="decimal" w:start="1"/>
          <w:cols w:space="720" w:num="1"/>
          <w:docGrid w:linePitch="312" w:charSpace="0"/>
        </w:sectPr>
      </w:pPr>
    </w:p>
    <w:p>
      <w:pPr>
        <w:pStyle w:val="30"/>
        <w:pageBreakBefore w:val="0"/>
        <w:kinsoku/>
        <w:bidi w:val="0"/>
        <w:spacing w:before="0" w:beforeAutospacing="0" w:after="0" w:afterAutospacing="0"/>
        <w:jc w:val="center"/>
        <w:outlineLvl w:val="0"/>
        <w:rPr>
          <w:rFonts w:ascii="Times New Roman" w:hAnsi="Times New Roman" w:eastAsia="宋体"/>
          <w:snapToGrid w:val="0"/>
          <w:color w:val="000000" w:themeColor="text1"/>
          <w:sz w:val="30"/>
          <w:szCs w:val="30"/>
          <w:highlight w:val="none"/>
          <w14:textFill>
            <w14:solidFill>
              <w14:schemeClr w14:val="tx1"/>
            </w14:solidFill>
          </w14:textFill>
        </w:rPr>
      </w:pPr>
      <w:bookmarkStart w:id="9" w:name="_Toc31871"/>
      <w:r>
        <w:rPr>
          <w:rFonts w:hint="eastAsia" w:ascii="Times New Roman" w:hAnsi="Times New Roman" w:eastAsia="宋体"/>
          <w:snapToGrid w:val="0"/>
          <w:color w:val="000000" w:themeColor="text1"/>
          <w:sz w:val="30"/>
          <w:szCs w:val="30"/>
          <w:highlight w:val="none"/>
          <w14:textFill>
            <w14:solidFill>
              <w14:schemeClr w14:val="tx1"/>
            </w14:solidFill>
          </w14:textFill>
        </w:rPr>
        <w:t>二、建设内容</w:t>
      </w:r>
      <w:bookmarkEnd w:id="9"/>
    </w:p>
    <w:tbl>
      <w:tblPr>
        <w:tblStyle w:val="33"/>
        <w:tblW w:w="962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3"/>
        <w:gridCol w:w="91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453" w:type="dxa"/>
            <w:vAlign w:val="center"/>
          </w:tcPr>
          <w:p>
            <w:pPr>
              <w:pageBreakBefore w:val="0"/>
              <w:kinsoku/>
              <w:bidi w:val="0"/>
              <w:adjustRightInd w:val="0"/>
              <w:snapToGrid w:val="0"/>
              <w:spacing w:beforeAutospacing="0" w:afterAutospacing="0"/>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 w:val="24"/>
                <w:szCs w:val="24"/>
                <w:highlight w:val="none"/>
                <w14:textFill>
                  <w14:solidFill>
                    <w14:schemeClr w14:val="tx1"/>
                  </w14:solidFill>
                </w14:textFill>
              </w:rPr>
              <w:t>地理位置</w:t>
            </w:r>
          </w:p>
        </w:tc>
        <w:tc>
          <w:tcPr>
            <w:tcW w:w="9175" w:type="dxa"/>
            <w:vAlign w:val="center"/>
          </w:tcPr>
          <w:p>
            <w:pPr>
              <w:pStyle w:val="11"/>
              <w:pageBreakBefore w:val="0"/>
              <w:kinsoku/>
              <w:bidi w:val="0"/>
              <w:spacing w:beforeAutospacing="0" w:afterAutospacing="0"/>
              <w:rPr>
                <w:rFonts w:hint="eastAsia" w:ascii="Times New Roman" w:hAnsi="Times New Roman" w:eastAsia="宋体"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2.1</w:t>
            </w:r>
            <w:r>
              <w:rPr>
                <w:rFonts w:hint="eastAsia" w:ascii="Times New Roman" w:hAnsi="Times New Roman" w:eastAsia="宋体" w:cs="Times New Roman"/>
                <w:color w:val="000000" w:themeColor="text1"/>
                <w:sz w:val="32"/>
                <w:szCs w:val="32"/>
                <w:highlight w:val="none"/>
                <w:lang w:val="en-US" w:eastAsia="zh-CN"/>
                <w14:textFill>
                  <w14:solidFill>
                    <w14:schemeClr w14:val="tx1"/>
                  </w14:solidFill>
                </w14:textFill>
              </w:rPr>
              <w:t>地理位置</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s="宋体"/>
                <w:color w:val="000000" w:themeColor="text1"/>
                <w:kern w:val="0"/>
                <w:szCs w:val="21"/>
                <w:highlight w:val="none"/>
                <w14:textFill>
                  <w14:solidFill>
                    <w14:schemeClr w14:val="tx1"/>
                  </w14:solidFill>
                </w14:textFill>
              </w:rPr>
            </w:pPr>
            <w:r>
              <w:rPr>
                <w:rFonts w:hint="default" w:ascii="Times New Roman" w:hAnsi="Times New Roman" w:eastAsia="宋体" w:cs="Times New Roman"/>
                <w:bCs/>
                <w:color w:val="000000" w:themeColor="text1"/>
                <w:kern w:val="0"/>
                <w:sz w:val="24"/>
                <w:highlight w:val="none"/>
                <w:lang w:val="en-US" w:eastAsia="zh-CN"/>
                <w14:textFill>
                  <w14:solidFill>
                    <w14:schemeClr w14:val="tx1"/>
                  </w14:solidFill>
                </w14:textFill>
              </w:rPr>
              <w:t>项目区位于福建省</w:t>
            </w:r>
            <w:r>
              <w:rPr>
                <w:rFonts w:hint="eastAsia" w:ascii="Times New Roman" w:hAnsi="Times New Roman" w:eastAsia="宋体" w:cs="Times New Roman"/>
                <w:bCs/>
                <w:color w:val="000000" w:themeColor="text1"/>
                <w:kern w:val="0"/>
                <w:sz w:val="24"/>
                <w:highlight w:val="none"/>
                <w:lang w:val="en-US" w:eastAsia="zh-CN"/>
                <w14:textFill>
                  <w14:solidFill>
                    <w14:schemeClr w14:val="tx1"/>
                  </w14:solidFill>
                </w14:textFill>
              </w:rPr>
              <w:t>宁德市福鼎市白琳镇沿州村小白沿</w:t>
            </w:r>
            <w:r>
              <w:rPr>
                <w:rFonts w:hint="default" w:ascii="Times New Roman" w:hAnsi="Times New Roman" w:eastAsia="宋体" w:cs="Times New Roman"/>
                <w:bCs/>
                <w:color w:val="000000" w:themeColor="text1"/>
                <w:kern w:val="0"/>
                <w:sz w:val="24"/>
                <w:highlight w:val="none"/>
                <w:lang w:val="en-US" w:eastAsia="zh-CN"/>
                <w14:textFill>
                  <w14:solidFill>
                    <w14:schemeClr w14:val="tx1"/>
                  </w14:solidFill>
                </w14:textFill>
              </w:rPr>
              <w:t>，地理坐标东经120.270093°，北纬27.249199°。项目北侧临海，南侧临山，是海水侵蚀和堆积而成的海岸阶地地貌，现场由地势平坦的海边滩涂、养殖和崎岖山坡地组成。紧邻八杨公路，距沈海高速公路八尺门互通口仅3公里，其集输运条件非常便利。项目地理位置图见</w:t>
            </w:r>
            <w:r>
              <w:rPr>
                <w:rFonts w:hint="default" w:ascii="Times New Roman" w:hAnsi="Times New Roman" w:eastAsia="宋体" w:cs="Times New Roman"/>
                <w:bCs/>
                <w:color w:val="000000" w:themeColor="text1"/>
                <w:kern w:val="0"/>
                <w:sz w:val="24"/>
                <w:highlight w:val="none"/>
                <w:lang w:val="en-US" w:eastAsia="zh-CN"/>
                <w14:textFill>
                  <w14:solidFill>
                    <w14:schemeClr w14:val="tx1"/>
                  </w14:solidFill>
                </w14:textFill>
              </w:rPr>
              <w:t>附图</w:t>
            </w:r>
            <w:r>
              <w:rPr>
                <w:rFonts w:hint="eastAsia" w:ascii="Times New Roman" w:hAnsi="Times New Roman" w:eastAsia="宋体" w:cs="Times New Roman"/>
                <w:bCs/>
                <w:color w:val="000000" w:themeColor="text1"/>
                <w:kern w:val="0"/>
                <w:sz w:val="24"/>
                <w:highlight w:val="none"/>
                <w:lang w:val="en-US" w:eastAsia="zh-CN"/>
                <w14:textFill>
                  <w14:solidFill>
                    <w14:schemeClr w14:val="tx1"/>
                  </w14:solidFill>
                </w14:textFill>
              </w:rPr>
              <w:t>1</w:t>
            </w:r>
            <w:r>
              <w:rPr>
                <w:rFonts w:hint="default" w:ascii="Times New Roman" w:hAnsi="Times New Roman" w:eastAsia="宋体" w:cs="Times New Roman"/>
                <w:bCs/>
                <w:color w:val="000000" w:themeColor="text1"/>
                <w:kern w:val="0"/>
                <w:sz w:val="24"/>
                <w:highlight w:val="none"/>
                <w:lang w:val="en-US" w:eastAsia="zh-CN"/>
                <w14:textFill>
                  <w14:solidFill>
                    <w14:schemeClr w14:val="tx1"/>
                  </w14:solidFill>
                </w14:textFill>
              </w:rPr>
              <w:t>，周边环境关系示意图</w:t>
            </w:r>
            <w:r>
              <w:rPr>
                <w:rFonts w:hint="default" w:ascii="Times New Roman" w:hAnsi="Times New Roman" w:eastAsia="宋体" w:cs="Times New Roman"/>
                <w:bCs/>
                <w:color w:val="000000" w:themeColor="text1"/>
                <w:kern w:val="0"/>
                <w:sz w:val="24"/>
                <w:highlight w:val="none"/>
                <w:lang w:val="en-US" w:eastAsia="zh-CN"/>
                <w14:textFill>
                  <w14:solidFill>
                    <w14:schemeClr w14:val="tx1"/>
                  </w14:solidFill>
                </w14:textFill>
              </w:rPr>
              <w:t>见附图</w:t>
            </w:r>
            <w:r>
              <w:rPr>
                <w:rFonts w:hint="eastAsia" w:ascii="Times New Roman" w:hAnsi="Times New Roman" w:eastAsia="宋体" w:cs="Times New Roman"/>
                <w:bCs/>
                <w:color w:val="000000" w:themeColor="text1"/>
                <w:kern w:val="0"/>
                <w:sz w:val="24"/>
                <w:highlight w:val="none"/>
                <w:lang w:val="en-US" w:eastAsia="zh-CN"/>
                <w14:textFill>
                  <w14:solidFill>
                    <w14:schemeClr w14:val="tx1"/>
                  </w14:solidFill>
                </w14:textFill>
              </w:rPr>
              <w:t>8</w:t>
            </w:r>
            <w:r>
              <w:rPr>
                <w:rFonts w:hint="default" w:ascii="Times New Roman" w:hAnsi="Times New Roman" w:eastAsia="宋体" w:cs="Times New Roman"/>
                <w:bCs/>
                <w:color w:val="000000" w:themeColor="text1"/>
                <w:kern w:val="0"/>
                <w:sz w:val="24"/>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73" w:hRule="atLeast"/>
          <w:jc w:val="center"/>
        </w:trPr>
        <w:tc>
          <w:tcPr>
            <w:tcW w:w="453" w:type="dxa"/>
            <w:vAlign w:val="center"/>
          </w:tcPr>
          <w:p>
            <w:pPr>
              <w:pageBreakBefore w:val="0"/>
              <w:kinsoku/>
              <w:bidi w:val="0"/>
              <w:adjustRightInd w:val="0"/>
              <w:snapToGrid w:val="0"/>
              <w:spacing w:beforeAutospacing="0" w:afterAutospacing="0"/>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 w:val="24"/>
                <w:szCs w:val="24"/>
                <w:highlight w:val="none"/>
                <w14:textFill>
                  <w14:solidFill>
                    <w14:schemeClr w14:val="tx1"/>
                  </w14:solidFill>
                </w14:textFill>
              </w:rPr>
              <w:t>项目组成及规模</w:t>
            </w:r>
          </w:p>
        </w:tc>
        <w:tc>
          <w:tcPr>
            <w:tcW w:w="9175" w:type="dxa"/>
            <w:vAlign w:val="center"/>
          </w:tcPr>
          <w:p>
            <w:pPr>
              <w:pStyle w:val="11"/>
              <w:pageBreakBefore w:val="0"/>
              <w:kinsoku/>
              <w:bidi w:val="0"/>
              <w:spacing w:beforeAutospacing="0" w:afterAutospacing="0"/>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32"/>
                <w:szCs w:val="32"/>
                <w:highlight w:val="none"/>
                <w:lang w:val="en-US" w:eastAsia="zh-CN"/>
                <w14:textFill>
                  <w14:solidFill>
                    <w14:schemeClr w14:val="tx1"/>
                  </w14:solidFill>
                </w14:textFill>
              </w:rPr>
              <w:t>2.2项目背景</w:t>
            </w:r>
          </w:p>
          <w:p>
            <w:pPr>
              <w:pStyle w:val="133"/>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jc w:val="both"/>
              <w:textAlignment w:val="auto"/>
              <w:outlineLvl w:val="9"/>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本项目的建设可促进福鼎市经济发展，满足腹地内物流行业迅速发展的需要，同时缓解沙埕港区内码头运输能力不足的需要，为福鼎市白琳金山工业项目区、龙安业园区及周边工业园区发展提供基础。</w:t>
            </w:r>
          </w:p>
          <w:p>
            <w:pPr>
              <w:pStyle w:val="133"/>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jc w:val="both"/>
              <w:textAlignment w:val="auto"/>
              <w:outlineLvl w:val="9"/>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福鼎市国土资源局</w:t>
            </w:r>
            <w:r>
              <w:rPr>
                <w:rFonts w:hint="default" w:ascii="Times New Roman" w:hAnsi="Times New Roman" w:eastAsia="宋体" w:cs="Times New Roman"/>
                <w:color w:val="000000" w:themeColor="text1"/>
                <w:sz w:val="24"/>
                <w:szCs w:val="24"/>
                <w:highlight w:val="none"/>
                <w14:textFill>
                  <w14:solidFill>
                    <w14:schemeClr w14:val="tx1"/>
                  </w14:solidFill>
                </w14:textFill>
              </w:rPr>
              <w:t>于20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11</w:t>
            </w:r>
            <w:r>
              <w:rPr>
                <w:rFonts w:hint="default" w:ascii="Times New Roman" w:hAnsi="Times New Roman" w:eastAsia="宋体" w:cs="Times New Roman"/>
                <w:color w:val="000000" w:themeColor="text1"/>
                <w:sz w:val="24"/>
                <w:szCs w:val="24"/>
                <w:highlight w:val="none"/>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highlight w:val="none"/>
                <w14:textFill>
                  <w14:solidFill>
                    <w14:schemeClr w14:val="tx1"/>
                  </w14:solidFill>
                </w14:textFill>
              </w:rPr>
              <w:t>月</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19</w:t>
            </w:r>
            <w:r>
              <w:rPr>
                <w:rFonts w:hint="default" w:ascii="Times New Roman" w:hAnsi="Times New Roman" w:eastAsia="宋体" w:cs="Times New Roman"/>
                <w:color w:val="000000" w:themeColor="text1"/>
                <w:sz w:val="24"/>
                <w:szCs w:val="24"/>
                <w:highlight w:val="none"/>
                <w14:textFill>
                  <w14:solidFill>
                    <w14:schemeClr w14:val="tx1"/>
                  </w14:solidFill>
                </w14:textFill>
              </w:rPr>
              <w:t>日在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福鼎市</w:t>
            </w:r>
            <w:r>
              <w:rPr>
                <w:rFonts w:hint="default" w:ascii="Times New Roman" w:hAnsi="Times New Roman" w:eastAsia="宋体" w:cs="Times New Roman"/>
                <w:color w:val="000000" w:themeColor="text1"/>
                <w:sz w:val="24"/>
                <w:szCs w:val="24"/>
                <w:highlight w:val="none"/>
                <w14:textFill>
                  <w14:solidFill>
                    <w14:schemeClr w14:val="tx1"/>
                  </w14:solidFill>
                </w14:textFill>
              </w:rPr>
              <w:t>举办福鼎市白琳镇白岩村、沿洲村01地块公开拍卖活动，福建万成港口开发有限公司竞得该</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地块国有建设用地使用权</w:t>
            </w:r>
            <w:r>
              <w:rPr>
                <w:rFonts w:hint="default" w:ascii="Times New Roman" w:hAnsi="Times New Roman" w:eastAsia="宋体" w:cs="Times New Roman"/>
                <w:color w:val="000000" w:themeColor="text1"/>
                <w:sz w:val="24"/>
                <w:szCs w:val="24"/>
                <w:highlight w:val="none"/>
                <w14:textFill>
                  <w14:solidFill>
                    <w14:schemeClr w14:val="tx1"/>
                  </w14:solidFill>
                </w14:textFill>
              </w:rPr>
              <w:t>，成为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该场地</w:t>
            </w:r>
            <w:r>
              <w:rPr>
                <w:rFonts w:hint="default" w:ascii="Times New Roman" w:hAnsi="Times New Roman" w:eastAsia="宋体" w:cs="Times New Roman"/>
                <w:color w:val="000000" w:themeColor="text1"/>
                <w:sz w:val="24"/>
                <w:szCs w:val="24"/>
                <w:highlight w:val="none"/>
                <w14:textFill>
                  <w14:solidFill>
                    <w14:schemeClr w14:val="tx1"/>
                  </w14:solidFill>
                </w14:textFill>
              </w:rPr>
              <w:t>法定买受人。</w:t>
            </w:r>
          </w:p>
          <w:p>
            <w:pPr>
              <w:pStyle w:val="133"/>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福鼎市住房和城乡建设规划局于2013年4月22日批准通过了《福鼎市住建局关于确定万成物流仓储及配套码头项目选址意见的复函》（鼎建村[2013]14号），允许</w:t>
            </w:r>
            <w:r>
              <w:rPr>
                <w:rFonts w:hint="default" w:ascii="Times New Roman" w:hAnsi="Times New Roman" w:eastAsia="宋体" w:cs="Times New Roman"/>
                <w:color w:val="000000" w:themeColor="text1"/>
                <w:sz w:val="24"/>
                <w:szCs w:val="24"/>
                <w:highlight w:val="none"/>
                <w14:textFill>
                  <w14:solidFill>
                    <w14:schemeClr w14:val="tx1"/>
                  </w14:solidFill>
                </w14:textFill>
              </w:rPr>
              <w:t>福鼎市白琳镇白岩村、沿洲村01地块</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用于建设成物流仓储及配套码头项目，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详见附件6。</w:t>
            </w:r>
          </w:p>
          <w:p>
            <w:pPr>
              <w:pStyle w:val="133"/>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福鼎市国土资源局</w:t>
            </w:r>
            <w:r>
              <w:rPr>
                <w:rFonts w:hint="default" w:ascii="Times New Roman" w:hAnsi="Times New Roman" w:eastAsia="宋体" w:cs="Times New Roman"/>
                <w:color w:val="000000" w:themeColor="text1"/>
                <w:sz w:val="24"/>
                <w:szCs w:val="24"/>
                <w:highlight w:val="none"/>
                <w14:textFill>
                  <w14:solidFill>
                    <w14:schemeClr w14:val="tx1"/>
                  </w14:solidFill>
                </w14:textFill>
              </w:rPr>
              <w:t>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2014年12月15日出让白琳镇沿洲村、白岩村4号地块国有建设用地使用权于</w:t>
            </w:r>
            <w:r>
              <w:rPr>
                <w:rFonts w:hint="default" w:ascii="Times New Roman" w:hAnsi="Times New Roman" w:eastAsia="宋体" w:cs="Times New Roman"/>
                <w:color w:val="000000" w:themeColor="text1"/>
                <w:sz w:val="24"/>
                <w:szCs w:val="24"/>
                <w:highlight w:val="none"/>
                <w14:textFill>
                  <w14:solidFill>
                    <w14:schemeClr w14:val="tx1"/>
                  </w14:solidFill>
                </w14:textFill>
              </w:rPr>
              <w:t>福建万成港口开发有限公司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并签订《国有建设用地使用权出让合同（35098220130609G052）》。并于2014年12月17日出具《建设用地规划许可证（地字第350982201420077号）》，规划万成物流仓储及配套码头项目用地性质为工业仓储用地。</w:t>
            </w:r>
          </w:p>
          <w:p>
            <w:pPr>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福建省华庭建筑设计有限公司于202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月编制了《万成物流仓储及配套码头场地预处理整平方案》，于202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月通过了评审，该</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14:textFill>
                  <w14:solidFill>
                    <w14:schemeClr w14:val="tx1"/>
                  </w14:solidFill>
                </w14:textFill>
              </w:rPr>
              <w:t>拟建填方部分位于滩涂养殖地，是海湾滩涂和浅海地貌单元连接地带，设计整平黄海标高为5.10m，目前厂区回填部分表层为淤泥，厚度约为4.0</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21.4m，场地的回填厚度约为3.81</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8.23m，平均填土约为4.5米</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。拟建挖方部分处于山坡地，山坡顶部黄海标高为37.28m，主要土层是由残积粘性土、全风化凝灰岩、强风化凝灰岩和中风化凝灰岩组成。</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目前项目东南侧已平整至黄海标高5.1m。</w:t>
            </w:r>
          </w:p>
          <w:p>
            <w:pPr>
              <w:pStyle w:val="133"/>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202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14:textFill>
                  <w14:solidFill>
                    <w14:schemeClr w14:val="tx1"/>
                  </w14:solidFill>
                </w14:textFill>
              </w:rPr>
              <w:t>月</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福建万成港口开发有限公司</w:t>
            </w:r>
            <w:r>
              <w:rPr>
                <w:rFonts w:hint="default" w:ascii="Times New Roman" w:hAnsi="Times New Roman" w:eastAsia="宋体" w:cs="Times New Roman"/>
                <w:color w:val="000000" w:themeColor="text1"/>
                <w:sz w:val="24"/>
                <w:szCs w:val="24"/>
                <w:highlight w:val="none"/>
                <w14:textFill>
                  <w14:solidFill>
                    <w14:schemeClr w14:val="tx1"/>
                  </w14:solidFill>
                </w14:textFill>
              </w:rPr>
              <w:t>委托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福建悟海工程咨询有限公司</w:t>
            </w:r>
            <w:r>
              <w:rPr>
                <w:rFonts w:hint="default" w:ascii="Times New Roman" w:hAnsi="Times New Roman" w:eastAsia="宋体" w:cs="Times New Roman"/>
                <w:color w:val="000000" w:themeColor="text1"/>
                <w:sz w:val="24"/>
                <w:szCs w:val="24"/>
                <w:highlight w:val="none"/>
                <w14:textFill>
                  <w14:solidFill>
                    <w14:schemeClr w14:val="tx1"/>
                  </w14:solidFill>
                </w14:textFill>
              </w:rPr>
              <w:t>进行</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填海生态评估</w:t>
            </w:r>
            <w:r>
              <w:rPr>
                <w:rFonts w:hint="default" w:ascii="Times New Roman" w:hAnsi="Times New Roman" w:eastAsia="宋体" w:cs="Times New Roman"/>
                <w:color w:val="000000" w:themeColor="text1"/>
                <w:sz w:val="24"/>
                <w:szCs w:val="24"/>
                <w:highlight w:val="none"/>
                <w14:textFill>
                  <w14:solidFill>
                    <w14:schemeClr w14:val="tx1"/>
                  </w14:solidFill>
                </w14:textFill>
              </w:rPr>
              <w:t>，完成《万成港口开发有限公司用地围填海生态评估报告》</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并通过评审，认定“继续填海对海洋生态功能、海洋水动力环境、海洋生物多样性影响较小，项目继续填海是可行的”</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ageBreakBefore w:val="0"/>
              <w:kinsoku/>
              <w:bidi w:val="0"/>
              <w:spacing w:beforeAutospacing="0" w:afterAutospacing="0" w:line="360" w:lineRule="auto"/>
              <w:ind w:firstLine="48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本项目于2012年3月12日通过福鼎市发展和改革局备案审批，编号为闽发改备[2012]J03004号，拟建设物流仓储4个综合堆场，4个综合仓库、综合楼及配套3000吨级（结构等级1万吨）通用泊位5个。2013年2月7日，由于实际建设需求本项目委托中交武汉港湾工程设计研究院有限公司编制《福州港沙埕港区万成物流码头工程可行性研究报告》并通过评审（宁德市发展和改革委员会专题会议纪要[2013]2号），详见附件9。</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最终建设方案以可研报告方中推荐方案进行，</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拟建设2个散货堆场、4个件杂货堆场、3个综合仓库、3个物流仓储堆场、2个物流仓储仓库，年吞吐量为190万吨，其中河砂40万吨、碎石60万吨、非金属矿10万吨及80万吨件散货。本评价建设内容以可研报告为准</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因建设过程中材料运输需求，需建设临时码头，所以</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福建万成港口开发有限公司</w:t>
            </w:r>
            <w:r>
              <w:rPr>
                <w:rFonts w:hint="eastAsia"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2022年8月委托福州国榕市政工程设计有限公司进行万成物流仓储项目施工设计，</w:t>
            </w:r>
            <w:r>
              <w:rPr>
                <w:rFonts w:hint="eastAsia" w:ascii="Times New Roman" w:hAnsi="Times New Roman" w:eastAsia="宋体" w:cs="宋体"/>
                <w:color w:val="000000" w:themeColor="text1"/>
                <w:sz w:val="24"/>
                <w:szCs w:val="24"/>
                <w:highlight w:val="none"/>
                <w:lang w:val="en-US" w:eastAsia="zh-CN"/>
                <w14:textFill>
                  <w14:solidFill>
                    <w14:schemeClr w14:val="tx1"/>
                  </w14:solidFill>
                </w14:textFill>
              </w:rPr>
              <w:t>并通过评审，计划建设1座5000吨级（水工结构兼顾10000吨级）临时出货码头及驳岸结构以及相应配套给排水、环保及辅助设施等，设计年吞吐量150万吨，设计年通过能力为160.5万吨。</w:t>
            </w:r>
            <w:r>
              <w:rPr>
                <w:rFonts w:hint="eastAsia"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该码头属施工期临时配套工程及围填海配套工程，施工期结束即拆除。临时码头泊岸平台已平整并完成水泥浇筑。</w:t>
            </w:r>
          </w:p>
          <w:p>
            <w:pPr>
              <w:pageBreakBefore w:val="0"/>
              <w:kinsoku/>
              <w:bidi w:val="0"/>
              <w:spacing w:beforeAutospacing="0" w:afterAutospacing="0" w:line="360" w:lineRule="auto"/>
              <w:ind w:firstLine="48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本次评价范围</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包括万成物流仓储码头及其堆场的施工期及运营期影响</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，不涉及围填海作业。</w:t>
            </w:r>
          </w:p>
          <w:p>
            <w:pPr>
              <w:pageBreakBefore w:val="0"/>
              <w:kinsoku/>
              <w:bidi w:val="0"/>
              <w:spacing w:beforeAutospacing="0" w:afterAutospacing="0" w:line="360" w:lineRule="auto"/>
              <w:ind w:firstLine="480"/>
              <w:rPr>
                <w:rFonts w:hint="default" w:ascii="Times New Roman" w:hAnsi="Times New Roman" w:eastAsia="宋体" w:cs="Times New Roman"/>
                <w:color w:val="000000" w:themeColor="text1"/>
                <w:spacing w:val="-2"/>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根据《中华人民共和国环境影响评价法》、</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《建设项目环境保护管理条例》、《建设项目环境影响评价分类管理名录》（2021年版）的相关规定，</w:t>
            </w:r>
            <w:r>
              <w:rPr>
                <w:rFonts w:hint="eastAsia" w:ascii="Times New Roman" w:hAnsi="Times New Roman" w:eastAsia="宋体" w:cs="Times New Roman"/>
                <w:color w:val="000000" w:themeColor="text1"/>
                <w:spacing w:val="-2"/>
                <w:sz w:val="24"/>
                <w:szCs w:val="24"/>
                <w:highlight w:val="none"/>
                <w:lang w:eastAsia="zh-CN"/>
                <w14:textFill>
                  <w14:solidFill>
                    <w14:schemeClr w14:val="tx1"/>
                  </w14:solidFill>
                </w14:textFill>
              </w:rPr>
              <w:t>本</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项目</w:t>
            </w:r>
            <w:r>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属于</w:t>
            </w:r>
            <w:r>
              <w:rPr>
                <w:rFonts w:hint="eastAsia"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“五十二、交通运输业、管道运输业—139干散货（含煤炭、矿石）、件杂、多用途、通用码头—其他”</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应编制环境影响报告表。</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为此</w:t>
            </w:r>
            <w:r>
              <w:rPr>
                <w:rFonts w:hint="eastAsia" w:ascii="Times New Roman" w:hAnsi="Times New Roman" w:eastAsia="宋体" w:cs="Times New Roman"/>
                <w:color w:val="000000" w:themeColor="text1"/>
                <w:spacing w:val="-2"/>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福建万成港口开发有限公司委托福建省闽创环保科技有限公司编制《万成物流仓储项目环境影响评价报告表》，环评单位接受委托后立即组织有关技术人员进行了现场踏勘，并根据建设单位提供的基本资料以及相关法律法规、导则等材料，编制了该项目环境影响报告表，供建设单位报宁德市福鼎生态环境局审批。</w:t>
            </w:r>
          </w:p>
          <w:p>
            <w:pPr>
              <w:pStyle w:val="11"/>
              <w:pageBreakBefore w:val="0"/>
              <w:kinsoku/>
              <w:bidi w:val="0"/>
              <w:spacing w:beforeAutospacing="0" w:afterAutospacing="0"/>
              <w:rPr>
                <w:rFonts w:hint="eastAsia" w:ascii="Times New Roman" w:hAnsi="Times New Roman" w:eastAsia="宋体"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32"/>
                <w:szCs w:val="32"/>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 xml:space="preserve"> 项目</w:t>
            </w:r>
            <w:r>
              <w:rPr>
                <w:rFonts w:hint="eastAsia" w:ascii="Times New Roman" w:hAnsi="Times New Roman" w:eastAsia="宋体" w:cs="Times New Roman"/>
                <w:color w:val="000000" w:themeColor="text1"/>
                <w:sz w:val="32"/>
                <w:szCs w:val="32"/>
                <w:highlight w:val="none"/>
                <w:lang w:val="en-US" w:eastAsia="zh-CN"/>
                <w14:textFill>
                  <w14:solidFill>
                    <w14:schemeClr w14:val="tx1"/>
                  </w14:solidFill>
                </w14:textFill>
              </w:rPr>
              <w:t>概况</w:t>
            </w:r>
          </w:p>
          <w:p>
            <w:pPr>
              <w:pStyle w:val="11"/>
              <w:pageBreakBefore w:val="0"/>
              <w:kinsoku/>
              <w:bidi w:val="0"/>
              <w:spacing w:beforeAutospacing="0" w:afterAutospacing="0"/>
              <w:rPr>
                <w:rFonts w:hint="default" w:ascii="Times New Roman" w:hAnsi="Times New Roman" w:eastAsia="宋体"/>
                <w:color w:val="000000" w:themeColor="text1"/>
                <w:sz w:val="28"/>
                <w:szCs w:val="28"/>
                <w:lang w:val="en-US" w:eastAsia="zh-CN"/>
                <w14:textFill>
                  <w14:solidFill>
                    <w14:schemeClr w14:val="tx1"/>
                  </w14:solidFill>
                </w14:textFill>
              </w:rPr>
            </w:pPr>
            <w:r>
              <w:rPr>
                <w:rFonts w:hint="eastAsia" w:ascii="Times New Roman" w:hAnsi="Times New Roman" w:eastAsia="宋体"/>
                <w:color w:val="000000" w:themeColor="text1"/>
                <w:sz w:val="28"/>
                <w:szCs w:val="28"/>
                <w:lang w:val="en-US" w:eastAsia="zh-CN"/>
                <w14:textFill>
                  <w14:solidFill>
                    <w14:schemeClr w14:val="tx1"/>
                  </w14:solidFill>
                </w14:textFill>
              </w:rPr>
              <w:t>2.3.1 项目基本情况</w:t>
            </w:r>
          </w:p>
          <w:p>
            <w:pPr>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（1）项目名称：</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万成物流仓储项目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（2）建设单位：</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福建万成港口开发有限公司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（3）建设地点：</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福建省宁德市福鼎市白琳镇沿州村</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（4）项目投资：总投资</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50000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万元；</w:t>
            </w:r>
          </w:p>
          <w:p>
            <w:pPr>
              <w:pageBreakBefore w:val="0"/>
              <w:kinsoku/>
              <w:bidi w:val="0"/>
              <w:spacing w:beforeAutospacing="0" w:afterAutospacing="0" w:line="360" w:lineRule="auto"/>
              <w:ind w:firstLine="480" w:firstLineChars="20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建设性质：新建</w:t>
            </w:r>
          </w:p>
          <w:p>
            <w:pPr>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用地类型</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工业仓储用地</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pageBreakBefore w:val="0"/>
              <w:kinsoku/>
              <w:bidi w:val="0"/>
              <w:spacing w:beforeAutospacing="0" w:afterAutospacing="0" w:line="360" w:lineRule="auto"/>
              <w:ind w:firstLine="480" w:firstLineChars="200"/>
              <w:rPr>
                <w:rFonts w:hint="default" w:ascii="Times New Roman" w:hAnsi="Times New Roman" w:eastAsia="宋体"/>
                <w:color w:val="000000" w:themeColor="text1"/>
                <w:highlight w:val="none"/>
                <w:lang w:val="en-US"/>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）建设规模：</w:t>
            </w:r>
            <w:r>
              <w:rPr>
                <w:rFonts w:hint="default" w:ascii="Times New Roman" w:hAnsi="Times New Roman" w:eastAsia="宋体" w:cs="Times New Roman"/>
                <w:color w:val="000000" w:themeColor="text1"/>
                <w:sz w:val="24"/>
                <w:szCs w:val="24"/>
                <w:highlight w:val="none"/>
                <w14:textFill>
                  <w14:solidFill>
                    <w14:schemeClr w14:val="tx1"/>
                  </w14:solidFill>
                </w14:textFill>
              </w:rPr>
              <w:t>物流仓储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highlight w:val="none"/>
                <w14:textFill>
                  <w14:solidFill>
                    <w14:schemeClr w14:val="tx1"/>
                  </w14:solidFill>
                </w14:textFill>
              </w:rPr>
              <w:t>个综合堆场，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个综合仓库、</w:t>
            </w:r>
            <w:r>
              <w:rPr>
                <w:rFonts w:hint="default" w:ascii="Times New Roman" w:hAnsi="Times New Roman" w:eastAsia="宋体" w:cs="Times New Roman"/>
                <w:color w:val="000000" w:themeColor="text1"/>
                <w:sz w:val="24"/>
                <w:szCs w:val="24"/>
                <w:highlight w:val="none"/>
                <w14:textFill>
                  <w14:solidFill>
                    <w14:schemeClr w14:val="tx1"/>
                  </w14:solidFill>
                </w14:textFill>
              </w:rPr>
              <w:t>综合楼及配套3000吨级（结构等级1万吨）通用泊位5个；年吞吐量为190万吨，其中河砂40万吨、碎石60万吨、非金属矿10万吨及80万吨件散货</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石板材50万吨、钢材30万吨</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围填海作业不属于本次建设内容。</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）职工人数：</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新增</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生产定员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不住宿</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）工作天数：年生产天数</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330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d，每天</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h。</w:t>
            </w:r>
          </w:p>
          <w:p>
            <w:pPr>
              <w:pStyle w:val="11"/>
              <w:pageBreakBefore w:val="0"/>
              <w:kinsoku/>
              <w:bidi w:val="0"/>
              <w:spacing w:beforeAutospacing="0" w:afterAutospacing="0"/>
              <w:rPr>
                <w:rFonts w:hint="eastAsia" w:ascii="Times New Roman" w:hAnsi="Times New Roman" w:eastAsia="宋体" w:cs="Times New Roman"/>
                <w:color w:val="000000" w:themeColor="text1"/>
                <w:sz w:val="32"/>
                <w:szCs w:val="32"/>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32"/>
                <w:szCs w:val="32"/>
                <w:highlight w:val="none"/>
                <w:lang w:val="en-US" w:eastAsia="zh-CN"/>
                <w14:textFill>
                  <w14:solidFill>
                    <w14:schemeClr w14:val="tx1"/>
                  </w14:solidFill>
                </w14:textFill>
              </w:rPr>
              <w:t xml:space="preserve">2.4 </w:t>
            </w:r>
            <w:r>
              <w:rPr>
                <w:rFonts w:hint="default" w:ascii="Times New Roman" w:hAnsi="Times New Roman" w:eastAsia="宋体" w:cs="Times New Roman"/>
                <w:b/>
                <w:color w:val="000000" w:themeColor="text1"/>
                <w:sz w:val="32"/>
                <w:szCs w:val="32"/>
                <w:highlight w:val="none"/>
                <w:lang w:val="en-US" w:eastAsia="zh-CN"/>
                <w14:textFill>
                  <w14:solidFill>
                    <w14:schemeClr w14:val="tx1"/>
                  </w14:solidFill>
                </w14:textFill>
              </w:rPr>
              <w:t>主要建设内容及规模</w:t>
            </w:r>
          </w:p>
          <w:p>
            <w:pPr>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主要为</w:t>
            </w:r>
            <w:r>
              <w:rPr>
                <w:rFonts w:hint="eastAsia" w:ascii="Times New Roman" w:hAnsi="Times New Roman" w:eastAsia="宋体" w:cs="Times New Roman"/>
                <w:b w:val="0"/>
                <w:color w:val="000000" w:themeColor="text1"/>
                <w:sz w:val="24"/>
                <w:szCs w:val="24"/>
                <w:highlight w:val="none"/>
                <w:lang w:val="en-US" w:eastAsia="zh-CN"/>
                <w14:textFill>
                  <w14:solidFill>
                    <w14:schemeClr w14:val="tx1"/>
                  </w14:solidFill>
                </w14:textFill>
              </w:rPr>
              <w:t>物流仓储及配套码头</w:t>
            </w:r>
            <w:r>
              <w:rPr>
                <w:rFonts w:hint="default" w:ascii="Times New Roman" w:hAnsi="Times New Roman" w:eastAsia="宋体" w:cs="Times New Roman"/>
                <w:color w:val="000000" w:themeColor="text1"/>
                <w:sz w:val="24"/>
                <w:szCs w:val="24"/>
                <w:highlight w:val="none"/>
                <w14:textFill>
                  <w14:solidFill>
                    <w14:schemeClr w14:val="tx1"/>
                  </w14:solidFill>
                </w14:textFill>
              </w:rPr>
              <w:t>，工程组成及建设内容见表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2.4-1</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ageBreakBefore w:val="0"/>
              <w:kinsoku/>
              <w:bidi w:val="0"/>
              <w:spacing w:beforeAutospacing="0" w:afterAutospacing="0" w:line="240" w:lineRule="auto"/>
              <w:ind w:left="0" w:leftChars="0" w:firstLine="0" w:firstLineChars="0"/>
              <w:jc w:val="cente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表 </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2.4-1 </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项目主要工程内容</w:t>
            </w:r>
          </w:p>
          <w:tbl>
            <w:tblPr>
              <w:tblStyle w:val="128"/>
              <w:tblW w:w="8954"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0" w:type="dxa"/>
                <w:bottom w:w="0" w:type="dxa"/>
                <w:right w:w="0" w:type="dxa"/>
              </w:tblCellMar>
            </w:tblPr>
            <w:tblGrid>
              <w:gridCol w:w="337"/>
              <w:gridCol w:w="360"/>
              <w:gridCol w:w="1639"/>
              <w:gridCol w:w="6618"/>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00" w:hRule="atLeast"/>
                <w:jc w:val="center"/>
              </w:trPr>
              <w:tc>
                <w:tcPr>
                  <w:tcW w:w="69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pacing w:val="-3"/>
                      <w:sz w:val="21"/>
                      <w:szCs w:val="21"/>
                      <w:highlight w:val="none"/>
                      <w14:textFill>
                        <w14:solidFill>
                          <w14:schemeClr w14:val="tx1"/>
                        </w14:solidFill>
                      </w14:textFill>
                    </w:rPr>
                    <w:t>项目</w:t>
                  </w:r>
                </w:p>
              </w:tc>
              <w:tc>
                <w:tcPr>
                  <w:tcW w:w="1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pacing w:val="-2"/>
                      <w:sz w:val="21"/>
                      <w:szCs w:val="21"/>
                      <w:highlight w:val="none"/>
                      <w14:textFill>
                        <w14:solidFill>
                          <w14:schemeClr w14:val="tx1"/>
                        </w14:solidFill>
                      </w14:textFill>
                    </w:rPr>
                    <w:t>建设内容</w:t>
                  </w:r>
                </w:p>
              </w:tc>
              <w:tc>
                <w:tcPr>
                  <w:tcW w:w="66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pacing w:val="-2"/>
                      <w:sz w:val="21"/>
                      <w:szCs w:val="21"/>
                      <w:highlight w:val="none"/>
                      <w14:textFill>
                        <w14:solidFill>
                          <w14:schemeClr w14:val="tx1"/>
                        </w14:solidFill>
                      </w14:textFill>
                    </w:rPr>
                    <w:t>具体建设参数</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62" w:hRule="atLeast"/>
                <w:jc w:val="center"/>
              </w:trPr>
              <w:tc>
                <w:tcPr>
                  <w:tcW w:w="697" w:type="dxa"/>
                  <w:gridSpan w:val="2"/>
                  <w:vMerge w:val="restart"/>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主体工程</w:t>
                  </w:r>
                </w:p>
              </w:tc>
              <w:tc>
                <w:tcPr>
                  <w:tcW w:w="163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泊位</w:t>
                  </w:r>
                </w:p>
              </w:tc>
              <w:tc>
                <w:tcPr>
                  <w:tcW w:w="6618" w:type="dxa"/>
                  <w:tcBorders>
                    <w:tl2br w:val="nil"/>
                    <w:tr2bl w:val="nil"/>
                  </w:tcBorders>
                  <w:vAlign w:val="top"/>
                </w:tcPr>
                <w:p>
                  <w:pPr>
                    <w:pageBreakBefore w:val="0"/>
                    <w:kinsoku/>
                    <w:bidi w:val="0"/>
                    <w:adjustRightInd w:val="0"/>
                    <w:snapToGrid w:val="0"/>
                    <w:spacing w:beforeAutospacing="0" w:afterAutospacing="0"/>
                    <w:jc w:val="both"/>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300</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0</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吨</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杂货船</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货泊位</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个</w:t>
                  </w:r>
                  <w: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1#、2#、3#泊位长度为384m，4</w:t>
                  </w:r>
                  <w: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5</w:t>
                  </w:r>
                  <w: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t>#泊位长度</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为260m,</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62" w:hRule="atLeast"/>
                <w:jc w:val="center"/>
              </w:trPr>
              <w:tc>
                <w:tcPr>
                  <w:tcW w:w="697" w:type="dxa"/>
                  <w:gridSpan w:val="2"/>
                  <w:vMerge w:val="continue"/>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1639" w:type="dxa"/>
                  <w:tcBorders>
                    <w:tl2br w:val="nil"/>
                    <w:tr2bl w:val="nil"/>
                  </w:tcBorders>
                  <w:vAlign w:val="center"/>
                </w:tcPr>
                <w:p>
                  <w:pPr>
                    <w:pageBreakBefore w:val="0"/>
                    <w:kinsoku/>
                    <w:bidi w:val="0"/>
                    <w:adjustRightInd w:val="0"/>
                    <w:snapToGrid w:val="0"/>
                    <w:spacing w:beforeAutospacing="0" w:afterAutospacing="0"/>
                    <w:jc w:val="cente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码头平台</w:t>
                  </w:r>
                </w:p>
              </w:tc>
              <w:tc>
                <w:tcPr>
                  <w:tcW w:w="6618" w:type="dxa"/>
                  <w:tcBorders>
                    <w:tl2br w:val="nil"/>
                    <w:tr2bl w:val="nil"/>
                  </w:tcBorders>
                  <w:vAlign w:val="top"/>
                </w:tcPr>
                <w:p>
                  <w:pPr>
                    <w:pageBreakBefore w:val="0"/>
                    <w:kinsoku/>
                    <w:bidi w:val="0"/>
                    <w:adjustRightInd w:val="0"/>
                    <w:snapToGrid w:val="0"/>
                    <w:spacing w:beforeAutospacing="0" w:afterAutospacing="0"/>
                    <w:jc w:val="both"/>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码头前沿线布置在-9~-12m水深处。码头前沿线距主航道边线约160m。码头面高程均为5.0m，码头前沿底标高-10.1m。</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五</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个泊位总长644m，其</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中</w:t>
                  </w:r>
                  <w: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t>1-3#</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泊位总长384m</w:t>
                  </w:r>
                  <w: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t>，4-5#</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泊位长260m，</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前方作业地带宽均为35m，面高程均为5.0m。</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1371" w:hRule="atLeast"/>
                <w:jc w:val="center"/>
              </w:trPr>
              <w:tc>
                <w:tcPr>
                  <w:tcW w:w="697" w:type="dxa"/>
                  <w:gridSpan w:val="2"/>
                  <w:vMerge w:val="continue"/>
                  <w:tcBorders>
                    <w:tl2br w:val="nil"/>
                    <w:tr2bl w:val="nil"/>
                  </w:tcBorders>
                  <w:vAlign w:val="top"/>
                </w:tcPr>
                <w:p>
                  <w:pPr>
                    <w:pageBreakBefore w:val="0"/>
                    <w:kinsoku/>
                    <w:bidi w:val="0"/>
                    <w:adjustRightInd w:val="0"/>
                    <w:snapToGrid w:val="0"/>
                    <w:spacing w:beforeAutospacing="0" w:afterAutospacing="0"/>
                    <w:jc w:val="both"/>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1639" w:type="dxa"/>
                  <w:tcBorders>
                    <w:tl2br w:val="nil"/>
                    <w:tr2bl w:val="nil"/>
                  </w:tcBorders>
                  <w:vAlign w:val="center"/>
                </w:tcPr>
                <w:p>
                  <w:pPr>
                    <w:pageBreakBefore w:val="0"/>
                    <w:kinsoku/>
                    <w:bidi w:val="0"/>
                    <w:adjustRightInd w:val="0"/>
                    <w:snapToGrid w:val="0"/>
                    <w:spacing w:beforeAutospacing="0" w:afterAutospacing="0"/>
                    <w:jc w:val="cente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陆域设置</w:t>
                  </w:r>
                </w:p>
              </w:tc>
              <w:tc>
                <w:tcPr>
                  <w:tcW w:w="6618" w:type="dxa"/>
                  <w:tcBorders>
                    <w:tl2br w:val="nil"/>
                    <w:tr2bl w:val="nil"/>
                  </w:tcBorders>
                  <w:vAlign w:val="top"/>
                </w:tcPr>
                <w:p>
                  <w:pPr>
                    <w:pageBreakBefore w:val="0"/>
                    <w:kinsoku/>
                    <w:bidi w:val="0"/>
                    <w:adjustRightInd w:val="0"/>
                    <w:snapToGrid w:val="0"/>
                    <w:spacing w:beforeAutospacing="0" w:afterAutospacing="0"/>
                    <w:jc w:val="both"/>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陆域布置在码头正后方和东南侧，码头正后方的陆域布置有2个散货堆场(面积36495m</w:t>
                  </w:r>
                  <w:r>
                    <w:rPr>
                      <w:rFonts w:hint="default" w:ascii="Times New Roman" w:hAnsi="Times New Roman" w:eastAsia="宋体" w:cs="Times New Roman"/>
                      <w:bCs/>
                      <w:color w:val="000000" w:themeColor="text1"/>
                      <w:sz w:val="21"/>
                      <w:szCs w:val="21"/>
                      <w:highlight w:val="none"/>
                      <w:vertAlign w:val="superscript"/>
                      <w:lang w:eastAsia="zh-CN"/>
                      <w14:textFill>
                        <w14:solidFill>
                          <w14:schemeClr w14:val="tx1"/>
                        </w14:solidFill>
                      </w14:textFill>
                    </w:rPr>
                    <w:t>2</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)、4个件杂货堆场(面积34330m</w:t>
                  </w:r>
                  <w:r>
                    <w:rPr>
                      <w:rFonts w:hint="default" w:ascii="Times New Roman" w:hAnsi="Times New Roman" w:eastAsia="宋体" w:cs="Times New Roman"/>
                      <w:bCs/>
                      <w:color w:val="000000" w:themeColor="text1"/>
                      <w:sz w:val="21"/>
                      <w:szCs w:val="21"/>
                      <w:highlight w:val="none"/>
                      <w:vertAlign w:val="superscript"/>
                      <w:lang w:eastAsia="zh-CN"/>
                      <w14:textFill>
                        <w14:solidFill>
                          <w14:schemeClr w14:val="tx1"/>
                        </w14:solidFill>
                      </w14:textFill>
                    </w:rPr>
                    <w:t>2</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)、3个综合仓库(面积12528m</w:t>
                  </w:r>
                  <w:r>
                    <w:rPr>
                      <w:rFonts w:hint="default" w:ascii="Times New Roman" w:hAnsi="Times New Roman" w:eastAsia="宋体" w:cs="Times New Roman"/>
                      <w:bCs/>
                      <w:color w:val="000000" w:themeColor="text1"/>
                      <w:sz w:val="21"/>
                      <w:szCs w:val="21"/>
                      <w:highlight w:val="none"/>
                      <w:vertAlign w:val="superscript"/>
                      <w:lang w:eastAsia="zh-CN"/>
                      <w14:textFill>
                        <w14:solidFill>
                          <w14:schemeClr w14:val="tx1"/>
                        </w14:solidFill>
                      </w14:textFill>
                    </w:rPr>
                    <w:t>2</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)，为满足项目的物流仓储功能，码头的东南侧陆域布置有3个物流仓储堆场(面积38715m</w:t>
                  </w:r>
                  <w:r>
                    <w:rPr>
                      <w:rFonts w:hint="default" w:ascii="Times New Roman" w:hAnsi="Times New Roman" w:eastAsia="宋体" w:cs="Times New Roman"/>
                      <w:bCs/>
                      <w:color w:val="000000" w:themeColor="text1"/>
                      <w:sz w:val="21"/>
                      <w:szCs w:val="21"/>
                      <w:highlight w:val="none"/>
                      <w:vertAlign w:val="superscript"/>
                      <w:lang w:eastAsia="zh-CN"/>
                      <w14:textFill>
                        <w14:solidFill>
                          <w14:schemeClr w14:val="tx1"/>
                        </w14:solidFill>
                      </w14:textFill>
                    </w:rPr>
                    <w:t>2</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)，2个物流仓储仓库(面积12960m</w:t>
                  </w:r>
                  <w:r>
                    <w:rPr>
                      <w:rFonts w:hint="default" w:ascii="Times New Roman" w:hAnsi="Times New Roman" w:eastAsia="宋体" w:cs="Times New Roman"/>
                      <w:bCs/>
                      <w:color w:val="000000" w:themeColor="text1"/>
                      <w:sz w:val="21"/>
                      <w:szCs w:val="21"/>
                      <w:highlight w:val="none"/>
                      <w:vertAlign w:val="superscript"/>
                      <w:lang w:eastAsia="zh-CN"/>
                      <w14:textFill>
                        <w14:solidFill>
                          <w14:schemeClr w14:val="tx1"/>
                        </w14:solidFill>
                      </w14:textFill>
                    </w:rPr>
                    <w:t>2</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)。此外，还布置港区生产、生活辅助区包括综合办公楼、物流仓储中心、宿舍楼、</w:t>
                  </w:r>
                  <w: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t>候工楼</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工具库、机械库、机修间、污水处理站、变电所以及泵房、消防水池等建筑物。码头正后方陆域和东南侧陆域通过一条宽12m的道路连接，港区在东南侧陆域区设1处出入口。另外，在生产管理区建筑物周围种植花草树木，防尘降噪、美化环境。</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62" w:hRule="atLeast"/>
                <w:jc w:val="center"/>
              </w:trPr>
              <w:tc>
                <w:tcPr>
                  <w:tcW w:w="697" w:type="dxa"/>
                  <w:gridSpan w:val="2"/>
                  <w:vMerge w:val="continue"/>
                  <w:tcBorders>
                    <w:tl2br w:val="nil"/>
                    <w:tr2bl w:val="nil"/>
                  </w:tcBorders>
                  <w:vAlign w:val="center"/>
                </w:tcPr>
                <w:p>
                  <w:pPr>
                    <w:pageBreakBefore w:val="0"/>
                    <w:kinsoku/>
                    <w:bidi w:val="0"/>
                    <w:adjustRightInd w:val="0"/>
                    <w:snapToGrid w:val="0"/>
                    <w:spacing w:beforeAutospacing="0" w:afterAutospacing="0"/>
                    <w:jc w:val="both"/>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1639" w:type="dxa"/>
                  <w:tcBorders>
                    <w:tl2br w:val="nil"/>
                    <w:tr2bl w:val="nil"/>
                  </w:tcBorders>
                  <w:vAlign w:val="center"/>
                </w:tcPr>
                <w:p>
                  <w:pPr>
                    <w:pageBreakBefore w:val="0"/>
                    <w:kinsoku/>
                    <w:bidi w:val="0"/>
                    <w:adjustRightInd w:val="0"/>
                    <w:snapToGrid w:val="0"/>
                    <w:spacing w:beforeAutospacing="0" w:afterAutospacing="0"/>
                    <w:jc w:val="cente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吞吐量</w:t>
                  </w:r>
                </w:p>
              </w:tc>
              <w:tc>
                <w:tcPr>
                  <w:tcW w:w="6618" w:type="dxa"/>
                  <w:tcBorders>
                    <w:tl2br w:val="nil"/>
                    <w:tr2bl w:val="nil"/>
                  </w:tcBorders>
                  <w:vAlign w:val="top"/>
                </w:tcPr>
                <w:p>
                  <w:pPr>
                    <w:pageBreakBefore w:val="0"/>
                    <w:kinsoku/>
                    <w:bidi w:val="0"/>
                    <w:adjustRightInd w:val="0"/>
                    <w:snapToGrid w:val="0"/>
                    <w:spacing w:beforeAutospacing="0" w:afterAutospacing="0"/>
                    <w:jc w:val="both"/>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码头货物年吞吐量</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195</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万吨，货物种类主要为粮食、建筑材料、 化肥、水产品、矿建材料、工农业产品、</w:t>
                  </w:r>
                  <w: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t>其他</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件杂货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79" w:hRule="atLeast"/>
                <w:jc w:val="center"/>
              </w:trPr>
              <w:tc>
                <w:tcPr>
                  <w:tcW w:w="69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t>配套工程</w:t>
                  </w:r>
                </w:p>
              </w:tc>
              <w:tc>
                <w:tcPr>
                  <w:tcW w:w="1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1"/>
                      <w:sz w:val="21"/>
                      <w:szCs w:val="21"/>
                      <w:highlight w:val="none"/>
                      <w:lang w:val="en-US" w:eastAsia="zh-CN"/>
                      <w14:textFill>
                        <w14:solidFill>
                          <w14:schemeClr w14:val="tx1"/>
                        </w14:solidFill>
                      </w14:textFill>
                    </w:rPr>
                    <w:t>临时配套加工设施</w:t>
                  </w:r>
                </w:p>
              </w:tc>
              <w:tc>
                <w:tcPr>
                  <w:tcW w:w="66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both"/>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7"/>
                      <w:sz w:val="21"/>
                      <w:szCs w:val="21"/>
                      <w:highlight w:val="none"/>
                      <w:lang w:val="en-US" w:eastAsia="zh-CN"/>
                      <w14:textFill>
                        <w14:solidFill>
                          <w14:schemeClr w14:val="tx1"/>
                        </w14:solidFill>
                      </w14:textFill>
                    </w:rPr>
                    <w:t>在场地平整范围南侧</w:t>
                  </w: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短期内投资建设欧版鄂破机、圆锥机、单缸圆锥机、</w:t>
                  </w:r>
                  <w:r>
                    <w:rPr>
                      <w:rFonts w:hint="eastAsia" w:ascii="Times New Roman" w:hAnsi="Times New Roman" w:eastAsia="宋体" w:cs="Times New Roman"/>
                      <w:color w:val="000000" w:themeColor="text1"/>
                      <w:spacing w:val="-7"/>
                      <w:sz w:val="21"/>
                      <w:szCs w:val="21"/>
                      <w:highlight w:val="none"/>
                      <w:lang w:eastAsia="zh-CN"/>
                      <w14:textFill>
                        <w14:solidFill>
                          <w14:schemeClr w14:val="tx1"/>
                        </w14:solidFill>
                      </w14:textFill>
                    </w:rPr>
                    <w:t>冲击破碎机</w:t>
                  </w: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w:t>
                  </w:r>
                  <w:r>
                    <w:rPr>
                      <w:rFonts w:hint="eastAsia" w:ascii="Times New Roman" w:hAnsi="Times New Roman" w:eastAsia="宋体" w:cs="Times New Roman"/>
                      <w:color w:val="000000" w:themeColor="text1"/>
                      <w:spacing w:val="-7"/>
                      <w:sz w:val="21"/>
                      <w:szCs w:val="21"/>
                      <w:highlight w:val="none"/>
                      <w:lang w:eastAsia="zh-CN"/>
                      <w14:textFill>
                        <w14:solidFill>
                          <w14:schemeClr w14:val="tx1"/>
                        </w14:solidFill>
                      </w14:textFill>
                    </w:rPr>
                    <w:t>振动筛</w:t>
                  </w: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、喂料机、压力机、脱水筛、离心泵、入料泵、污水泵、污水罐、清水罐等生产设备及</w:t>
                  </w:r>
                  <w:r>
                    <w:rPr>
                      <w:rFonts w:hint="eastAsia" w:ascii="Times New Roman" w:hAnsi="Times New Roman" w:eastAsia="宋体" w:cs="Times New Roman"/>
                      <w:color w:val="000000" w:themeColor="text1"/>
                      <w:spacing w:val="-7"/>
                      <w:sz w:val="21"/>
                      <w:szCs w:val="2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条配套加工生产线</w:t>
                  </w: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w:t>
                  </w: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砂石骨料年</w:t>
                  </w:r>
                  <w:r>
                    <w:rPr>
                      <w:rFonts w:hint="eastAsia" w:ascii="Times New Roman" w:hAnsi="Times New Roman" w:eastAsia="宋体" w:cs="Times New Roman"/>
                      <w:color w:val="000000" w:themeColor="text1"/>
                      <w:spacing w:val="-7"/>
                      <w:sz w:val="21"/>
                      <w:szCs w:val="21"/>
                      <w:highlight w:val="none"/>
                      <w:lang w:val="en-US" w:eastAsia="zh-CN"/>
                      <w14:textFill>
                        <w14:solidFill>
                          <w14:schemeClr w14:val="tx1"/>
                        </w14:solidFill>
                      </w14:textFill>
                    </w:rPr>
                    <w:t>加工</w:t>
                  </w: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量</w:t>
                  </w:r>
                  <w:r>
                    <w:rPr>
                      <w:rFonts w:hint="eastAsia" w:ascii="Times New Roman" w:hAnsi="Times New Roman" w:eastAsia="宋体" w:cs="Times New Roman"/>
                      <w:color w:val="000000" w:themeColor="text1"/>
                      <w:spacing w:val="-7"/>
                      <w:sz w:val="21"/>
                      <w:szCs w:val="21"/>
                      <w:highlight w:val="none"/>
                      <w:lang w:val="en-US" w:eastAsia="zh-CN"/>
                      <w14:textFill>
                        <w14:solidFill>
                          <w14:schemeClr w14:val="tx1"/>
                        </w14:solidFill>
                      </w14:textFill>
                    </w:rPr>
                    <w:t>164.5</w:t>
                  </w: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万</w:t>
                  </w:r>
                  <w:r>
                    <w:rPr>
                      <w:rFonts w:hint="eastAsia" w:ascii="Times New Roman" w:hAnsi="Times New Roman" w:eastAsia="宋体" w:cs="Times New Roman"/>
                      <w:color w:val="000000" w:themeColor="text1"/>
                      <w:spacing w:val="-7"/>
                      <w:sz w:val="21"/>
                      <w:szCs w:val="21"/>
                      <w:highlight w:val="none"/>
                      <w:lang w:val="en-US" w:eastAsia="zh-CN"/>
                      <w14:textFill>
                        <w14:solidFill>
                          <w14:schemeClr w14:val="tx1"/>
                        </w14:solidFill>
                      </w14:textFill>
                    </w:rPr>
                    <w:t>吨</w:t>
                  </w:r>
                  <w:r>
                    <w:rPr>
                      <w:rFonts w:hint="eastAsia" w:ascii="Times New Roman" w:hAnsi="Times New Roman" w:eastAsia="宋体" w:cs="Times New Roman"/>
                      <w:color w:val="000000" w:themeColor="text1"/>
                      <w:spacing w:val="-7"/>
                      <w:sz w:val="21"/>
                      <w:szCs w:val="21"/>
                      <w:highlight w:val="none"/>
                      <w:lang w:val="en-US" w:eastAsia="zh-CN"/>
                      <w14:textFill>
                        <w14:solidFill>
                          <w14:schemeClr w14:val="tx1"/>
                        </w14:solidFill>
                      </w14:textFill>
                    </w:rPr>
                    <w:t>，用于填海作业使用。</w:t>
                  </w:r>
                  <w:r>
                    <w:rPr>
                      <w:rFonts w:hint="default" w:ascii="Times New Roman" w:hAnsi="Times New Roman" w:eastAsia="宋体" w:cs="Times New Roman"/>
                      <w:color w:val="000000" w:themeColor="text1"/>
                      <w:spacing w:val="-7"/>
                      <w:sz w:val="21"/>
                      <w:szCs w:val="21"/>
                      <w:highlight w:val="none"/>
                      <w:lang w:val="en-US" w:eastAsia="zh-CN"/>
                      <w14:textFill>
                        <w14:solidFill>
                          <w14:schemeClr w14:val="tx1"/>
                        </w14:solidFill>
                      </w14:textFill>
                    </w:rPr>
                    <w:t>设有1座</w:t>
                  </w:r>
                  <w:r>
                    <w:rPr>
                      <w:rFonts w:hint="eastAsia" w:ascii="Times New Roman" w:hAnsi="Times New Roman" w:eastAsia="宋体" w:cs="Times New Roman"/>
                      <w:color w:val="000000" w:themeColor="text1"/>
                      <w:spacing w:val="-7"/>
                      <w:sz w:val="21"/>
                      <w:szCs w:val="21"/>
                      <w:highlight w:val="none"/>
                      <w:lang w:val="en-US" w:eastAsia="zh-CN"/>
                      <w14:textFill>
                        <w14:solidFill>
                          <w14:schemeClr w14:val="tx1"/>
                        </w14:solidFill>
                      </w14:textFill>
                    </w:rPr>
                    <w:t>水泥搅拌站，用于码头建设使用，施工结束后拆除。</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79" w:hRule="atLeast"/>
                <w:jc w:val="center"/>
              </w:trPr>
              <w:tc>
                <w:tcPr>
                  <w:tcW w:w="697" w:type="dxa"/>
                  <w:gridSpan w:val="2"/>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t>公用</w:t>
                  </w: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工程</w:t>
                  </w:r>
                </w:p>
              </w:tc>
              <w:tc>
                <w:tcPr>
                  <w:tcW w:w="1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给水</w:t>
                  </w:r>
                </w:p>
              </w:tc>
              <w:tc>
                <w:tcPr>
                  <w:tcW w:w="66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在场地</w:t>
                  </w:r>
                  <w:r>
                    <w:rPr>
                      <w:rFonts w:hint="default"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t>配备</w:t>
                  </w: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蓄水池，用于车</w:t>
                  </w: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辆清洗和场地洒水降尘。生活饮用水</w:t>
                  </w:r>
                  <w:r>
                    <w:rPr>
                      <w:rFonts w:hint="default" w:ascii="Times New Roman" w:hAnsi="Times New Roman" w:eastAsia="宋体" w:cs="Times New Roman"/>
                      <w:color w:val="000000" w:themeColor="text1"/>
                      <w:spacing w:val="-7"/>
                      <w:sz w:val="21"/>
                      <w:szCs w:val="21"/>
                      <w:highlight w:val="none"/>
                      <w:lang w:val="en-US" w:eastAsia="zh-CN"/>
                      <w14:textFill>
                        <w14:solidFill>
                          <w14:schemeClr w14:val="tx1"/>
                        </w14:solidFill>
                      </w14:textFill>
                    </w:rPr>
                    <w:t>依托</w:t>
                  </w:r>
                  <w:r>
                    <w:rPr>
                      <w:rFonts w:hint="eastAsia" w:ascii="Times New Roman" w:hAnsi="Times New Roman" w:eastAsia="宋体" w:cs="Times New Roman"/>
                      <w:color w:val="000000" w:themeColor="text1"/>
                      <w:spacing w:val="-7"/>
                      <w:sz w:val="21"/>
                      <w:szCs w:val="21"/>
                      <w:highlight w:val="none"/>
                      <w:lang w:val="en-US" w:eastAsia="zh-CN"/>
                      <w14:textFill>
                        <w14:solidFill>
                          <w14:schemeClr w14:val="tx1"/>
                        </w14:solidFill>
                      </w14:textFill>
                    </w:rPr>
                    <w:t>周边</w:t>
                  </w:r>
                  <w:r>
                    <w:rPr>
                      <w:rFonts w:hint="default" w:ascii="Times New Roman" w:hAnsi="Times New Roman" w:eastAsia="宋体" w:cs="Times New Roman"/>
                      <w:color w:val="000000" w:themeColor="text1"/>
                      <w:spacing w:val="-7"/>
                      <w:sz w:val="21"/>
                      <w:szCs w:val="21"/>
                      <w:highlight w:val="none"/>
                      <w:lang w:val="en-US" w:eastAsia="zh-CN"/>
                      <w14:textFill>
                        <w14:solidFill>
                          <w14:schemeClr w14:val="tx1"/>
                        </w14:solidFill>
                      </w14:textFill>
                    </w:rPr>
                    <w:t>现有工程</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86" w:hRule="atLeast"/>
                <w:jc w:val="center"/>
              </w:trPr>
              <w:tc>
                <w:tcPr>
                  <w:tcW w:w="697"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highlight w:val="none"/>
                      <w14:textFill>
                        <w14:solidFill>
                          <w14:schemeClr w14:val="tx1"/>
                        </w14:solidFill>
                      </w14:textFill>
                    </w:rPr>
                  </w:pPr>
                </w:p>
              </w:tc>
              <w:tc>
                <w:tcPr>
                  <w:tcW w:w="1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3"/>
                      <w:sz w:val="21"/>
                      <w:szCs w:val="21"/>
                      <w:highlight w:val="none"/>
                      <w14:textFill>
                        <w14:solidFill>
                          <w14:schemeClr w14:val="tx1"/>
                        </w14:solidFill>
                      </w14:textFill>
                    </w:rPr>
                    <w:t>排水</w:t>
                  </w:r>
                </w:p>
              </w:tc>
              <w:tc>
                <w:tcPr>
                  <w:tcW w:w="66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7"/>
                      <w:sz w:val="21"/>
                      <w:szCs w:val="21"/>
                      <w:highlight w:val="none"/>
                      <w:lang w:val="en-US" w:eastAsia="zh-CN"/>
                      <w14:textFill>
                        <w14:solidFill>
                          <w14:schemeClr w14:val="tx1"/>
                        </w14:solidFill>
                      </w14:textFill>
                    </w:rPr>
                    <w:t>场地周边</w:t>
                  </w: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设置了截排水沟</w:t>
                  </w:r>
                  <w:r>
                    <w:rPr>
                      <w:rFonts w:hint="eastAsia" w:ascii="Times New Roman" w:hAnsi="Times New Roman" w:eastAsia="宋体" w:cs="Times New Roman"/>
                      <w:color w:val="000000" w:themeColor="text1"/>
                      <w:spacing w:val="-7"/>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spacing w:val="-7"/>
                      <w:sz w:val="21"/>
                      <w:szCs w:val="21"/>
                      <w:highlight w:val="none"/>
                      <w:lang w:val="en-US" w:eastAsia="zh-CN"/>
                      <w14:textFill>
                        <w14:solidFill>
                          <w14:schemeClr w14:val="tx1"/>
                        </w14:solidFill>
                      </w14:textFill>
                    </w:rPr>
                    <w:t>洗车废水</w:t>
                  </w: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经沉淀处理后循环</w:t>
                  </w:r>
                  <w:r>
                    <w:rPr>
                      <w:rFonts w:hint="default" w:ascii="Times New Roman" w:hAnsi="Times New Roman" w:eastAsia="宋体" w:cs="Times New Roman"/>
                      <w:color w:val="000000" w:themeColor="text1"/>
                      <w:spacing w:val="-14"/>
                      <w:sz w:val="21"/>
                      <w:szCs w:val="21"/>
                      <w:highlight w:val="none"/>
                      <w14:textFill>
                        <w14:solidFill>
                          <w14:schemeClr w14:val="tx1"/>
                        </w14:solidFill>
                      </w14:textFill>
                    </w:rPr>
                    <w:t>使用，不外排；</w:t>
                  </w:r>
                  <w:r>
                    <w:rPr>
                      <w:rFonts w:hint="eastAsia" w:ascii="Times New Roman" w:hAnsi="Times New Roman" w:eastAsia="宋体" w:cs="Times New Roman"/>
                      <w:color w:val="000000" w:themeColor="text1"/>
                      <w:spacing w:val="-14"/>
                      <w:sz w:val="21"/>
                      <w:szCs w:val="21"/>
                      <w:highlight w:val="none"/>
                      <w:lang w:eastAsia="zh-CN"/>
                      <w14:textFill>
                        <w14:solidFill>
                          <w14:schemeClr w14:val="tx1"/>
                        </w14:solidFill>
                      </w14:textFill>
                    </w:rPr>
                    <w:t>生活污水</w:t>
                  </w:r>
                  <w:r>
                    <w:rPr>
                      <w:rFonts w:hint="eastAsia" w:ascii="Times New Roman" w:hAnsi="Times New Roman" w:eastAsia="宋体" w:cs="Times New Roman"/>
                      <w:color w:val="000000" w:themeColor="text1"/>
                      <w:spacing w:val="-14"/>
                      <w:sz w:val="21"/>
                      <w:szCs w:val="21"/>
                      <w:highlight w:val="none"/>
                      <w:lang w:val="en-US" w:eastAsia="zh-CN"/>
                      <w14:textFill>
                        <w14:solidFill>
                          <w14:schemeClr w14:val="tx1"/>
                        </w14:solidFill>
                      </w14:textFill>
                    </w:rPr>
                    <w:t>经</w:t>
                  </w:r>
                  <w:r>
                    <w:rPr>
                      <w:rFonts w:hint="default" w:ascii="Times New Roman" w:hAnsi="Times New Roman" w:eastAsia="宋体" w:cs="Times New Roman"/>
                      <w:color w:val="000000" w:themeColor="text1"/>
                      <w:spacing w:val="-14"/>
                      <w:sz w:val="21"/>
                      <w:szCs w:val="21"/>
                      <w:highlight w:val="none"/>
                      <w14:textFill>
                        <w14:solidFill>
                          <w14:schemeClr w14:val="tx1"/>
                        </w14:solidFill>
                      </w14:textFill>
                    </w:rPr>
                    <w:t>化粪池</w:t>
                  </w:r>
                  <w:r>
                    <w:rPr>
                      <w:rFonts w:hint="eastAsia" w:ascii="Times New Roman" w:hAnsi="Times New Roman" w:eastAsia="宋体" w:cs="Times New Roman"/>
                      <w:color w:val="000000" w:themeColor="text1"/>
                      <w:spacing w:val="-14"/>
                      <w:sz w:val="21"/>
                      <w:szCs w:val="21"/>
                      <w:highlight w:val="none"/>
                      <w:lang w:eastAsia="zh-CN"/>
                      <w14:textFill>
                        <w14:solidFill>
                          <w14:schemeClr w14:val="tx1"/>
                        </w14:solidFill>
                      </w14:textFill>
                    </w:rPr>
                    <w:t>处理后</w:t>
                  </w:r>
                  <w:r>
                    <w:rPr>
                      <w:rFonts w:hint="eastAsia" w:ascii="Times New Roman" w:hAnsi="Times New Roman" w:eastAsia="宋体" w:cs="Times New Roman"/>
                      <w:b w:val="0"/>
                      <w:bCs/>
                      <w:iCs/>
                      <w:color w:val="000000" w:themeColor="text1"/>
                      <w:kern w:val="2"/>
                      <w:sz w:val="21"/>
                      <w:szCs w:val="21"/>
                      <w:highlight w:val="none"/>
                      <w:lang w:val="en-US" w:eastAsia="zh-CN"/>
                      <w14:textFill>
                        <w14:solidFill>
                          <w14:schemeClr w14:val="tx1"/>
                        </w14:solidFill>
                      </w14:textFill>
                    </w:rPr>
                    <w:t>用槽罐车运往</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福鼎市白琳镇污水处理站</w:t>
                  </w:r>
                  <w:r>
                    <w:rPr>
                      <w:rFonts w:hint="eastAsia" w:ascii="Times New Roman" w:hAnsi="Times New Roman" w:eastAsia="宋体"/>
                      <w:b w:val="0"/>
                      <w:bCs/>
                      <w:color w:val="000000" w:themeColor="text1"/>
                      <w:sz w:val="21"/>
                      <w:szCs w:val="21"/>
                      <w:highlight w:val="none"/>
                      <w:lang w:eastAsia="zh-CN"/>
                      <w14:textFill>
                        <w14:solidFill>
                          <w14:schemeClr w14:val="tx1"/>
                        </w14:solidFill>
                      </w14:textFill>
                    </w:rPr>
                    <w:t>成集中处理</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39" w:hRule="atLeast"/>
                <w:jc w:val="center"/>
              </w:trPr>
              <w:tc>
                <w:tcPr>
                  <w:tcW w:w="697"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highlight w:val="none"/>
                      <w14:textFill>
                        <w14:solidFill>
                          <w14:schemeClr w14:val="tx1"/>
                        </w14:solidFill>
                      </w14:textFill>
                    </w:rPr>
                  </w:pPr>
                </w:p>
              </w:tc>
              <w:tc>
                <w:tcPr>
                  <w:tcW w:w="1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t>用电</w:t>
                  </w:r>
                </w:p>
              </w:tc>
              <w:tc>
                <w:tcPr>
                  <w:tcW w:w="66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7"/>
                      <w:sz w:val="21"/>
                      <w:szCs w:val="21"/>
                      <w:highlight w:val="none"/>
                      <w:lang w:val="en-US" w:eastAsia="zh-CN"/>
                      <w14:textFill>
                        <w14:solidFill>
                          <w14:schemeClr w14:val="tx1"/>
                        </w14:solidFill>
                      </w14:textFill>
                    </w:rPr>
                    <w:t>电源由周边市政电网引入，提供用电设备和</w:t>
                  </w:r>
                  <w:r>
                    <w:rPr>
                      <w:rFonts w:hint="eastAsia" w:ascii="Times New Roman" w:hAnsi="Times New Roman" w:eastAsia="宋体" w:cs="Times New Roman"/>
                      <w:color w:val="000000" w:themeColor="text1"/>
                      <w:spacing w:val="-7"/>
                      <w:sz w:val="21"/>
                      <w:szCs w:val="21"/>
                      <w:highlight w:val="none"/>
                      <w:lang w:val="en-US" w:eastAsia="zh-CN"/>
                      <w14:textFill>
                        <w14:solidFill>
                          <w14:schemeClr w14:val="tx1"/>
                        </w14:solidFill>
                      </w14:textFill>
                    </w:rPr>
                    <w:t>其他</w:t>
                  </w:r>
                  <w:r>
                    <w:rPr>
                      <w:rFonts w:hint="default" w:ascii="Times New Roman" w:hAnsi="Times New Roman" w:eastAsia="宋体" w:cs="Times New Roman"/>
                      <w:color w:val="000000" w:themeColor="text1"/>
                      <w:spacing w:val="-7"/>
                      <w:sz w:val="21"/>
                      <w:szCs w:val="21"/>
                      <w:highlight w:val="none"/>
                      <w:lang w:val="en-US" w:eastAsia="zh-CN"/>
                      <w14:textFill>
                        <w14:solidFill>
                          <w14:schemeClr w14:val="tx1"/>
                        </w14:solidFill>
                      </w14:textFill>
                    </w:rPr>
                    <w:t>用电。</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20" w:hRule="atLeast"/>
                <w:jc w:val="center"/>
              </w:trPr>
              <w:tc>
                <w:tcPr>
                  <w:tcW w:w="337" w:type="dxa"/>
                  <w:vMerge w:val="restart"/>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环保工程</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highlight w:val="none"/>
                      <w14:textFill>
                        <w14:solidFill>
                          <w14:schemeClr w14:val="tx1"/>
                        </w14:solidFill>
                      </w14:textFill>
                    </w:rPr>
                  </w:pPr>
                </w:p>
              </w:tc>
              <w:tc>
                <w:tcPr>
                  <w:tcW w:w="36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废水</w:t>
                  </w:r>
                </w:p>
              </w:tc>
              <w:tc>
                <w:tcPr>
                  <w:tcW w:w="1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生活污水</w:t>
                  </w:r>
                </w:p>
              </w:tc>
              <w:tc>
                <w:tcPr>
                  <w:tcW w:w="66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pacing w:val="-14"/>
                      <w:sz w:val="21"/>
                      <w:szCs w:val="21"/>
                      <w:highlight w:val="none"/>
                      <w:lang w:eastAsia="zh-CN"/>
                      <w14:textFill>
                        <w14:solidFill>
                          <w14:schemeClr w14:val="tx1"/>
                        </w14:solidFill>
                      </w14:textFill>
                    </w:rPr>
                    <w:t>生活污水</w:t>
                  </w:r>
                  <w:r>
                    <w:rPr>
                      <w:rFonts w:hint="eastAsia" w:ascii="Times New Roman" w:hAnsi="Times New Roman" w:eastAsia="宋体" w:cs="Times New Roman"/>
                      <w:color w:val="000000" w:themeColor="text1"/>
                      <w:spacing w:val="-14"/>
                      <w:sz w:val="21"/>
                      <w:szCs w:val="21"/>
                      <w:highlight w:val="none"/>
                      <w:lang w:val="en-US" w:eastAsia="zh-CN"/>
                      <w14:textFill>
                        <w14:solidFill>
                          <w14:schemeClr w14:val="tx1"/>
                        </w14:solidFill>
                      </w14:textFill>
                    </w:rPr>
                    <w:t>经</w:t>
                  </w:r>
                  <w:r>
                    <w:rPr>
                      <w:rFonts w:hint="default" w:ascii="Times New Roman" w:hAnsi="Times New Roman" w:eastAsia="宋体" w:cs="Times New Roman"/>
                      <w:color w:val="000000" w:themeColor="text1"/>
                      <w:spacing w:val="-14"/>
                      <w:sz w:val="21"/>
                      <w:szCs w:val="21"/>
                      <w:highlight w:val="none"/>
                      <w14:textFill>
                        <w14:solidFill>
                          <w14:schemeClr w14:val="tx1"/>
                        </w14:solidFill>
                      </w14:textFill>
                    </w:rPr>
                    <w:t>化粪池</w:t>
                  </w:r>
                  <w:r>
                    <w:rPr>
                      <w:rFonts w:hint="eastAsia" w:ascii="Times New Roman" w:hAnsi="Times New Roman" w:eastAsia="宋体" w:cs="Times New Roman"/>
                      <w:color w:val="000000" w:themeColor="text1"/>
                      <w:spacing w:val="-14"/>
                      <w:sz w:val="21"/>
                      <w:szCs w:val="21"/>
                      <w:highlight w:val="none"/>
                      <w:lang w:eastAsia="zh-CN"/>
                      <w14:textFill>
                        <w14:solidFill>
                          <w14:schemeClr w14:val="tx1"/>
                        </w14:solidFill>
                      </w14:textFill>
                    </w:rPr>
                    <w:t>处理后</w:t>
                  </w:r>
                  <w:r>
                    <w:rPr>
                      <w:rFonts w:hint="eastAsia" w:ascii="Times New Roman" w:hAnsi="Times New Roman" w:eastAsia="宋体" w:cs="Times New Roman"/>
                      <w:b w:val="0"/>
                      <w:bCs/>
                      <w:iCs/>
                      <w:color w:val="000000" w:themeColor="text1"/>
                      <w:kern w:val="2"/>
                      <w:sz w:val="21"/>
                      <w:szCs w:val="21"/>
                      <w:highlight w:val="none"/>
                      <w:lang w:val="en-US" w:eastAsia="zh-CN"/>
                      <w14:textFill>
                        <w14:solidFill>
                          <w14:schemeClr w14:val="tx1"/>
                        </w14:solidFill>
                      </w14:textFill>
                    </w:rPr>
                    <w:t>用槽罐车运往</w:t>
                  </w:r>
                  <w:r>
                    <w:rPr>
                      <w:rFonts w:hint="eastAsia"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福鼎市白琳镇污水处理站</w:t>
                  </w:r>
                  <w:r>
                    <w:rPr>
                      <w:rFonts w:hint="eastAsia" w:ascii="Times New Roman" w:hAnsi="Times New Roman" w:eastAsia="宋体"/>
                      <w:b w:val="0"/>
                      <w:bCs/>
                      <w:color w:val="000000" w:themeColor="text1"/>
                      <w:sz w:val="21"/>
                      <w:szCs w:val="21"/>
                      <w:highlight w:val="none"/>
                      <w:lang w:eastAsia="zh-CN"/>
                      <w14:textFill>
                        <w14:solidFill>
                          <w14:schemeClr w14:val="tx1"/>
                        </w14:solidFill>
                      </w14:textFill>
                    </w:rPr>
                    <w:t>集中处理</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00" w:hRule="atLeast"/>
                <w:jc w:val="center"/>
              </w:trPr>
              <w:tc>
                <w:tcPr>
                  <w:tcW w:w="337" w:type="dxa"/>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highlight w:val="none"/>
                      <w14:textFill>
                        <w14:solidFill>
                          <w14:schemeClr w14:val="tx1"/>
                        </w14:solidFill>
                      </w14:textFill>
                    </w:rPr>
                  </w:pPr>
                </w:p>
              </w:tc>
              <w:tc>
                <w:tcPr>
                  <w:tcW w:w="3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p>
              </w:tc>
              <w:tc>
                <w:tcPr>
                  <w:tcW w:w="1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t>初期雨水</w:t>
                  </w:r>
                </w:p>
              </w:tc>
              <w:tc>
                <w:tcPr>
                  <w:tcW w:w="66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both"/>
                    <w:textAlignment w:val="auto"/>
                    <w:rPr>
                      <w:rFonts w:hint="default" w:ascii="Times New Roman" w:hAnsi="Times New Roman" w:eastAsia="宋体" w:cs="Times New Roman"/>
                      <w:color w:val="000000" w:themeColor="text1"/>
                      <w:spacing w:val="-14"/>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14"/>
                      <w:sz w:val="21"/>
                      <w:szCs w:val="21"/>
                      <w:highlight w:val="none"/>
                      <w:lang w:val="en-US" w:eastAsia="zh-CN"/>
                      <w14:textFill>
                        <w14:solidFill>
                          <w14:schemeClr w14:val="tx1"/>
                        </w14:solidFill>
                      </w14:textFill>
                    </w:rPr>
                    <w:t>通过4500m</w:t>
                  </w:r>
                  <w:r>
                    <w:rPr>
                      <w:rFonts w:hint="eastAsia" w:ascii="Times New Roman" w:hAnsi="Times New Roman" w:eastAsia="宋体" w:cs="Times New Roman"/>
                      <w:color w:val="000000" w:themeColor="text1"/>
                      <w:spacing w:val="-14"/>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pacing w:val="-14"/>
                      <w:sz w:val="21"/>
                      <w:szCs w:val="21"/>
                      <w:highlight w:val="none"/>
                      <w:lang w:val="en-US" w:eastAsia="zh-CN"/>
                      <w14:textFill>
                        <w14:solidFill>
                          <w14:schemeClr w14:val="tx1"/>
                        </w14:solidFill>
                      </w14:textFill>
                    </w:rPr>
                    <w:t>初期雨水池</w:t>
                  </w:r>
                  <w:r>
                    <w:rPr>
                      <w:rFonts w:hint="eastAsia" w:ascii="Times New Roman" w:hAnsi="Times New Roman" w:eastAsia="宋体" w:cs="Times New Roman"/>
                      <w:color w:val="000000" w:themeColor="text1"/>
                      <w:spacing w:val="-14"/>
                      <w:sz w:val="21"/>
                      <w:szCs w:val="21"/>
                      <w:highlight w:val="none"/>
                      <w:lang w:val="en-US" w:eastAsia="zh-CN"/>
                      <w14:textFill>
                        <w14:solidFill>
                          <w14:schemeClr w14:val="tx1"/>
                        </w14:solidFill>
                      </w14:textFill>
                    </w:rPr>
                    <w:t>收集</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20" w:hRule="atLeast"/>
                <w:jc w:val="center"/>
              </w:trPr>
              <w:tc>
                <w:tcPr>
                  <w:tcW w:w="337" w:type="dxa"/>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highlight w:val="none"/>
                      <w14:textFill>
                        <w14:solidFill>
                          <w14:schemeClr w14:val="tx1"/>
                        </w14:solidFill>
                      </w14:textFill>
                    </w:rPr>
                  </w:pPr>
                </w:p>
              </w:tc>
              <w:tc>
                <w:tcPr>
                  <w:tcW w:w="3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pPr>
                </w:p>
              </w:tc>
              <w:tc>
                <w:tcPr>
                  <w:tcW w:w="1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t>生产废水</w:t>
                  </w:r>
                </w:p>
              </w:tc>
              <w:tc>
                <w:tcPr>
                  <w:tcW w:w="66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both"/>
                    <w:textAlignment w:val="auto"/>
                    <w:rPr>
                      <w:rFonts w:hint="eastAsia" w:ascii="Times New Roman" w:hAnsi="Times New Roman" w:eastAsia="宋体" w:cs="Times New Roman"/>
                      <w:color w:val="000000" w:themeColor="text1"/>
                      <w:spacing w:val="-14"/>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7"/>
                      <w:sz w:val="21"/>
                      <w:szCs w:val="21"/>
                      <w:highlight w:val="none"/>
                      <w:lang w:val="en-US" w:eastAsia="zh-CN"/>
                      <w14:textFill>
                        <w14:solidFill>
                          <w14:schemeClr w14:val="tx1"/>
                        </w14:solidFill>
                      </w14:textFill>
                    </w:rPr>
                    <w:t>洗车废水</w:t>
                  </w: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经</w:t>
                  </w:r>
                  <w:r>
                    <w:rPr>
                      <w:rFonts w:hint="eastAsia" w:ascii="Times New Roman" w:hAnsi="Times New Roman" w:eastAsia="宋体" w:cs="Times New Roman"/>
                      <w:color w:val="000000" w:themeColor="text1"/>
                      <w:spacing w:val="-7"/>
                      <w:sz w:val="21"/>
                      <w:szCs w:val="21"/>
                      <w:highlight w:val="none"/>
                      <w:lang w:val="en-US" w:eastAsia="zh-CN"/>
                      <w14:textFill>
                        <w14:solidFill>
                          <w14:schemeClr w14:val="tx1"/>
                        </w14:solidFill>
                      </w14:textFill>
                    </w:rPr>
                    <w:t>5m</w:t>
                  </w:r>
                  <w:r>
                    <w:rPr>
                      <w:rFonts w:hint="eastAsia" w:ascii="Times New Roman" w:hAnsi="Times New Roman" w:eastAsia="宋体" w:cs="Times New Roman"/>
                      <w:color w:val="000000" w:themeColor="text1"/>
                      <w:spacing w:val="-7"/>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pacing w:val="-7"/>
                      <w:sz w:val="21"/>
                      <w:szCs w:val="21"/>
                      <w:highlight w:val="none"/>
                      <w:lang w:eastAsia="zh-CN"/>
                      <w14:textFill>
                        <w14:solidFill>
                          <w14:schemeClr w14:val="tx1"/>
                        </w14:solidFill>
                      </w14:textFill>
                    </w:rPr>
                    <w:t>隔油池</w:t>
                  </w:r>
                  <w:r>
                    <w:rPr>
                      <w:rFonts w:hint="eastAsia" w:ascii="Times New Roman" w:hAnsi="Times New Roman" w:eastAsia="宋体" w:cs="Times New Roman"/>
                      <w:color w:val="000000" w:themeColor="text1"/>
                      <w:spacing w:val="-7"/>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pacing w:val="-7"/>
                      <w:sz w:val="21"/>
                      <w:szCs w:val="21"/>
                      <w:highlight w:val="none"/>
                      <w14:textFill>
                        <w14:solidFill>
                          <w14:schemeClr w14:val="tx1"/>
                        </w14:solidFill>
                      </w14:textFill>
                    </w:rPr>
                    <w:t>沉淀处理后循环</w:t>
                  </w:r>
                  <w:r>
                    <w:rPr>
                      <w:rFonts w:hint="default" w:ascii="Times New Roman" w:hAnsi="Times New Roman" w:eastAsia="宋体" w:cs="Times New Roman"/>
                      <w:color w:val="000000" w:themeColor="text1"/>
                      <w:spacing w:val="-14"/>
                      <w:sz w:val="21"/>
                      <w:szCs w:val="21"/>
                      <w:highlight w:val="none"/>
                      <w14:textFill>
                        <w14:solidFill>
                          <w14:schemeClr w14:val="tx1"/>
                        </w14:solidFill>
                      </w14:textFill>
                    </w:rPr>
                    <w:t>使用，不外排</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05" w:hRule="atLeast"/>
                <w:jc w:val="center"/>
              </w:trPr>
              <w:tc>
                <w:tcPr>
                  <w:tcW w:w="337" w:type="dxa"/>
                  <w:vMerge w:val="continue"/>
                  <w:tcBorders>
                    <w:tl2br w:val="nil"/>
                    <w:tr2bl w:val="nil"/>
                  </w:tcBorders>
                  <w:textDirection w:val="tbRlV"/>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highlight w:val="none"/>
                      <w14:textFill>
                        <w14:solidFill>
                          <w14:schemeClr w14:val="tx1"/>
                        </w14:solidFill>
                      </w14:textFill>
                    </w:rPr>
                  </w:pPr>
                </w:p>
              </w:tc>
              <w:tc>
                <w:tcPr>
                  <w:tcW w:w="36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废气</w:t>
                  </w:r>
                </w:p>
              </w:tc>
              <w:tc>
                <w:tcPr>
                  <w:tcW w:w="1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t>场地平整区</w:t>
                  </w:r>
                </w:p>
              </w:tc>
              <w:tc>
                <w:tcPr>
                  <w:tcW w:w="6618" w:type="dxa"/>
                  <w:tcBorders>
                    <w:tl2br w:val="nil"/>
                    <w:tr2bl w:val="nil"/>
                  </w:tcBorders>
                  <w:vAlign w:val="center"/>
                </w:tcPr>
                <w:p>
                  <w:pPr>
                    <w:pageBreakBefore w:val="0"/>
                    <w:kinsoku/>
                    <w:bidi w:val="0"/>
                    <w:adjustRightInd w:val="0"/>
                    <w:snapToGrid w:val="0"/>
                    <w:spacing w:beforeAutospacing="0" w:afterAutospacing="0"/>
                    <w:jc w:val="both"/>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采用</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喷雾除尘等除尘措施，</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钻机配套布袋除尘器收尘措施</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91" w:hRule="atLeast"/>
                <w:jc w:val="center"/>
              </w:trPr>
              <w:tc>
                <w:tcPr>
                  <w:tcW w:w="3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highlight w:val="none"/>
                      <w14:textFill>
                        <w14:solidFill>
                          <w14:schemeClr w14:val="tx1"/>
                        </w14:solidFill>
                      </w14:textFill>
                    </w:rPr>
                  </w:pPr>
                </w:p>
              </w:tc>
              <w:tc>
                <w:tcPr>
                  <w:tcW w:w="3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highlight w:val="none"/>
                      <w14:textFill>
                        <w14:solidFill>
                          <w14:schemeClr w14:val="tx1"/>
                        </w14:solidFill>
                      </w14:textFill>
                    </w:rPr>
                  </w:pPr>
                </w:p>
              </w:tc>
              <w:tc>
                <w:tcPr>
                  <w:tcW w:w="1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道路运输扬尘</w:t>
                  </w:r>
                </w:p>
              </w:tc>
              <w:tc>
                <w:tcPr>
                  <w:tcW w:w="6618" w:type="dxa"/>
                  <w:tcBorders>
                    <w:tl2br w:val="nil"/>
                    <w:tr2bl w:val="nil"/>
                  </w:tcBorders>
                  <w:vAlign w:val="center"/>
                </w:tcPr>
                <w:p>
                  <w:pPr>
                    <w:pageBreakBefore w:val="0"/>
                    <w:kinsoku/>
                    <w:bidi w:val="0"/>
                    <w:adjustRightInd w:val="0"/>
                    <w:snapToGrid w:val="0"/>
                    <w:spacing w:beforeAutospacing="0" w:afterAutospacing="0"/>
                    <w:jc w:val="both"/>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配备洒水车，对运输道路进行定期洒水降尘。运输车辆采用箱式或加盖篷布。</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91" w:hRule="atLeast"/>
                <w:jc w:val="center"/>
              </w:trPr>
              <w:tc>
                <w:tcPr>
                  <w:tcW w:w="3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highlight w:val="none"/>
                      <w14:textFill>
                        <w14:solidFill>
                          <w14:schemeClr w14:val="tx1"/>
                        </w14:solidFill>
                      </w14:textFill>
                    </w:rPr>
                  </w:pPr>
                </w:p>
              </w:tc>
              <w:tc>
                <w:tcPr>
                  <w:tcW w:w="3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highlight w:val="none"/>
                      <w14:textFill>
                        <w14:solidFill>
                          <w14:schemeClr w14:val="tx1"/>
                        </w14:solidFill>
                      </w14:textFill>
                    </w:rPr>
                  </w:pPr>
                </w:p>
              </w:tc>
              <w:tc>
                <w:tcPr>
                  <w:tcW w:w="1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t>堆场区</w:t>
                  </w:r>
                </w:p>
              </w:tc>
              <w:tc>
                <w:tcPr>
                  <w:tcW w:w="6618" w:type="dxa"/>
                  <w:tcBorders>
                    <w:tl2br w:val="nil"/>
                    <w:tr2bl w:val="nil"/>
                  </w:tcBorders>
                  <w:vAlign w:val="center"/>
                </w:tcPr>
                <w:p>
                  <w:pPr>
                    <w:pageBreakBefore w:val="0"/>
                    <w:kinsoku/>
                    <w:bidi w:val="0"/>
                    <w:adjustRightInd w:val="0"/>
                    <w:snapToGrid w:val="0"/>
                    <w:spacing w:beforeAutospacing="0" w:afterAutospacing="0"/>
                    <w:jc w:val="both"/>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碎石输送、装卸料粉尘：喷淋、洒水抑尘</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91" w:hRule="atLeast"/>
                <w:jc w:val="center"/>
              </w:trPr>
              <w:tc>
                <w:tcPr>
                  <w:tcW w:w="3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highlight w:val="none"/>
                      <w14:textFill>
                        <w14:solidFill>
                          <w14:schemeClr w14:val="tx1"/>
                        </w14:solidFill>
                      </w14:textFill>
                    </w:rPr>
                  </w:pPr>
                </w:p>
              </w:tc>
              <w:tc>
                <w:tcPr>
                  <w:tcW w:w="3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highlight w:val="none"/>
                      <w14:textFill>
                        <w14:solidFill>
                          <w14:schemeClr w14:val="tx1"/>
                        </w14:solidFill>
                      </w14:textFill>
                    </w:rPr>
                  </w:pPr>
                </w:p>
              </w:tc>
              <w:tc>
                <w:tcPr>
                  <w:tcW w:w="1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t>码头平台</w:t>
                  </w:r>
                </w:p>
              </w:tc>
              <w:tc>
                <w:tcPr>
                  <w:tcW w:w="6618" w:type="dxa"/>
                  <w:tcBorders>
                    <w:tl2br w:val="nil"/>
                    <w:tr2bl w:val="nil"/>
                  </w:tcBorders>
                  <w:vAlign w:val="center"/>
                </w:tcPr>
                <w:p>
                  <w:pPr>
                    <w:pageBreakBefore w:val="0"/>
                    <w:kinsoku/>
                    <w:bidi w:val="0"/>
                    <w:adjustRightInd w:val="0"/>
                    <w:snapToGrid w:val="0"/>
                    <w:spacing w:beforeAutospacing="0" w:afterAutospacing="0"/>
                    <w:jc w:val="both"/>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装卸料粉尘：喷淋、洒水抑尘</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429" w:hRule="atLeast"/>
                <w:jc w:val="center"/>
              </w:trPr>
              <w:tc>
                <w:tcPr>
                  <w:tcW w:w="3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highlight w:val="none"/>
                      <w14:textFill>
                        <w14:solidFill>
                          <w14:schemeClr w14:val="tx1"/>
                        </w14:solidFill>
                      </w14:textFill>
                    </w:rPr>
                  </w:pPr>
                </w:p>
              </w:tc>
              <w:tc>
                <w:tcPr>
                  <w:tcW w:w="360"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固废</w:t>
                  </w:r>
                </w:p>
              </w:tc>
              <w:tc>
                <w:tcPr>
                  <w:tcW w:w="1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沉淀泥沙</w:t>
                  </w:r>
                </w:p>
              </w:tc>
              <w:tc>
                <w:tcPr>
                  <w:tcW w:w="6618" w:type="dxa"/>
                  <w:tcBorders>
                    <w:tl2br w:val="nil"/>
                    <w:tr2bl w:val="nil"/>
                  </w:tcBorders>
                  <w:vAlign w:val="center"/>
                </w:tcPr>
                <w:p>
                  <w:pPr>
                    <w:pageBreakBefore w:val="0"/>
                    <w:kinsoku/>
                    <w:bidi w:val="0"/>
                    <w:adjustRightInd w:val="0"/>
                    <w:snapToGrid w:val="0"/>
                    <w:spacing w:beforeAutospacing="0" w:afterAutospacing="0"/>
                    <w:jc w:val="both"/>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定期对沉淀池中淤积的泥沙进行清理，污泥外运进行综合利用</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77" w:hRule="atLeast"/>
                <w:jc w:val="center"/>
              </w:trPr>
              <w:tc>
                <w:tcPr>
                  <w:tcW w:w="3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highlight w:val="none"/>
                      <w14:textFill>
                        <w14:solidFill>
                          <w14:schemeClr w14:val="tx1"/>
                        </w14:solidFill>
                      </w14:textFill>
                    </w:rPr>
                  </w:pPr>
                </w:p>
              </w:tc>
              <w:tc>
                <w:tcPr>
                  <w:tcW w:w="3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highlight w:val="none"/>
                      <w14:textFill>
                        <w14:solidFill>
                          <w14:schemeClr w14:val="tx1"/>
                        </w14:solidFill>
                      </w14:textFill>
                    </w:rPr>
                  </w:pPr>
                </w:p>
              </w:tc>
              <w:tc>
                <w:tcPr>
                  <w:tcW w:w="1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生活垃圾</w:t>
                  </w:r>
                </w:p>
              </w:tc>
              <w:tc>
                <w:tcPr>
                  <w:tcW w:w="6618" w:type="dxa"/>
                  <w:tcBorders>
                    <w:tl2br w:val="nil"/>
                    <w:tr2bl w:val="nil"/>
                  </w:tcBorders>
                  <w:vAlign w:val="center"/>
                </w:tcPr>
                <w:p>
                  <w:pPr>
                    <w:pageBreakBefore w:val="0"/>
                    <w:kinsoku/>
                    <w:bidi w:val="0"/>
                    <w:adjustRightInd w:val="0"/>
                    <w:snapToGrid w:val="0"/>
                    <w:spacing w:beforeAutospacing="0" w:afterAutospacing="0"/>
                    <w:jc w:val="both"/>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设置垃圾收集桶，收集后由当地环卫部门统一处理</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77" w:hRule="atLeast"/>
                <w:jc w:val="center"/>
              </w:trPr>
              <w:tc>
                <w:tcPr>
                  <w:tcW w:w="3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highlight w:val="none"/>
                      <w14:textFill>
                        <w14:solidFill>
                          <w14:schemeClr w14:val="tx1"/>
                        </w14:solidFill>
                      </w14:textFill>
                    </w:rPr>
                  </w:pPr>
                </w:p>
              </w:tc>
              <w:tc>
                <w:tcPr>
                  <w:tcW w:w="3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highlight w:val="none"/>
                      <w14:textFill>
                        <w14:solidFill>
                          <w14:schemeClr w14:val="tx1"/>
                        </w14:solidFill>
                      </w14:textFill>
                    </w:rPr>
                  </w:pPr>
                </w:p>
              </w:tc>
              <w:tc>
                <w:tcPr>
                  <w:tcW w:w="1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t>船舶垃圾</w:t>
                  </w:r>
                </w:p>
              </w:tc>
              <w:tc>
                <w:tcPr>
                  <w:tcW w:w="6618" w:type="dxa"/>
                  <w:tcBorders>
                    <w:tl2br w:val="nil"/>
                    <w:tr2bl w:val="nil"/>
                  </w:tcBorders>
                  <w:vAlign w:val="center"/>
                </w:tcPr>
                <w:p>
                  <w:pPr>
                    <w:pageBreakBefore w:val="0"/>
                    <w:kinsoku/>
                    <w:bidi w:val="0"/>
                    <w:adjustRightInd w:val="0"/>
                    <w:snapToGrid w:val="0"/>
                    <w:spacing w:beforeAutospacing="0" w:afterAutospacing="0"/>
                    <w:jc w:val="both"/>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船舶生活垃圾集中分类收集，实行袋装化，由环卫部门处置</w:t>
                  </w:r>
                  <w: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船舶含油垃圾收集后需交由海事局认可的接收单位接收处置</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77" w:hRule="atLeast"/>
                <w:jc w:val="center"/>
              </w:trPr>
              <w:tc>
                <w:tcPr>
                  <w:tcW w:w="3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highlight w:val="none"/>
                      <w14:textFill>
                        <w14:solidFill>
                          <w14:schemeClr w14:val="tx1"/>
                        </w14:solidFill>
                      </w14:textFill>
                    </w:rPr>
                  </w:pPr>
                </w:p>
              </w:tc>
              <w:tc>
                <w:tcPr>
                  <w:tcW w:w="3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highlight w:val="none"/>
                      <w14:textFill>
                        <w14:solidFill>
                          <w14:schemeClr w14:val="tx1"/>
                        </w14:solidFill>
                      </w14:textFill>
                    </w:rPr>
                  </w:pPr>
                </w:p>
              </w:tc>
              <w:tc>
                <w:tcPr>
                  <w:tcW w:w="1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t>清扫粉尘</w:t>
                  </w:r>
                </w:p>
              </w:tc>
              <w:tc>
                <w:tcPr>
                  <w:tcW w:w="6618" w:type="dxa"/>
                  <w:tcBorders>
                    <w:tl2br w:val="nil"/>
                    <w:tr2bl w:val="nil"/>
                  </w:tcBorders>
                  <w:vAlign w:val="center"/>
                </w:tcPr>
                <w:p>
                  <w:pPr>
                    <w:pageBreakBefore w:val="0"/>
                    <w:kinsoku/>
                    <w:bidi w:val="0"/>
                    <w:adjustRightInd w:val="0"/>
                    <w:snapToGrid w:val="0"/>
                    <w:spacing w:beforeAutospacing="0" w:afterAutospacing="0"/>
                    <w:jc w:val="both"/>
                    <w:rPr>
                      <w:rFonts w:hint="default" w:ascii="Times New Roman" w:hAnsi="Times New Roman" w:eastAsia="宋体" w:cs="Times New Roman"/>
                      <w:color w:val="000000" w:themeColor="text1"/>
                      <w:spacing w:val="-17"/>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清扫粉尘收集后</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外售</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综合利用</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77" w:hRule="atLeast"/>
                <w:jc w:val="center"/>
              </w:trPr>
              <w:tc>
                <w:tcPr>
                  <w:tcW w:w="3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highlight w:val="none"/>
                      <w14:textFill>
                        <w14:solidFill>
                          <w14:schemeClr w14:val="tx1"/>
                        </w14:solidFill>
                      </w14:textFill>
                    </w:rPr>
                  </w:pPr>
                </w:p>
              </w:tc>
              <w:tc>
                <w:tcPr>
                  <w:tcW w:w="3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highlight w:val="none"/>
                      <w14:textFill>
                        <w14:solidFill>
                          <w14:schemeClr w14:val="tx1"/>
                        </w14:solidFill>
                      </w14:textFill>
                    </w:rPr>
                  </w:pPr>
                </w:p>
              </w:tc>
              <w:tc>
                <w:tcPr>
                  <w:tcW w:w="1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t>废矿物油</w:t>
                  </w:r>
                </w:p>
              </w:tc>
              <w:tc>
                <w:tcPr>
                  <w:tcW w:w="6618" w:type="dxa"/>
                  <w:tcBorders>
                    <w:tl2br w:val="nil"/>
                    <w:tr2bl w:val="nil"/>
                  </w:tcBorders>
                  <w:vAlign w:val="center"/>
                </w:tcPr>
                <w:p>
                  <w:pPr>
                    <w:pageBreakBefore w:val="0"/>
                    <w:kinsoku/>
                    <w:bidi w:val="0"/>
                    <w:adjustRightInd w:val="0"/>
                    <w:snapToGrid w:val="0"/>
                    <w:spacing w:beforeAutospacing="0" w:afterAutospacing="0"/>
                    <w:jc w:val="both"/>
                    <w:rPr>
                      <w:rFonts w:hint="default" w:ascii="Times New Roman" w:hAnsi="Times New Roman" w:eastAsia="宋体" w:cs="Times New Roman"/>
                      <w:color w:val="000000" w:themeColor="text1"/>
                      <w:spacing w:val="-17"/>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废矿物油暂存于</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20m</w:t>
                  </w:r>
                  <w:r>
                    <w:rPr>
                      <w:rFonts w:hint="eastAsia" w:ascii="Times New Roman" w:hAnsi="Times New Roman" w:eastAsia="宋体" w:cs="Times New Roman"/>
                      <w:bCs/>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危废暂存间</w:t>
                  </w:r>
                  <w: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位于维修车间东南侧</w:t>
                  </w:r>
                  <w: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，委托有资质单位处置</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77" w:hRule="atLeast"/>
                <w:jc w:val="center"/>
              </w:trPr>
              <w:tc>
                <w:tcPr>
                  <w:tcW w:w="3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highlight w:val="none"/>
                      <w14:textFill>
                        <w14:solidFill>
                          <w14:schemeClr w14:val="tx1"/>
                        </w14:solidFill>
                      </w14:textFill>
                    </w:rPr>
                  </w:pPr>
                </w:p>
              </w:tc>
              <w:tc>
                <w:tcPr>
                  <w:tcW w:w="3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highlight w:val="none"/>
                      <w14:textFill>
                        <w14:solidFill>
                          <w14:schemeClr w14:val="tx1"/>
                        </w14:solidFill>
                      </w14:textFill>
                    </w:rPr>
                  </w:pPr>
                </w:p>
              </w:tc>
              <w:tc>
                <w:tcPr>
                  <w:tcW w:w="1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eastAsia"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t>废油桶</w:t>
                  </w:r>
                </w:p>
              </w:tc>
              <w:tc>
                <w:tcPr>
                  <w:tcW w:w="6618" w:type="dxa"/>
                  <w:tcBorders>
                    <w:tl2br w:val="nil"/>
                    <w:tr2bl w:val="nil"/>
                  </w:tcBorders>
                  <w:vAlign w:val="center"/>
                </w:tcPr>
                <w:p>
                  <w:pPr>
                    <w:pageBreakBefore w:val="0"/>
                    <w:kinsoku/>
                    <w:bidi w:val="0"/>
                    <w:adjustRightInd w:val="0"/>
                    <w:snapToGrid w:val="0"/>
                    <w:spacing w:beforeAutospacing="0" w:afterAutospacing="0"/>
                    <w:jc w:val="both"/>
                    <w:rPr>
                      <w:rFonts w:hint="default" w:ascii="Times New Roman" w:hAnsi="Times New Roman" w:eastAsia="宋体" w:cs="Times New Roman"/>
                      <w:color w:val="000000" w:themeColor="text1"/>
                      <w:spacing w:val="-17"/>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废油桶暂存于</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20m</w:t>
                  </w:r>
                  <w:r>
                    <w:rPr>
                      <w:rFonts w:hint="eastAsia" w:ascii="Times New Roman" w:hAnsi="Times New Roman" w:eastAsia="宋体" w:cs="Times New Roman"/>
                      <w:bCs/>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危废暂存间</w:t>
                  </w:r>
                  <w: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位于维修车间东南侧</w:t>
                  </w:r>
                  <w: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，委托有资质单位处置</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77" w:hRule="atLeast"/>
                <w:jc w:val="center"/>
              </w:trPr>
              <w:tc>
                <w:tcPr>
                  <w:tcW w:w="3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highlight w:val="none"/>
                      <w14:textFill>
                        <w14:solidFill>
                          <w14:schemeClr w14:val="tx1"/>
                        </w14:solidFill>
                      </w14:textFill>
                    </w:rPr>
                  </w:pPr>
                </w:p>
              </w:tc>
              <w:tc>
                <w:tcPr>
                  <w:tcW w:w="3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highlight w:val="none"/>
                      <w14:textFill>
                        <w14:solidFill>
                          <w14:schemeClr w14:val="tx1"/>
                        </w14:solidFill>
                      </w14:textFill>
                    </w:rPr>
                  </w:pPr>
                </w:p>
              </w:tc>
              <w:tc>
                <w:tcPr>
                  <w:tcW w:w="1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t>隔油池油污</w:t>
                  </w:r>
                </w:p>
              </w:tc>
              <w:tc>
                <w:tcPr>
                  <w:tcW w:w="6618" w:type="dxa"/>
                  <w:tcBorders>
                    <w:tl2br w:val="nil"/>
                    <w:tr2bl w:val="nil"/>
                  </w:tcBorders>
                  <w:vAlign w:val="center"/>
                </w:tcPr>
                <w:p>
                  <w:pPr>
                    <w:pageBreakBefore w:val="0"/>
                    <w:kinsoku/>
                    <w:bidi w:val="0"/>
                    <w:adjustRightInd w:val="0"/>
                    <w:snapToGrid w:val="0"/>
                    <w:spacing w:beforeAutospacing="0" w:afterAutospacing="0"/>
                    <w:jc w:val="both"/>
                    <w:rPr>
                      <w:rFonts w:hint="default" w:ascii="Times New Roman" w:hAnsi="Times New Roman" w:eastAsia="宋体" w:cs="Times New Roman"/>
                      <w:color w:val="000000" w:themeColor="text1"/>
                      <w:spacing w:val="-17"/>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隔油池油污</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暂存于</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危废暂存间，定期委托有资质单位处置</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77" w:hRule="atLeast"/>
                <w:jc w:val="center"/>
              </w:trPr>
              <w:tc>
                <w:tcPr>
                  <w:tcW w:w="3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highlight w:val="none"/>
                      <w14:textFill>
                        <w14:solidFill>
                          <w14:schemeClr w14:val="tx1"/>
                        </w14:solidFill>
                      </w14:textFill>
                    </w:rPr>
                  </w:pPr>
                </w:p>
              </w:tc>
              <w:tc>
                <w:tcPr>
                  <w:tcW w:w="360"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highlight w:val="none"/>
                      <w14:textFill>
                        <w14:solidFill>
                          <w14:schemeClr w14:val="tx1"/>
                        </w14:solidFill>
                      </w14:textFill>
                    </w:rPr>
                  </w:pPr>
                </w:p>
              </w:tc>
              <w:tc>
                <w:tcPr>
                  <w:tcW w:w="163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2"/>
                      <w:sz w:val="21"/>
                      <w:szCs w:val="21"/>
                      <w:highlight w:val="none"/>
                      <w:lang w:val="en-US" w:eastAsia="zh-CN"/>
                      <w14:textFill>
                        <w14:solidFill>
                          <w14:schemeClr w14:val="tx1"/>
                        </w14:solidFill>
                      </w14:textFill>
                    </w:rPr>
                    <w:t>含油抹布</w:t>
                  </w:r>
                </w:p>
              </w:tc>
              <w:tc>
                <w:tcPr>
                  <w:tcW w:w="6618" w:type="dxa"/>
                  <w:tcBorders>
                    <w:tl2br w:val="nil"/>
                    <w:tr2bl w:val="nil"/>
                  </w:tcBorders>
                  <w:vAlign w:val="center"/>
                </w:tcPr>
                <w:p>
                  <w:pPr>
                    <w:pageBreakBefore w:val="0"/>
                    <w:kinsoku/>
                    <w:bidi w:val="0"/>
                    <w:adjustRightInd w:val="0"/>
                    <w:snapToGrid w:val="0"/>
                    <w:spacing w:beforeAutospacing="0" w:afterAutospacing="0"/>
                    <w:jc w:val="both"/>
                    <w:rPr>
                      <w:rFonts w:hint="default" w:ascii="Times New Roman" w:hAnsi="Times New Roman" w:eastAsia="宋体" w:cs="Times New Roman"/>
                      <w:color w:val="000000" w:themeColor="text1"/>
                      <w:spacing w:val="-17"/>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统一收集后</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与生活垃圾一同</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委托环卫部门清运处置</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09" w:hRule="atLeast"/>
                <w:jc w:val="center"/>
              </w:trPr>
              <w:tc>
                <w:tcPr>
                  <w:tcW w:w="3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highlight w:val="none"/>
                      <w14:textFill>
                        <w14:solidFill>
                          <w14:schemeClr w14:val="tx1"/>
                        </w14:solidFill>
                      </w14:textFill>
                    </w:rPr>
                  </w:pPr>
                </w:p>
              </w:tc>
              <w:tc>
                <w:tcPr>
                  <w:tcW w:w="199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sz w:val="21"/>
                      <w:szCs w:val="21"/>
                      <w:highlight w:val="none"/>
                      <w14:textFill>
                        <w14:solidFill>
                          <w14:schemeClr w14:val="tx1"/>
                        </w14:solidFill>
                      </w14:textFill>
                    </w:rPr>
                    <w:t>水土保持</w:t>
                  </w:r>
                </w:p>
              </w:tc>
              <w:tc>
                <w:tcPr>
                  <w:tcW w:w="66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both"/>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挡墙、截排水沟、沉沙池、植被措施等</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309" w:hRule="atLeast"/>
                <w:jc w:val="center"/>
              </w:trPr>
              <w:tc>
                <w:tcPr>
                  <w:tcW w:w="33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ascii="Times New Roman" w:hAnsi="Times New Roman" w:eastAsia="宋体"/>
                      <w:color w:val="000000" w:themeColor="text1"/>
                      <w14:textFill>
                        <w14:solidFill>
                          <w14:schemeClr w14:val="tx1"/>
                        </w14:solidFill>
                      </w14:textFill>
                    </w:rPr>
                  </w:pPr>
                  <w:bookmarkStart w:id="10" w:name="_Toc13810"/>
                </w:p>
              </w:tc>
              <w:tc>
                <w:tcPr>
                  <w:tcW w:w="1999"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center"/>
                    <w:textAlignment w:val="auto"/>
                    <w:rPr>
                      <w:rFonts w:hint="default" w:ascii="Times New Roman" w:hAnsi="Times New Roman" w:eastAsia="宋体" w:cs="Times New Roman"/>
                      <w:color w:val="000000" w:themeColor="text1"/>
                      <w:spacing w:val="-2"/>
                      <w:sz w:val="21"/>
                      <w:szCs w:val="21"/>
                      <w:highlight w:val="none"/>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噪声</w:t>
                  </w:r>
                </w:p>
              </w:tc>
              <w:tc>
                <w:tcPr>
                  <w:tcW w:w="661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left="0" w:leftChars="0" w:right="0" w:firstLine="0" w:firstLineChars="0"/>
                    <w:jc w:val="both"/>
                    <w:textAlignment w:val="auto"/>
                    <w:rPr>
                      <w:rFonts w:hint="default" w:ascii="Times New Roman" w:hAnsi="Times New Roman" w:eastAsia="宋体" w:cs="Times New Roman"/>
                      <w:color w:val="000000" w:themeColor="text1"/>
                      <w:spacing w:val="-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加强装卸设备及船舶的保养</w:t>
                  </w:r>
                  <w:r>
                    <w:rPr>
                      <w:rFonts w:hint="eastAsia" w:ascii="Times New Roman" w:hAnsi="Times New Roman" w:eastAsia="宋体" w:cs="Times New Roman"/>
                      <w:color w:val="000000" w:themeColor="text1"/>
                      <w:spacing w:val="-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1"/>
                      <w:sz w:val="21"/>
                      <w:szCs w:val="21"/>
                      <w:highlight w:val="none"/>
                      <w14:textFill>
                        <w14:solidFill>
                          <w14:schemeClr w14:val="tx1"/>
                        </w14:solidFill>
                      </w14:textFill>
                    </w:rPr>
                    <w:t>加强管理、控制运输车辆车速，严禁车辆鸣笛</w:t>
                  </w:r>
                </w:p>
              </w:tc>
            </w:tr>
          </w:tbl>
          <w:p>
            <w:pPr>
              <w:pageBreakBefore w:val="0"/>
              <w:kinsoku/>
              <w:bidi w:val="0"/>
              <w:spacing w:beforeAutospacing="0" w:afterAutospacing="0" w:line="240" w:lineRule="auto"/>
              <w:ind w:left="0" w:leftChars="0" w:firstLine="0" w:firstLineChars="0"/>
              <w:jc w:val="cente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表 </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2.4-2 </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主要经济技术指标一览表</w:t>
            </w:r>
          </w:p>
          <w:tbl>
            <w:tblPr>
              <w:tblStyle w:val="128"/>
              <w:tblW w:w="8954" w:type="dxa"/>
              <w:tblInd w:w="2"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680"/>
              <w:gridCol w:w="2417"/>
              <w:gridCol w:w="1715"/>
              <w:gridCol w:w="1636"/>
              <w:gridCol w:w="2506"/>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11" w:hRule="atLeast"/>
              </w:trPr>
              <w:tc>
                <w:tcPr>
                  <w:tcW w:w="68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序号</w:t>
                  </w:r>
                </w:p>
              </w:tc>
              <w:tc>
                <w:tcPr>
                  <w:tcW w:w="2417"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项目名称</w:t>
                  </w:r>
                </w:p>
              </w:tc>
              <w:tc>
                <w:tcPr>
                  <w:tcW w:w="171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单位</w:t>
                  </w:r>
                </w:p>
              </w:tc>
              <w:tc>
                <w:tcPr>
                  <w:tcW w:w="163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数量</w:t>
                  </w:r>
                </w:p>
              </w:tc>
              <w:tc>
                <w:tcPr>
                  <w:tcW w:w="250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备注</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8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w:t>
                  </w:r>
                </w:p>
              </w:tc>
              <w:tc>
                <w:tcPr>
                  <w:tcW w:w="2417"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设计吞吐量</w:t>
                  </w:r>
                </w:p>
              </w:tc>
              <w:tc>
                <w:tcPr>
                  <w:tcW w:w="171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万</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吨</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/年</w:t>
                  </w:r>
                </w:p>
              </w:tc>
              <w:tc>
                <w:tcPr>
                  <w:tcW w:w="163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190</w:t>
                  </w:r>
                </w:p>
              </w:tc>
              <w:tc>
                <w:tcPr>
                  <w:tcW w:w="250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河砂40万吨、碎石60万吨、非金属矿10万吨</w:t>
                  </w:r>
                  <w: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石板材50万吨、钢材30万吨</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68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w:t>
                  </w:r>
                </w:p>
              </w:tc>
              <w:tc>
                <w:tcPr>
                  <w:tcW w:w="2417"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泊位数</w:t>
                  </w:r>
                </w:p>
              </w:tc>
              <w:tc>
                <w:tcPr>
                  <w:tcW w:w="171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个</w:t>
                  </w:r>
                </w:p>
              </w:tc>
              <w:tc>
                <w:tcPr>
                  <w:tcW w:w="163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5</w:t>
                  </w:r>
                </w:p>
              </w:tc>
              <w:tc>
                <w:tcPr>
                  <w:tcW w:w="250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两座码头</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8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3</w:t>
                  </w:r>
                </w:p>
              </w:tc>
              <w:tc>
                <w:tcPr>
                  <w:tcW w:w="2417"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泊位吨级</w:t>
                  </w:r>
                </w:p>
              </w:tc>
              <w:tc>
                <w:tcPr>
                  <w:tcW w:w="171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DWT</w:t>
                  </w:r>
                </w:p>
              </w:tc>
              <w:tc>
                <w:tcPr>
                  <w:tcW w:w="163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3000</w:t>
                  </w:r>
                </w:p>
              </w:tc>
              <w:tc>
                <w:tcPr>
                  <w:tcW w:w="250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水工结构兼靠船型为5000吨级船舶</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772" w:hRule="atLeast"/>
              </w:trPr>
              <w:tc>
                <w:tcPr>
                  <w:tcW w:w="68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4</w:t>
                  </w:r>
                </w:p>
              </w:tc>
              <w:tc>
                <w:tcPr>
                  <w:tcW w:w="2417"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4</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5</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#泊位长度</w:t>
                  </w:r>
                </w:p>
              </w:tc>
              <w:tc>
                <w:tcPr>
                  <w:tcW w:w="171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m</w:t>
                  </w:r>
                </w:p>
              </w:tc>
              <w:tc>
                <w:tcPr>
                  <w:tcW w:w="163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260</w:t>
                  </w:r>
                </w:p>
              </w:tc>
              <w:tc>
                <w:tcPr>
                  <w:tcW w:w="250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68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5</w:t>
                  </w:r>
                </w:p>
              </w:tc>
              <w:tc>
                <w:tcPr>
                  <w:tcW w:w="2417"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#泊位长度</w:t>
                  </w:r>
                </w:p>
              </w:tc>
              <w:tc>
                <w:tcPr>
                  <w:tcW w:w="171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m</w:t>
                  </w:r>
                </w:p>
              </w:tc>
              <w:tc>
                <w:tcPr>
                  <w:tcW w:w="163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384</w:t>
                  </w:r>
                </w:p>
              </w:tc>
              <w:tc>
                <w:tcPr>
                  <w:tcW w:w="250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8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6</w:t>
                  </w:r>
                </w:p>
              </w:tc>
              <w:tc>
                <w:tcPr>
                  <w:tcW w:w="2417"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散货堆场面积</w:t>
                  </w:r>
                </w:p>
              </w:tc>
              <w:tc>
                <w:tcPr>
                  <w:tcW w:w="171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bCs/>
                      <w:color w:val="000000" w:themeColor="text1"/>
                      <w:sz w:val="21"/>
                      <w:szCs w:val="21"/>
                      <w:highlight w:val="none"/>
                      <w:vertAlign w:val="superscript"/>
                      <w:lang w:eastAsia="zh-CN"/>
                      <w14:textFill>
                        <w14:solidFill>
                          <w14:schemeClr w14:val="tx1"/>
                        </w14:solidFill>
                      </w14:textFill>
                    </w:rPr>
                    <w:t>2</w:t>
                  </w:r>
                </w:p>
              </w:tc>
              <w:tc>
                <w:tcPr>
                  <w:tcW w:w="163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36495</w:t>
                  </w:r>
                </w:p>
              </w:tc>
              <w:tc>
                <w:tcPr>
                  <w:tcW w:w="250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68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7</w:t>
                  </w:r>
                </w:p>
              </w:tc>
              <w:tc>
                <w:tcPr>
                  <w:tcW w:w="2417"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件杂货堆场面积</w:t>
                  </w:r>
                </w:p>
              </w:tc>
              <w:tc>
                <w:tcPr>
                  <w:tcW w:w="171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bCs/>
                      <w:color w:val="000000" w:themeColor="text1"/>
                      <w:sz w:val="21"/>
                      <w:szCs w:val="21"/>
                      <w:highlight w:val="none"/>
                      <w:vertAlign w:val="superscript"/>
                      <w:lang w:eastAsia="zh-CN"/>
                      <w14:textFill>
                        <w14:solidFill>
                          <w14:schemeClr w14:val="tx1"/>
                        </w14:solidFill>
                      </w14:textFill>
                    </w:rPr>
                    <w:t>2</w:t>
                  </w:r>
                </w:p>
              </w:tc>
              <w:tc>
                <w:tcPr>
                  <w:tcW w:w="163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34330</w:t>
                  </w:r>
                </w:p>
              </w:tc>
              <w:tc>
                <w:tcPr>
                  <w:tcW w:w="250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8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8</w:t>
                  </w:r>
                </w:p>
              </w:tc>
              <w:tc>
                <w:tcPr>
                  <w:tcW w:w="2417"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物流仓储堆场</w:t>
                  </w:r>
                </w:p>
              </w:tc>
              <w:tc>
                <w:tcPr>
                  <w:tcW w:w="171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bCs/>
                      <w:color w:val="000000" w:themeColor="text1"/>
                      <w:sz w:val="21"/>
                      <w:szCs w:val="21"/>
                      <w:highlight w:val="none"/>
                      <w:vertAlign w:val="superscript"/>
                      <w:lang w:eastAsia="zh-CN"/>
                      <w14:textFill>
                        <w14:solidFill>
                          <w14:schemeClr w14:val="tx1"/>
                        </w14:solidFill>
                      </w14:textFill>
                    </w:rPr>
                    <w:t>2</w:t>
                  </w:r>
                </w:p>
              </w:tc>
              <w:tc>
                <w:tcPr>
                  <w:tcW w:w="163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38715</w:t>
                  </w:r>
                </w:p>
              </w:tc>
              <w:tc>
                <w:tcPr>
                  <w:tcW w:w="250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68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9</w:t>
                  </w:r>
                </w:p>
              </w:tc>
              <w:tc>
                <w:tcPr>
                  <w:tcW w:w="2417"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综合仓库面积</w:t>
                  </w:r>
                </w:p>
              </w:tc>
              <w:tc>
                <w:tcPr>
                  <w:tcW w:w="171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bCs/>
                      <w:color w:val="000000" w:themeColor="text1"/>
                      <w:sz w:val="21"/>
                      <w:szCs w:val="21"/>
                      <w:highlight w:val="none"/>
                      <w:vertAlign w:val="superscript"/>
                      <w:lang w:eastAsia="zh-CN"/>
                      <w14:textFill>
                        <w14:solidFill>
                          <w14:schemeClr w14:val="tx1"/>
                        </w14:solidFill>
                      </w14:textFill>
                    </w:rPr>
                    <w:t>2</w:t>
                  </w:r>
                </w:p>
              </w:tc>
              <w:tc>
                <w:tcPr>
                  <w:tcW w:w="163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12528</w:t>
                  </w:r>
                </w:p>
              </w:tc>
              <w:tc>
                <w:tcPr>
                  <w:tcW w:w="250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0" w:hRule="atLeast"/>
              </w:trPr>
              <w:tc>
                <w:tcPr>
                  <w:tcW w:w="68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10</w:t>
                  </w:r>
                </w:p>
              </w:tc>
              <w:tc>
                <w:tcPr>
                  <w:tcW w:w="2417"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物流仓储仓库</w:t>
                  </w:r>
                </w:p>
              </w:tc>
              <w:tc>
                <w:tcPr>
                  <w:tcW w:w="171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bCs/>
                      <w:color w:val="000000" w:themeColor="text1"/>
                      <w:sz w:val="21"/>
                      <w:szCs w:val="21"/>
                      <w:highlight w:val="none"/>
                      <w:vertAlign w:val="superscript"/>
                      <w:lang w:eastAsia="zh-CN"/>
                      <w14:textFill>
                        <w14:solidFill>
                          <w14:schemeClr w14:val="tx1"/>
                        </w14:solidFill>
                      </w14:textFill>
                    </w:rPr>
                    <w:t>2</w:t>
                  </w:r>
                </w:p>
              </w:tc>
              <w:tc>
                <w:tcPr>
                  <w:tcW w:w="163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12960</w:t>
                  </w:r>
                </w:p>
              </w:tc>
              <w:tc>
                <w:tcPr>
                  <w:tcW w:w="250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8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11</w:t>
                  </w:r>
                </w:p>
              </w:tc>
              <w:tc>
                <w:tcPr>
                  <w:tcW w:w="2417"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港内道路面积</w:t>
                  </w:r>
                </w:p>
              </w:tc>
              <w:tc>
                <w:tcPr>
                  <w:tcW w:w="171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bCs/>
                      <w:color w:val="000000" w:themeColor="text1"/>
                      <w:sz w:val="21"/>
                      <w:szCs w:val="21"/>
                      <w:highlight w:val="none"/>
                      <w:vertAlign w:val="superscript"/>
                      <w:lang w:eastAsia="zh-CN"/>
                      <w14:textFill>
                        <w14:solidFill>
                          <w14:schemeClr w14:val="tx1"/>
                        </w14:solidFill>
                      </w14:textFill>
                    </w:rPr>
                    <w:t>2</w:t>
                  </w:r>
                </w:p>
              </w:tc>
              <w:tc>
                <w:tcPr>
                  <w:tcW w:w="163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41832</w:t>
                  </w:r>
                </w:p>
              </w:tc>
              <w:tc>
                <w:tcPr>
                  <w:tcW w:w="250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68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12</w:t>
                  </w:r>
                </w:p>
              </w:tc>
              <w:tc>
                <w:tcPr>
                  <w:tcW w:w="2417"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综合办公楼(5F)</w:t>
                  </w:r>
                </w:p>
              </w:tc>
              <w:tc>
                <w:tcPr>
                  <w:tcW w:w="171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bCs/>
                      <w:color w:val="000000" w:themeColor="text1"/>
                      <w:sz w:val="21"/>
                      <w:szCs w:val="21"/>
                      <w:highlight w:val="none"/>
                      <w:vertAlign w:val="superscript"/>
                      <w:lang w:eastAsia="zh-CN"/>
                      <w14:textFill>
                        <w14:solidFill>
                          <w14:schemeClr w14:val="tx1"/>
                        </w14:solidFill>
                      </w14:textFill>
                    </w:rPr>
                    <w:t>2</w:t>
                  </w:r>
                </w:p>
              </w:tc>
              <w:tc>
                <w:tcPr>
                  <w:tcW w:w="163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4000</w:t>
                  </w:r>
                </w:p>
              </w:tc>
              <w:tc>
                <w:tcPr>
                  <w:tcW w:w="250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8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13</w:t>
                  </w:r>
                </w:p>
              </w:tc>
              <w:tc>
                <w:tcPr>
                  <w:tcW w:w="2417"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仓储物流中心(5F)</w:t>
                  </w:r>
                </w:p>
              </w:tc>
              <w:tc>
                <w:tcPr>
                  <w:tcW w:w="171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bCs/>
                      <w:color w:val="000000" w:themeColor="text1"/>
                      <w:sz w:val="21"/>
                      <w:szCs w:val="21"/>
                      <w:highlight w:val="none"/>
                      <w:vertAlign w:val="superscript"/>
                      <w:lang w:eastAsia="zh-CN"/>
                      <w14:textFill>
                        <w14:solidFill>
                          <w14:schemeClr w14:val="tx1"/>
                        </w14:solidFill>
                      </w14:textFill>
                    </w:rPr>
                    <w:t>2</w:t>
                  </w:r>
                </w:p>
              </w:tc>
              <w:tc>
                <w:tcPr>
                  <w:tcW w:w="163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4000</w:t>
                  </w:r>
                </w:p>
              </w:tc>
              <w:tc>
                <w:tcPr>
                  <w:tcW w:w="250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68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14</w:t>
                  </w:r>
                </w:p>
              </w:tc>
              <w:tc>
                <w:tcPr>
                  <w:tcW w:w="2417"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宿舍楼(5F)</w:t>
                  </w:r>
                </w:p>
              </w:tc>
              <w:tc>
                <w:tcPr>
                  <w:tcW w:w="171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bCs/>
                      <w:color w:val="000000" w:themeColor="text1"/>
                      <w:sz w:val="21"/>
                      <w:szCs w:val="21"/>
                      <w:highlight w:val="none"/>
                      <w:vertAlign w:val="superscript"/>
                      <w:lang w:eastAsia="zh-CN"/>
                      <w14:textFill>
                        <w14:solidFill>
                          <w14:schemeClr w14:val="tx1"/>
                        </w14:solidFill>
                      </w14:textFill>
                    </w:rPr>
                    <w:t>2</w:t>
                  </w:r>
                </w:p>
              </w:tc>
              <w:tc>
                <w:tcPr>
                  <w:tcW w:w="163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4000</w:t>
                  </w:r>
                </w:p>
              </w:tc>
              <w:tc>
                <w:tcPr>
                  <w:tcW w:w="250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8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15</w:t>
                  </w:r>
                </w:p>
              </w:tc>
              <w:tc>
                <w:tcPr>
                  <w:tcW w:w="2417"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t>候工楼</w:t>
                  </w:r>
                </w:p>
              </w:tc>
              <w:tc>
                <w:tcPr>
                  <w:tcW w:w="171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bCs/>
                      <w:color w:val="000000" w:themeColor="text1"/>
                      <w:sz w:val="21"/>
                      <w:szCs w:val="21"/>
                      <w:highlight w:val="none"/>
                      <w:vertAlign w:val="superscript"/>
                      <w:lang w:eastAsia="zh-CN"/>
                      <w14:textFill>
                        <w14:solidFill>
                          <w14:schemeClr w14:val="tx1"/>
                        </w14:solidFill>
                      </w14:textFill>
                    </w:rPr>
                    <w:t>2</w:t>
                  </w:r>
                </w:p>
              </w:tc>
              <w:tc>
                <w:tcPr>
                  <w:tcW w:w="163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1575</w:t>
                  </w:r>
                </w:p>
              </w:tc>
              <w:tc>
                <w:tcPr>
                  <w:tcW w:w="250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1" w:hRule="atLeast"/>
              </w:trPr>
              <w:tc>
                <w:tcPr>
                  <w:tcW w:w="68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16</w:t>
                  </w:r>
                </w:p>
              </w:tc>
              <w:tc>
                <w:tcPr>
                  <w:tcW w:w="2417"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机修间</w:t>
                  </w:r>
                </w:p>
              </w:tc>
              <w:tc>
                <w:tcPr>
                  <w:tcW w:w="171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bCs/>
                      <w:color w:val="000000" w:themeColor="text1"/>
                      <w:sz w:val="21"/>
                      <w:szCs w:val="21"/>
                      <w:highlight w:val="none"/>
                      <w:vertAlign w:val="superscript"/>
                      <w:lang w:eastAsia="zh-CN"/>
                      <w14:textFill>
                        <w14:solidFill>
                          <w14:schemeClr w14:val="tx1"/>
                        </w14:solidFill>
                      </w14:textFill>
                    </w:rPr>
                    <w:t>2</w:t>
                  </w:r>
                </w:p>
              </w:tc>
              <w:tc>
                <w:tcPr>
                  <w:tcW w:w="163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432</w:t>
                  </w:r>
                </w:p>
              </w:tc>
              <w:tc>
                <w:tcPr>
                  <w:tcW w:w="250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68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17</w:t>
                  </w:r>
                </w:p>
              </w:tc>
              <w:tc>
                <w:tcPr>
                  <w:tcW w:w="2417"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机修场地</w:t>
                  </w:r>
                </w:p>
              </w:tc>
              <w:tc>
                <w:tcPr>
                  <w:tcW w:w="171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bCs/>
                      <w:color w:val="000000" w:themeColor="text1"/>
                      <w:sz w:val="21"/>
                      <w:szCs w:val="21"/>
                      <w:highlight w:val="none"/>
                      <w:vertAlign w:val="superscript"/>
                      <w:lang w:eastAsia="zh-CN"/>
                      <w14:textFill>
                        <w14:solidFill>
                          <w14:schemeClr w14:val="tx1"/>
                        </w14:solidFill>
                      </w14:textFill>
                    </w:rPr>
                    <w:t>2</w:t>
                  </w:r>
                </w:p>
              </w:tc>
              <w:tc>
                <w:tcPr>
                  <w:tcW w:w="163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1200</w:t>
                  </w:r>
                </w:p>
              </w:tc>
              <w:tc>
                <w:tcPr>
                  <w:tcW w:w="250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68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18</w:t>
                  </w:r>
                </w:p>
              </w:tc>
              <w:tc>
                <w:tcPr>
                  <w:tcW w:w="2417"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危废间</w:t>
                  </w:r>
                </w:p>
              </w:tc>
              <w:tc>
                <w:tcPr>
                  <w:tcW w:w="171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m</w:t>
                  </w:r>
                  <w:r>
                    <w:rPr>
                      <w:rFonts w:hint="eastAsia" w:ascii="Times New Roman" w:hAnsi="Times New Roman" w:eastAsia="宋体" w:cs="Times New Roman"/>
                      <w:bCs/>
                      <w:color w:val="000000" w:themeColor="text1"/>
                      <w:sz w:val="21"/>
                      <w:szCs w:val="21"/>
                      <w:highlight w:val="none"/>
                      <w:vertAlign w:val="superscript"/>
                      <w:lang w:val="en-US" w:eastAsia="zh-CN"/>
                      <w14:textFill>
                        <w14:solidFill>
                          <w14:schemeClr w14:val="tx1"/>
                        </w14:solidFill>
                      </w14:textFill>
                    </w:rPr>
                    <w:t>2</w:t>
                  </w:r>
                </w:p>
              </w:tc>
              <w:tc>
                <w:tcPr>
                  <w:tcW w:w="163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20</w:t>
                  </w:r>
                </w:p>
              </w:tc>
              <w:tc>
                <w:tcPr>
                  <w:tcW w:w="250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68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19</w:t>
                  </w:r>
                </w:p>
              </w:tc>
              <w:tc>
                <w:tcPr>
                  <w:tcW w:w="2417"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工具库</w:t>
                  </w:r>
                </w:p>
              </w:tc>
              <w:tc>
                <w:tcPr>
                  <w:tcW w:w="171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bCs/>
                      <w:color w:val="000000" w:themeColor="text1"/>
                      <w:sz w:val="21"/>
                      <w:szCs w:val="21"/>
                      <w:highlight w:val="none"/>
                      <w:vertAlign w:val="superscript"/>
                      <w:lang w:eastAsia="zh-CN"/>
                      <w14:textFill>
                        <w14:solidFill>
                          <w14:schemeClr w14:val="tx1"/>
                        </w14:solidFill>
                      </w14:textFill>
                    </w:rPr>
                    <w:t>2</w:t>
                  </w:r>
                </w:p>
              </w:tc>
              <w:tc>
                <w:tcPr>
                  <w:tcW w:w="163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432</w:t>
                  </w:r>
                </w:p>
              </w:tc>
              <w:tc>
                <w:tcPr>
                  <w:tcW w:w="250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68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20</w:t>
                  </w:r>
                </w:p>
              </w:tc>
              <w:tc>
                <w:tcPr>
                  <w:tcW w:w="2417"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机械库</w:t>
                  </w:r>
                </w:p>
              </w:tc>
              <w:tc>
                <w:tcPr>
                  <w:tcW w:w="171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bCs/>
                      <w:color w:val="000000" w:themeColor="text1"/>
                      <w:sz w:val="21"/>
                      <w:szCs w:val="21"/>
                      <w:highlight w:val="none"/>
                      <w:vertAlign w:val="superscript"/>
                      <w:lang w:eastAsia="zh-CN"/>
                      <w14:textFill>
                        <w14:solidFill>
                          <w14:schemeClr w14:val="tx1"/>
                        </w14:solidFill>
                      </w14:textFill>
                    </w:rPr>
                    <w:t>2</w:t>
                  </w:r>
                </w:p>
              </w:tc>
              <w:tc>
                <w:tcPr>
                  <w:tcW w:w="163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432</w:t>
                  </w:r>
                </w:p>
              </w:tc>
              <w:tc>
                <w:tcPr>
                  <w:tcW w:w="250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68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21</w:t>
                  </w:r>
                </w:p>
              </w:tc>
              <w:tc>
                <w:tcPr>
                  <w:tcW w:w="2417"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变电所</w:t>
                  </w:r>
                </w:p>
              </w:tc>
              <w:tc>
                <w:tcPr>
                  <w:tcW w:w="171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bCs/>
                      <w:color w:val="000000" w:themeColor="text1"/>
                      <w:sz w:val="21"/>
                      <w:szCs w:val="21"/>
                      <w:highlight w:val="none"/>
                      <w:vertAlign w:val="superscript"/>
                      <w:lang w:eastAsia="zh-CN"/>
                      <w14:textFill>
                        <w14:solidFill>
                          <w14:schemeClr w14:val="tx1"/>
                        </w14:solidFill>
                      </w14:textFill>
                    </w:rPr>
                    <w:t>2</w:t>
                  </w:r>
                </w:p>
              </w:tc>
              <w:tc>
                <w:tcPr>
                  <w:tcW w:w="163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720</w:t>
                  </w:r>
                </w:p>
              </w:tc>
              <w:tc>
                <w:tcPr>
                  <w:tcW w:w="250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3座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68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22</w:t>
                  </w:r>
                </w:p>
              </w:tc>
              <w:tc>
                <w:tcPr>
                  <w:tcW w:w="2417"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污水处理站</w:t>
                  </w:r>
                </w:p>
              </w:tc>
              <w:tc>
                <w:tcPr>
                  <w:tcW w:w="171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bCs/>
                      <w:color w:val="000000" w:themeColor="text1"/>
                      <w:sz w:val="21"/>
                      <w:szCs w:val="21"/>
                      <w:highlight w:val="none"/>
                      <w:vertAlign w:val="superscript"/>
                      <w:lang w:eastAsia="zh-CN"/>
                      <w14:textFill>
                        <w14:solidFill>
                          <w14:schemeClr w14:val="tx1"/>
                        </w14:solidFill>
                      </w14:textFill>
                    </w:rPr>
                    <w:t>2</w:t>
                  </w:r>
                </w:p>
              </w:tc>
              <w:tc>
                <w:tcPr>
                  <w:tcW w:w="163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540</w:t>
                  </w:r>
                </w:p>
              </w:tc>
              <w:tc>
                <w:tcPr>
                  <w:tcW w:w="250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680"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23</w:t>
                  </w:r>
                </w:p>
              </w:tc>
              <w:tc>
                <w:tcPr>
                  <w:tcW w:w="2417"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泵房</w:t>
                  </w:r>
                </w:p>
              </w:tc>
              <w:tc>
                <w:tcPr>
                  <w:tcW w:w="1715"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bCs/>
                      <w:color w:val="000000" w:themeColor="text1"/>
                      <w:sz w:val="21"/>
                      <w:szCs w:val="21"/>
                      <w:highlight w:val="none"/>
                      <w:vertAlign w:val="superscript"/>
                      <w:lang w:eastAsia="zh-CN"/>
                      <w14:textFill>
                        <w14:solidFill>
                          <w14:schemeClr w14:val="tx1"/>
                        </w14:solidFill>
                      </w14:textFill>
                    </w:rPr>
                    <w:t>2</w:t>
                  </w:r>
                </w:p>
              </w:tc>
              <w:tc>
                <w:tcPr>
                  <w:tcW w:w="1636"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216</w:t>
                  </w:r>
                </w:p>
              </w:tc>
              <w:tc>
                <w:tcPr>
                  <w:tcW w:w="2506"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680"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24</w:t>
                  </w:r>
                </w:p>
              </w:tc>
              <w:tc>
                <w:tcPr>
                  <w:tcW w:w="2417"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消防水池</w:t>
                  </w:r>
                </w:p>
              </w:tc>
              <w:tc>
                <w:tcPr>
                  <w:tcW w:w="1715"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bCs/>
                      <w:color w:val="000000" w:themeColor="text1"/>
                      <w:sz w:val="21"/>
                      <w:szCs w:val="21"/>
                      <w:highlight w:val="none"/>
                      <w:vertAlign w:val="superscript"/>
                      <w:lang w:eastAsia="zh-CN"/>
                      <w14:textFill>
                        <w14:solidFill>
                          <w14:schemeClr w14:val="tx1"/>
                        </w14:solidFill>
                      </w14:textFill>
                    </w:rPr>
                    <w:t>3</w:t>
                  </w:r>
                </w:p>
              </w:tc>
              <w:tc>
                <w:tcPr>
                  <w:tcW w:w="1636"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1000</w:t>
                  </w:r>
                </w:p>
              </w:tc>
              <w:tc>
                <w:tcPr>
                  <w:tcW w:w="2506"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2座</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680"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25</w:t>
                  </w:r>
                </w:p>
              </w:tc>
              <w:tc>
                <w:tcPr>
                  <w:tcW w:w="2417"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门卫</w:t>
                  </w:r>
                </w:p>
              </w:tc>
              <w:tc>
                <w:tcPr>
                  <w:tcW w:w="1715"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bCs/>
                      <w:color w:val="000000" w:themeColor="text1"/>
                      <w:sz w:val="21"/>
                      <w:szCs w:val="21"/>
                      <w:highlight w:val="none"/>
                      <w:vertAlign w:val="superscript"/>
                      <w:lang w:eastAsia="zh-CN"/>
                      <w14:textFill>
                        <w14:solidFill>
                          <w14:schemeClr w14:val="tx1"/>
                        </w14:solidFill>
                      </w14:textFill>
                    </w:rPr>
                    <w:t>2</w:t>
                  </w:r>
                </w:p>
              </w:tc>
              <w:tc>
                <w:tcPr>
                  <w:tcW w:w="1636"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72</w:t>
                  </w:r>
                </w:p>
              </w:tc>
              <w:tc>
                <w:tcPr>
                  <w:tcW w:w="2506"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680"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26</w:t>
                  </w:r>
                </w:p>
              </w:tc>
              <w:tc>
                <w:tcPr>
                  <w:tcW w:w="2417"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绿化率</w:t>
                  </w:r>
                </w:p>
              </w:tc>
              <w:tc>
                <w:tcPr>
                  <w:tcW w:w="1715"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p>
              </w:tc>
              <w:tc>
                <w:tcPr>
                  <w:tcW w:w="1636"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19.5</w:t>
                  </w:r>
                </w:p>
              </w:tc>
              <w:tc>
                <w:tcPr>
                  <w:tcW w:w="2506"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680"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27</w:t>
                  </w:r>
                </w:p>
              </w:tc>
              <w:tc>
                <w:tcPr>
                  <w:tcW w:w="2417"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港区总面积</w:t>
                  </w:r>
                </w:p>
              </w:tc>
              <w:tc>
                <w:tcPr>
                  <w:tcW w:w="1715"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公顷</w:t>
                  </w:r>
                </w:p>
              </w:tc>
              <w:tc>
                <w:tcPr>
                  <w:tcW w:w="1636"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35.4573</w:t>
                  </w:r>
                </w:p>
              </w:tc>
              <w:tc>
                <w:tcPr>
                  <w:tcW w:w="2506"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680"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28</w:t>
                  </w:r>
                </w:p>
              </w:tc>
              <w:tc>
                <w:tcPr>
                  <w:tcW w:w="2417"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前沿停泊水域</w:t>
                  </w:r>
                </w:p>
              </w:tc>
              <w:tc>
                <w:tcPr>
                  <w:tcW w:w="1715"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bCs/>
                      <w:color w:val="000000" w:themeColor="text1"/>
                      <w:sz w:val="21"/>
                      <w:szCs w:val="21"/>
                      <w:highlight w:val="none"/>
                      <w:vertAlign w:val="superscript"/>
                      <w:lang w:eastAsia="zh-CN"/>
                      <w14:textFill>
                        <w14:solidFill>
                          <w14:schemeClr w14:val="tx1"/>
                        </w14:solidFill>
                      </w14:textFill>
                    </w:rPr>
                    <w:t>2</w:t>
                  </w:r>
                </w:p>
              </w:tc>
              <w:tc>
                <w:tcPr>
                  <w:tcW w:w="1636"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23585</w:t>
                  </w:r>
                </w:p>
              </w:tc>
              <w:tc>
                <w:tcPr>
                  <w:tcW w:w="2506"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680"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29</w:t>
                  </w:r>
                </w:p>
              </w:tc>
              <w:tc>
                <w:tcPr>
                  <w:tcW w:w="2417"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船舶回旋水域</w:t>
                  </w:r>
                </w:p>
              </w:tc>
              <w:tc>
                <w:tcPr>
                  <w:tcW w:w="1715"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bCs/>
                      <w:color w:val="000000" w:themeColor="text1"/>
                      <w:sz w:val="21"/>
                      <w:szCs w:val="21"/>
                      <w:highlight w:val="none"/>
                      <w:vertAlign w:val="superscript"/>
                      <w:lang w:eastAsia="zh-CN"/>
                      <w14:textFill>
                        <w14:solidFill>
                          <w14:schemeClr w14:val="tx1"/>
                        </w14:solidFill>
                      </w14:textFill>
                    </w:rPr>
                    <w:t>2</w:t>
                  </w:r>
                </w:p>
              </w:tc>
              <w:tc>
                <w:tcPr>
                  <w:tcW w:w="1636"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152735</w:t>
                  </w:r>
                </w:p>
              </w:tc>
              <w:tc>
                <w:tcPr>
                  <w:tcW w:w="2506"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680"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30</w:t>
                  </w:r>
                </w:p>
              </w:tc>
              <w:tc>
                <w:tcPr>
                  <w:tcW w:w="2417"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综合能耗总量</w:t>
                  </w:r>
                </w:p>
              </w:tc>
              <w:tc>
                <w:tcPr>
                  <w:tcW w:w="1715"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t/a</w:t>
                  </w:r>
                </w:p>
              </w:tc>
              <w:tc>
                <w:tcPr>
                  <w:tcW w:w="1636"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505.33</w:t>
                  </w:r>
                </w:p>
              </w:tc>
              <w:tc>
                <w:tcPr>
                  <w:tcW w:w="2506"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5" w:hRule="atLeast"/>
              </w:trPr>
              <w:tc>
                <w:tcPr>
                  <w:tcW w:w="680"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3</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1</w:t>
                  </w:r>
                </w:p>
              </w:tc>
              <w:tc>
                <w:tcPr>
                  <w:tcW w:w="2417"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综合耗能</w:t>
                  </w:r>
                </w:p>
              </w:tc>
              <w:tc>
                <w:tcPr>
                  <w:tcW w:w="1715"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吨标煤</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万吨</w:t>
                  </w:r>
                </w:p>
              </w:tc>
              <w:tc>
                <w:tcPr>
                  <w:tcW w:w="1636"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2.66</w:t>
                  </w:r>
                </w:p>
              </w:tc>
              <w:tc>
                <w:tcPr>
                  <w:tcW w:w="2506"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1、主体工程（水工建筑物）</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两座码头采用重力式沉箱结构，</w:t>
            </w:r>
            <w:r>
              <w:rPr>
                <w:rFonts w:hint="default" w:ascii="Times New Roman" w:hAnsi="Times New Roman" w:eastAsia="宋体" w:cs="Times New Roman"/>
                <w:color w:val="000000" w:themeColor="text1"/>
                <w:sz w:val="24"/>
                <w:szCs w:val="24"/>
                <w:highlight w:val="none"/>
                <w14:textFill>
                  <w14:solidFill>
                    <w14:schemeClr w14:val="tx1"/>
                  </w14:solidFill>
                </w14:textFill>
              </w:rPr>
              <w:t>其中</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1-3#</w:t>
            </w:r>
            <w:r>
              <w:rPr>
                <w:rFonts w:hint="default" w:ascii="Times New Roman" w:hAnsi="Times New Roman" w:eastAsia="宋体" w:cs="Times New Roman"/>
                <w:color w:val="000000" w:themeColor="text1"/>
                <w:sz w:val="24"/>
                <w:szCs w:val="24"/>
                <w:highlight w:val="none"/>
                <w14:textFill>
                  <w14:solidFill>
                    <w14:schemeClr w14:val="tx1"/>
                  </w14:solidFill>
                </w14:textFill>
              </w:rPr>
              <w:t>泊位码头长为384m</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，4-5#</w:t>
            </w:r>
            <w:r>
              <w:rPr>
                <w:rFonts w:hint="default" w:ascii="Times New Roman" w:hAnsi="Times New Roman" w:eastAsia="宋体" w:cs="Times New Roman"/>
                <w:color w:val="000000" w:themeColor="text1"/>
                <w:sz w:val="24"/>
                <w:szCs w:val="24"/>
                <w:highlight w:val="none"/>
                <w14:textFill>
                  <w14:solidFill>
                    <w14:schemeClr w14:val="tx1"/>
                  </w14:solidFill>
                </w14:textFill>
              </w:rPr>
              <w:t>泊位码头长260m</w:t>
            </w:r>
            <w:r>
              <w:rPr>
                <w:rFonts w:hint="default" w:ascii="Times New Roman" w:hAnsi="Times New Roman" w:eastAsia="宋体" w:cs="Times New Roman"/>
                <w:color w:val="000000" w:themeColor="text1"/>
                <w:sz w:val="24"/>
                <w:szCs w:val="24"/>
                <w:highlight w:val="none"/>
                <w14:textFill>
                  <w14:solidFill>
                    <w14:schemeClr w14:val="tx1"/>
                  </w14:solidFill>
                </w14:textFill>
              </w:rPr>
              <w:t>。结构从下往上分别为抛石基床、预制沉箱、预制卸荷板和现浇胸墙。码头面标高为5.0m，基床顶标高-11.5m，基床块石为10</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100kg，结构持力层为卵石层。沉箱内回填中粗砂，沉箱后侧抛填10</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100Kg的块石减压棱体及倒滤层。码头面上设有门机轨道，轨道型号为QU100。门机前轨</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坐落在</w:t>
            </w:r>
            <w:r>
              <w:rPr>
                <w:rFonts w:hint="default" w:ascii="Times New Roman" w:hAnsi="Times New Roman" w:eastAsia="宋体" w:cs="Times New Roman"/>
                <w:color w:val="000000" w:themeColor="text1"/>
                <w:sz w:val="24"/>
                <w:szCs w:val="24"/>
                <w:highlight w:val="none"/>
                <w14:textFill>
                  <w14:solidFill>
                    <w14:schemeClr w14:val="tx1"/>
                  </w14:solidFill>
                </w14:textFill>
              </w:rPr>
              <w:t>砼胸墙上，门机后轨采用轨枕</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道砟</w:t>
            </w:r>
            <w:r>
              <w:rPr>
                <w:rFonts w:hint="default" w:ascii="Times New Roman" w:hAnsi="Times New Roman" w:eastAsia="宋体" w:cs="Times New Roman"/>
                <w:color w:val="000000" w:themeColor="text1"/>
                <w:sz w:val="24"/>
                <w:szCs w:val="24"/>
                <w:highlight w:val="none"/>
                <w14:textFill>
                  <w14:solidFill>
                    <w14:schemeClr w14:val="tx1"/>
                  </w14:solidFill>
                </w14:textFill>
              </w:rPr>
              <w:t>结构；系缆设施采用450KN的系船柱，靠船防护设施垂直布置采用DA-A400，水平布置DA-A300，加强码头安全防护。</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2、驳岸结构</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由于本工程驳岸岸线较长，地质情况复杂多变，驳岸进行分别处理。方案一驳岸总长度约为1773m，码头平台附近驳岸利用爆破挤淤法形成驳岸的抛石基础，上方有高3m的块石砼挡墙坐落在厚500mm的现浇钢筋砼底板上，顶部为宽1.0m，高0.8m的砼压顶。墙后设抛石棱体、倒滤层，后方回填开山土石。驳岸外侧采用斜坡式坡面，坡肩宽3.0m，坡度为1:2，外侧坡干砌600mm厚块石护面和150mm厚的二片石垫层；在标高-0.8m处设一抛石棱体，肩台宽3.0m，坡度为1:2。后侧回填开山土石，分层碾压密实，形成陆域。仓储物流区域的驳岸采用干砌块石斜坡堤结构，堤顶高程为5.0m，上部有底宽1.0m，高0.8m的砼压顶，下有1.5m宽的二片石垫层厚200mm，与砼压顶组合成L型结构。驳岸位置先在原地面线面上回填1.0m厚的中粗砂，再施打塑料排水板进行软基处理。地基加固后抛填块石(10～100kg)作为基础，内侧设有倒滤层，外侧坡干砌300mm厚块石护面。另有半直立式挡墙结构，上部有底宽1.0m，高0.8m的砼压顶，顶高程为5.0m。下方是块石砼挡墙，外侧坡度为10:1，内侧坡度为2:1，坐落在中风化凝灰岩上。</w:t>
            </w:r>
          </w:p>
          <w:p>
            <w:pPr>
              <w:pStyle w:val="15"/>
              <w:pageBreakBefore w:val="0"/>
              <w:kinsoku/>
              <w:bidi w:val="0"/>
              <w:spacing w:beforeAutospacing="0" w:afterAutospacing="0"/>
              <w:ind w:left="0" w:leftChars="0" w:firstLine="0" w:firstLineChars="0"/>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drawing>
                <wp:inline distT="0" distB="0" distL="114300" distR="114300">
                  <wp:extent cx="5674360" cy="2505075"/>
                  <wp:effectExtent l="0" t="0" r="2540" b="9525"/>
                  <wp:docPr id="203" name="图片 203" descr="万成物流码头效果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万成物流码头效果图"/>
                          <pic:cNvPicPr>
                            <a:picLocks noChangeAspect="1"/>
                          </pic:cNvPicPr>
                        </pic:nvPicPr>
                        <pic:blipFill>
                          <a:blip r:embed="rId11"/>
                          <a:stretch>
                            <a:fillRect/>
                          </a:stretch>
                        </pic:blipFill>
                        <pic:spPr>
                          <a:xfrm>
                            <a:off x="0" y="0"/>
                            <a:ext cx="5674360" cy="25050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jc w:val="center"/>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图2.4-1本项目效果示意图</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2" w:firstLineChars="200"/>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3、装卸工艺</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目前码头常用装卸设备主要有桥式起重机、门座起重机等机型，桥式起重机通过起升机构和小车行走完成作业过程，吊具运行较为平稳，作业效率较高，但其造价较高，设备维护保养工作量也较大，另设备自重及轮压均较大，引起水工结构投资的增加。门座起重机由于具有造价较低、作业灵活，维修保养较为简便和对货种适应性较强等优点而被广泛采用。</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#泊位为散货泊位，</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#泊位主要进行散货卸船，</w:t>
            </w:r>
            <w:r>
              <w:rPr>
                <w:rFonts w:hint="default" w:ascii="Times New Roman" w:hAnsi="Times New Roman" w:eastAsia="宋体" w:cs="Times New Roman"/>
                <w:color w:val="000000" w:themeColor="text1"/>
                <w:sz w:val="24"/>
                <w:szCs w:val="24"/>
                <w:highlight w:val="none"/>
                <w14:textFill>
                  <w14:solidFill>
                    <w14:schemeClr w14:val="tx1"/>
                  </w14:solidFill>
                </w14:textFill>
              </w:rPr>
              <w:t>卸船设备配备一台16t门机，门机轨道距码头前沿3m，轨距10.5m，门机最大工作幅度26m；</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#泊位主要进行散货装船，装船设备配备1台600t/h的移动式装船机，装船机轨道距码头前沿3m，轨距10.5m</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#泊位为件杂货泊位，</w:t>
            </w:r>
            <w:r>
              <w:rPr>
                <w:rFonts w:hint="default" w:ascii="Times New Roman" w:hAnsi="Times New Roman" w:eastAsia="宋体" w:cs="Times New Roman"/>
                <w:color w:val="000000" w:themeColor="text1"/>
                <w:sz w:val="24"/>
                <w:szCs w:val="24"/>
                <w:highlight w:val="none"/>
                <w14:textFill>
                  <w14:solidFill>
                    <w14:schemeClr w14:val="tx1"/>
                  </w14:solidFill>
                </w14:textFill>
              </w:rPr>
              <w:t>装卸设备配备1台25t门机、2台16t门机，门机轨道距码头前沿3m，轨距均为10.5m，最大工作幅度为26m。</w:t>
            </w:r>
          </w:p>
          <w:p>
            <w:pPr>
              <w:pageBreakBefore w:val="0"/>
              <w:kinsoku/>
              <w:bidi w:val="0"/>
              <w:spacing w:beforeAutospacing="0" w:afterAutospacing="0" w:line="360" w:lineRule="auto"/>
              <w:ind w:firstLine="480" w:firstLineChars="200"/>
              <w:jc w:val="both"/>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水平运输工艺：件杂货堆场采用25t、16t轮胎吊，散货场采用5m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装载机和移动皮带输送机。</w:t>
            </w:r>
          </w:p>
          <w:p>
            <w:pPr>
              <w:pageBreakBefore w:val="0"/>
              <w:kinsoku/>
              <w:bidi w:val="0"/>
              <w:spacing w:beforeAutospacing="0" w:afterAutospacing="0" w:line="360" w:lineRule="auto"/>
              <w:ind w:firstLine="480" w:firstLineChars="200"/>
              <w:jc w:val="both"/>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堆场作业</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：件杂货堆场采用25t、16t轮胎吊，散货场采用5m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装载机和移动皮带输送机。</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①年吞吐量</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根据福州港沙埕港区吞吐量预测、福州港总体规划等，本项目市场定位为：为福鼎市矿建材料、钢材、非金属矿石等提供港口作业平台，同时，为在本工程区引进的水产品加工、冷冻项目等提供进出口方便。</w:t>
            </w:r>
          </w:p>
          <w:p>
            <w:pPr>
              <w:pageBreakBefore w:val="0"/>
              <w:kinsoku/>
              <w:bidi w:val="0"/>
              <w:adjustRightInd w:val="0"/>
              <w:snapToGrid w:val="0"/>
              <w:spacing w:beforeAutospacing="0" w:afterAutospacing="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表</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2.4-3</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 xml:space="preserve"> 本</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项目</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吞吐量预测及流向表</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单位：万吨</w:t>
            </w:r>
          </w:p>
          <w:tbl>
            <w:tblPr>
              <w:tblStyle w:val="128"/>
              <w:tblW w:w="8954" w:type="dxa"/>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3077"/>
              <w:gridCol w:w="1093"/>
              <w:gridCol w:w="1059"/>
              <w:gridCol w:w="1439"/>
              <w:gridCol w:w="2286"/>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57" w:hRule="atLeast"/>
              </w:trPr>
              <w:tc>
                <w:tcPr>
                  <w:tcW w:w="3077"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货种</w:t>
                  </w:r>
                </w:p>
              </w:tc>
              <w:tc>
                <w:tcPr>
                  <w:tcW w:w="109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合计</w:t>
                  </w:r>
                </w:p>
              </w:tc>
              <w:tc>
                <w:tcPr>
                  <w:tcW w:w="105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进口</w:t>
                  </w:r>
                </w:p>
              </w:tc>
              <w:tc>
                <w:tcPr>
                  <w:tcW w:w="143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出口</w:t>
                  </w:r>
                </w:p>
              </w:tc>
              <w:tc>
                <w:tcPr>
                  <w:tcW w:w="228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流向</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46" w:hRule="atLeast"/>
              </w:trPr>
              <w:tc>
                <w:tcPr>
                  <w:tcW w:w="3077"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一、干散货(万吨)</w:t>
                  </w:r>
                </w:p>
              </w:tc>
              <w:tc>
                <w:tcPr>
                  <w:tcW w:w="109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110</w:t>
                  </w:r>
                </w:p>
              </w:tc>
              <w:tc>
                <w:tcPr>
                  <w:tcW w:w="105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40</w:t>
                  </w:r>
                </w:p>
              </w:tc>
              <w:tc>
                <w:tcPr>
                  <w:tcW w:w="143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70</w:t>
                  </w:r>
                </w:p>
              </w:tc>
              <w:tc>
                <w:tcPr>
                  <w:tcW w:w="228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3077"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碎石</w:t>
                  </w:r>
                </w:p>
              </w:tc>
              <w:tc>
                <w:tcPr>
                  <w:tcW w:w="109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60</w:t>
                  </w:r>
                </w:p>
              </w:tc>
              <w:tc>
                <w:tcPr>
                  <w:tcW w:w="105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143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60</w:t>
                  </w:r>
                </w:p>
              </w:tc>
              <w:tc>
                <w:tcPr>
                  <w:tcW w:w="228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东南沿海、华南沿海</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3077"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河砂</w:t>
                  </w:r>
                </w:p>
              </w:tc>
              <w:tc>
                <w:tcPr>
                  <w:tcW w:w="109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40</w:t>
                  </w:r>
                </w:p>
              </w:tc>
              <w:tc>
                <w:tcPr>
                  <w:tcW w:w="105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40</w:t>
                  </w:r>
                </w:p>
              </w:tc>
              <w:tc>
                <w:tcPr>
                  <w:tcW w:w="143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228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国内沿海北方</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3077"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非金属矿石</w:t>
                  </w:r>
                </w:p>
              </w:tc>
              <w:tc>
                <w:tcPr>
                  <w:tcW w:w="109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10</w:t>
                  </w:r>
                </w:p>
              </w:tc>
              <w:tc>
                <w:tcPr>
                  <w:tcW w:w="105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143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10</w:t>
                  </w:r>
                </w:p>
              </w:tc>
              <w:tc>
                <w:tcPr>
                  <w:tcW w:w="228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出口山东</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3077"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二、件杂货(万吨)</w:t>
                  </w:r>
                </w:p>
              </w:tc>
              <w:tc>
                <w:tcPr>
                  <w:tcW w:w="109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80</w:t>
                  </w:r>
                </w:p>
              </w:tc>
              <w:tc>
                <w:tcPr>
                  <w:tcW w:w="105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30</w:t>
                  </w:r>
                </w:p>
              </w:tc>
              <w:tc>
                <w:tcPr>
                  <w:tcW w:w="143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50</w:t>
                  </w:r>
                </w:p>
              </w:tc>
              <w:tc>
                <w:tcPr>
                  <w:tcW w:w="228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36" w:hRule="atLeast"/>
              </w:trPr>
              <w:tc>
                <w:tcPr>
                  <w:tcW w:w="3077"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石板材</w:t>
                  </w:r>
                </w:p>
              </w:tc>
              <w:tc>
                <w:tcPr>
                  <w:tcW w:w="109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50</w:t>
                  </w:r>
                </w:p>
              </w:tc>
              <w:tc>
                <w:tcPr>
                  <w:tcW w:w="105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143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50</w:t>
                  </w:r>
                </w:p>
              </w:tc>
              <w:tc>
                <w:tcPr>
                  <w:tcW w:w="228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出口到上海等地</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3077"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钢材</w:t>
                  </w:r>
                </w:p>
              </w:tc>
              <w:tc>
                <w:tcPr>
                  <w:tcW w:w="109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3</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0</w:t>
                  </w:r>
                </w:p>
              </w:tc>
              <w:tc>
                <w:tcPr>
                  <w:tcW w:w="105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3</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0</w:t>
                  </w:r>
                </w:p>
              </w:tc>
              <w:tc>
                <w:tcPr>
                  <w:tcW w:w="143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228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进口主要来自武汉、上海、江苏等地</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69" w:hRule="atLeast"/>
              </w:trPr>
              <w:tc>
                <w:tcPr>
                  <w:tcW w:w="3077"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t>总计</w:t>
                  </w:r>
                </w:p>
              </w:tc>
              <w:tc>
                <w:tcPr>
                  <w:tcW w:w="109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t>19</w:t>
                  </w:r>
                  <w:r>
                    <w:rPr>
                      <w:rFonts w:hint="eastAsia"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0</w:t>
                  </w:r>
                </w:p>
              </w:tc>
              <w:tc>
                <w:tcPr>
                  <w:tcW w:w="105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t>7</w:t>
                  </w:r>
                  <w:r>
                    <w:rPr>
                      <w:rFonts w:hint="eastAsia"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0</w:t>
                  </w:r>
                </w:p>
              </w:tc>
              <w:tc>
                <w:tcPr>
                  <w:tcW w:w="143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t>120</w:t>
                  </w:r>
                </w:p>
              </w:tc>
              <w:tc>
                <w:tcPr>
                  <w:tcW w:w="228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bCs w:val="0"/>
                      <w:color w:val="000000" w:themeColor="text1"/>
                      <w:sz w:val="21"/>
                      <w:szCs w:val="21"/>
                      <w:highlight w:val="none"/>
                      <w:lang w:eastAsia="zh-CN"/>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②设计代表船型</w:t>
            </w:r>
          </w:p>
          <w:p>
            <w:pPr>
              <w:pageBreakBefore w:val="0"/>
              <w:kinsoku/>
              <w:bidi w:val="0"/>
              <w:spacing w:beforeAutospacing="0" w:afterAutospacing="0" w:line="360" w:lineRule="auto"/>
              <w:ind w:firstLine="480" w:firstLineChars="200"/>
              <w:jc w:val="both"/>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工程设计代表船型尺度参照“《海港总平面设计规范》(JTJ211-99)局部修</w:t>
            </w:r>
          </w:p>
          <w:p>
            <w:pPr>
              <w:pageBreakBefore w:val="0"/>
              <w:kinsoku/>
              <w:bidi w:val="0"/>
              <w:spacing w:beforeAutospacing="0" w:afterAutospacing="0" w:line="360" w:lineRule="auto"/>
              <w:jc w:val="both"/>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订”中设计船型尺度选用，其主要尺度见表2.4-4。</w:t>
            </w:r>
          </w:p>
          <w:p>
            <w:pPr>
              <w:pageBreakBefore w:val="0"/>
              <w:kinsoku/>
              <w:bidi w:val="0"/>
              <w:adjustRightInd w:val="0"/>
              <w:snapToGrid w:val="0"/>
              <w:spacing w:beforeAutospacing="0" w:afterAutospacing="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p>
          <w:p>
            <w:pPr>
              <w:pageBreakBefore w:val="0"/>
              <w:kinsoku/>
              <w:bidi w:val="0"/>
              <w:adjustRightInd w:val="0"/>
              <w:snapToGrid w:val="0"/>
              <w:spacing w:beforeAutospacing="0" w:afterAutospacing="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p>
          <w:p>
            <w:pPr>
              <w:pageBreakBefore w:val="0"/>
              <w:kinsoku/>
              <w:bidi w:val="0"/>
              <w:adjustRightInd w:val="0"/>
              <w:snapToGrid w:val="0"/>
              <w:spacing w:beforeAutospacing="0" w:afterAutospacing="0"/>
              <w:jc w:val="cente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表</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2.4-4设计代表船型参数</w:t>
            </w:r>
          </w:p>
          <w:tbl>
            <w:tblPr>
              <w:tblStyle w:val="34"/>
              <w:tblW w:w="89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6"/>
              <w:gridCol w:w="890"/>
              <w:gridCol w:w="1080"/>
              <w:gridCol w:w="999"/>
              <w:gridCol w:w="1368"/>
              <w:gridCol w:w="2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6" w:type="dxa"/>
                  <w:tcBorders>
                    <w:top w:val="single" w:color="auto" w:sz="12" w:space="0"/>
                  </w:tcBorders>
                  <w:vAlign w:val="center"/>
                </w:tcPr>
                <w:p>
                  <w:pPr>
                    <w:pageBreakBefore w:val="0"/>
                    <w:kinsoku/>
                    <w:bidi w:val="0"/>
                    <w:adjustRightInd w:val="0"/>
                    <w:snapToGrid w:val="0"/>
                    <w:spacing w:beforeAutospacing="0" w:afterAutospacing="0"/>
                    <w:jc w:val="cente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船型</w:t>
                  </w:r>
                </w:p>
              </w:tc>
              <w:tc>
                <w:tcPr>
                  <w:tcW w:w="890" w:type="dxa"/>
                  <w:tcBorders>
                    <w:top w:val="single" w:color="auto" w:sz="12" w:space="0"/>
                  </w:tcBorders>
                  <w:vAlign w:val="center"/>
                </w:tcPr>
                <w:p>
                  <w:pPr>
                    <w:pageBreakBefore w:val="0"/>
                    <w:kinsoku/>
                    <w:bidi w:val="0"/>
                    <w:adjustRightInd w:val="0"/>
                    <w:snapToGrid w:val="0"/>
                    <w:spacing w:beforeAutospacing="0" w:afterAutospacing="0"/>
                    <w:jc w:val="cente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总长L</w:t>
                  </w:r>
                </w:p>
              </w:tc>
              <w:tc>
                <w:tcPr>
                  <w:tcW w:w="1080" w:type="dxa"/>
                  <w:tcBorders>
                    <w:top w:val="single" w:color="auto" w:sz="12" w:space="0"/>
                  </w:tcBorders>
                  <w:vAlign w:val="center"/>
                </w:tcPr>
                <w:p>
                  <w:pPr>
                    <w:pageBreakBefore w:val="0"/>
                    <w:kinsoku/>
                    <w:bidi w:val="0"/>
                    <w:adjustRightInd w:val="0"/>
                    <w:snapToGrid w:val="0"/>
                    <w:spacing w:beforeAutospacing="0" w:afterAutospacing="0"/>
                    <w:jc w:val="cente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型宽B</w:t>
                  </w:r>
                </w:p>
              </w:tc>
              <w:tc>
                <w:tcPr>
                  <w:tcW w:w="999" w:type="dxa"/>
                  <w:tcBorders>
                    <w:top w:val="single" w:color="auto" w:sz="12" w:space="0"/>
                  </w:tcBorders>
                  <w:vAlign w:val="center"/>
                </w:tcPr>
                <w:p>
                  <w:pPr>
                    <w:pageBreakBefore w:val="0"/>
                    <w:kinsoku/>
                    <w:bidi w:val="0"/>
                    <w:adjustRightInd w:val="0"/>
                    <w:snapToGrid w:val="0"/>
                    <w:spacing w:beforeAutospacing="0" w:afterAutospacing="0"/>
                    <w:jc w:val="cente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型深H</w:t>
                  </w:r>
                </w:p>
              </w:tc>
              <w:tc>
                <w:tcPr>
                  <w:tcW w:w="1368" w:type="dxa"/>
                  <w:tcBorders>
                    <w:top w:val="single" w:color="auto" w:sz="12" w:space="0"/>
                  </w:tcBorders>
                  <w:vAlign w:val="center"/>
                </w:tcPr>
                <w:p>
                  <w:pPr>
                    <w:pageBreakBefore w:val="0"/>
                    <w:kinsoku/>
                    <w:bidi w:val="0"/>
                    <w:adjustRightInd w:val="0"/>
                    <w:snapToGrid w:val="0"/>
                    <w:spacing w:beforeAutospacing="0" w:afterAutospacing="0"/>
                    <w:jc w:val="cente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满载吃水T</w:t>
                  </w:r>
                </w:p>
              </w:tc>
              <w:tc>
                <w:tcPr>
                  <w:tcW w:w="2336" w:type="dxa"/>
                  <w:tcBorders>
                    <w:top w:val="single" w:color="auto" w:sz="12" w:space="0"/>
                    <w:right w:val="nil"/>
                  </w:tcBorders>
                  <w:vAlign w:val="center"/>
                </w:tcPr>
                <w:p>
                  <w:pPr>
                    <w:pageBreakBefore w:val="0"/>
                    <w:kinsoku/>
                    <w:bidi w:val="0"/>
                    <w:adjustRightInd w:val="0"/>
                    <w:snapToGrid w:val="0"/>
                    <w:spacing w:beforeAutospacing="0" w:afterAutospacing="0"/>
                    <w:jc w:val="center"/>
                    <w:rPr>
                      <w:rFonts w:hint="eastAsia" w:ascii="Times New Roman" w:hAnsi="Times New Roman" w:eastAsia="宋体" w:cs="Times New Roman"/>
                      <w:b w:val="0"/>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6" w:type="dxa"/>
                  <w:tcBorders>
                    <w:left w:val="nil"/>
                  </w:tcBorders>
                  <w:vAlign w:val="center"/>
                </w:tcPr>
                <w:p>
                  <w:pPr>
                    <w:pageBreakBefore w:val="0"/>
                    <w:kinsoku/>
                    <w:bidi w:val="0"/>
                    <w:adjustRightInd w:val="0"/>
                    <w:snapToGrid w:val="0"/>
                    <w:spacing w:beforeAutospacing="0" w:afterAutospacing="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3000吨级杂货船</w:t>
                  </w:r>
                </w:p>
              </w:tc>
              <w:tc>
                <w:tcPr>
                  <w:tcW w:w="890" w:type="dxa"/>
                  <w:vAlign w:val="center"/>
                </w:tcPr>
                <w:p>
                  <w:pPr>
                    <w:pageBreakBefore w:val="0"/>
                    <w:kinsoku/>
                    <w:bidi w:val="0"/>
                    <w:adjustRightInd w:val="0"/>
                    <w:snapToGrid w:val="0"/>
                    <w:spacing w:beforeAutospacing="0" w:afterAutospacing="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108</w:t>
                  </w:r>
                </w:p>
              </w:tc>
              <w:tc>
                <w:tcPr>
                  <w:tcW w:w="1080" w:type="dxa"/>
                  <w:vAlign w:val="center"/>
                </w:tcPr>
                <w:p>
                  <w:pPr>
                    <w:pageBreakBefore w:val="0"/>
                    <w:kinsoku/>
                    <w:bidi w:val="0"/>
                    <w:adjustRightInd w:val="0"/>
                    <w:snapToGrid w:val="0"/>
                    <w:spacing w:beforeAutospacing="0" w:afterAutospacing="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16.0</w:t>
                  </w:r>
                </w:p>
              </w:tc>
              <w:tc>
                <w:tcPr>
                  <w:tcW w:w="999" w:type="dxa"/>
                  <w:vAlign w:val="center"/>
                </w:tcPr>
                <w:p>
                  <w:pPr>
                    <w:pageBreakBefore w:val="0"/>
                    <w:kinsoku/>
                    <w:bidi w:val="0"/>
                    <w:adjustRightInd w:val="0"/>
                    <w:snapToGrid w:val="0"/>
                    <w:spacing w:beforeAutospacing="0" w:afterAutospacing="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7.8</w:t>
                  </w:r>
                </w:p>
              </w:tc>
              <w:tc>
                <w:tcPr>
                  <w:tcW w:w="1368" w:type="dxa"/>
                  <w:vAlign w:val="center"/>
                </w:tcPr>
                <w:p>
                  <w:pPr>
                    <w:pageBreakBefore w:val="0"/>
                    <w:kinsoku/>
                    <w:bidi w:val="0"/>
                    <w:adjustRightInd w:val="0"/>
                    <w:snapToGrid w:val="0"/>
                    <w:spacing w:beforeAutospacing="0" w:afterAutospacing="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5.9</w:t>
                  </w:r>
                </w:p>
              </w:tc>
              <w:tc>
                <w:tcPr>
                  <w:tcW w:w="2336" w:type="dxa"/>
                  <w:tcBorders>
                    <w:right w:val="nil"/>
                  </w:tcBorders>
                  <w:vAlign w:val="center"/>
                </w:tcPr>
                <w:p>
                  <w:pPr>
                    <w:pageBreakBefore w:val="0"/>
                    <w:kinsoku/>
                    <w:bidi w:val="0"/>
                    <w:adjustRightInd w:val="0"/>
                    <w:snapToGrid w:val="0"/>
                    <w:spacing w:beforeAutospacing="0" w:afterAutospacing="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设计船型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6" w:type="dxa"/>
                  <w:tcBorders>
                    <w:left w:val="nil"/>
                  </w:tcBorders>
                  <w:vAlign w:val="center"/>
                </w:tcPr>
                <w:p>
                  <w:pPr>
                    <w:pageBreakBefore w:val="0"/>
                    <w:kinsoku/>
                    <w:bidi w:val="0"/>
                    <w:adjustRightInd w:val="0"/>
                    <w:snapToGrid w:val="0"/>
                    <w:spacing w:beforeAutospacing="0" w:afterAutospacing="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3000吨级散货船</w:t>
                  </w:r>
                </w:p>
              </w:tc>
              <w:tc>
                <w:tcPr>
                  <w:tcW w:w="890" w:type="dxa"/>
                  <w:vAlign w:val="center"/>
                </w:tcPr>
                <w:p>
                  <w:pPr>
                    <w:pageBreakBefore w:val="0"/>
                    <w:kinsoku/>
                    <w:bidi w:val="0"/>
                    <w:adjustRightInd w:val="0"/>
                    <w:snapToGrid w:val="0"/>
                    <w:spacing w:beforeAutospacing="0" w:afterAutospacing="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96</w:t>
                  </w:r>
                </w:p>
              </w:tc>
              <w:tc>
                <w:tcPr>
                  <w:tcW w:w="1080" w:type="dxa"/>
                  <w:vAlign w:val="center"/>
                </w:tcPr>
                <w:p>
                  <w:pPr>
                    <w:pageBreakBefore w:val="0"/>
                    <w:kinsoku/>
                    <w:bidi w:val="0"/>
                    <w:adjustRightInd w:val="0"/>
                    <w:snapToGrid w:val="0"/>
                    <w:spacing w:beforeAutospacing="0" w:afterAutospacing="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16.6</w:t>
                  </w:r>
                </w:p>
              </w:tc>
              <w:tc>
                <w:tcPr>
                  <w:tcW w:w="999" w:type="dxa"/>
                  <w:vAlign w:val="center"/>
                </w:tcPr>
                <w:p>
                  <w:pPr>
                    <w:pageBreakBefore w:val="0"/>
                    <w:kinsoku/>
                    <w:bidi w:val="0"/>
                    <w:adjustRightInd w:val="0"/>
                    <w:snapToGrid w:val="0"/>
                    <w:spacing w:beforeAutospacing="0" w:afterAutospacing="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7.8</w:t>
                  </w:r>
                </w:p>
              </w:tc>
              <w:tc>
                <w:tcPr>
                  <w:tcW w:w="1368" w:type="dxa"/>
                  <w:vAlign w:val="center"/>
                </w:tcPr>
                <w:p>
                  <w:pPr>
                    <w:pageBreakBefore w:val="0"/>
                    <w:kinsoku/>
                    <w:bidi w:val="0"/>
                    <w:adjustRightInd w:val="0"/>
                    <w:snapToGrid w:val="0"/>
                    <w:spacing w:beforeAutospacing="0" w:afterAutospacing="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5.8</w:t>
                  </w:r>
                </w:p>
              </w:tc>
              <w:tc>
                <w:tcPr>
                  <w:tcW w:w="2336" w:type="dxa"/>
                  <w:tcBorders>
                    <w:right w:val="nil"/>
                  </w:tcBorders>
                  <w:vAlign w:val="center"/>
                </w:tcPr>
                <w:p>
                  <w:pPr>
                    <w:pageBreakBefore w:val="0"/>
                    <w:kinsoku/>
                    <w:bidi w:val="0"/>
                    <w:adjustRightInd w:val="0"/>
                    <w:snapToGrid w:val="0"/>
                    <w:spacing w:beforeAutospacing="0" w:afterAutospacing="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设计船型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76" w:type="dxa"/>
                  <w:tcBorders>
                    <w:left w:val="nil"/>
                  </w:tcBorders>
                  <w:vAlign w:val="center"/>
                </w:tcPr>
                <w:p>
                  <w:pPr>
                    <w:pageBreakBefore w:val="0"/>
                    <w:kinsoku/>
                    <w:bidi w:val="0"/>
                    <w:adjustRightInd w:val="0"/>
                    <w:snapToGrid w:val="0"/>
                    <w:spacing w:beforeAutospacing="0" w:afterAutospacing="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5000吨级杂货船</w:t>
                  </w:r>
                </w:p>
              </w:tc>
              <w:tc>
                <w:tcPr>
                  <w:tcW w:w="890" w:type="dxa"/>
                  <w:vAlign w:val="center"/>
                </w:tcPr>
                <w:p>
                  <w:pPr>
                    <w:pageBreakBefore w:val="0"/>
                    <w:kinsoku/>
                    <w:bidi w:val="0"/>
                    <w:adjustRightInd w:val="0"/>
                    <w:snapToGrid w:val="0"/>
                    <w:spacing w:beforeAutospacing="0" w:afterAutospacing="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124</w:t>
                  </w:r>
                </w:p>
              </w:tc>
              <w:tc>
                <w:tcPr>
                  <w:tcW w:w="1080" w:type="dxa"/>
                  <w:vAlign w:val="center"/>
                </w:tcPr>
                <w:p>
                  <w:pPr>
                    <w:pageBreakBefore w:val="0"/>
                    <w:kinsoku/>
                    <w:bidi w:val="0"/>
                    <w:adjustRightInd w:val="0"/>
                    <w:snapToGrid w:val="0"/>
                    <w:spacing w:beforeAutospacing="0" w:afterAutospacing="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18.4</w:t>
                  </w:r>
                </w:p>
              </w:tc>
              <w:tc>
                <w:tcPr>
                  <w:tcW w:w="999" w:type="dxa"/>
                  <w:vAlign w:val="center"/>
                </w:tcPr>
                <w:p>
                  <w:pPr>
                    <w:pageBreakBefore w:val="0"/>
                    <w:kinsoku/>
                    <w:bidi w:val="0"/>
                    <w:adjustRightInd w:val="0"/>
                    <w:snapToGrid w:val="0"/>
                    <w:spacing w:beforeAutospacing="0" w:afterAutospacing="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10.3</w:t>
                  </w:r>
                </w:p>
              </w:tc>
              <w:tc>
                <w:tcPr>
                  <w:tcW w:w="1368" w:type="dxa"/>
                  <w:vAlign w:val="center"/>
                </w:tcPr>
                <w:p>
                  <w:pPr>
                    <w:pageBreakBefore w:val="0"/>
                    <w:kinsoku/>
                    <w:bidi w:val="0"/>
                    <w:adjustRightInd w:val="0"/>
                    <w:snapToGrid w:val="0"/>
                    <w:spacing w:beforeAutospacing="0" w:afterAutospacing="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7.4</w:t>
                  </w:r>
                </w:p>
              </w:tc>
              <w:tc>
                <w:tcPr>
                  <w:tcW w:w="2336" w:type="dxa"/>
                  <w:tcBorders>
                    <w:right w:val="nil"/>
                  </w:tcBorders>
                  <w:vAlign w:val="center"/>
                </w:tcPr>
                <w:p>
                  <w:pPr>
                    <w:pageBreakBefore w:val="0"/>
                    <w:kinsoku/>
                    <w:bidi w:val="0"/>
                    <w:adjustRightInd w:val="0"/>
                    <w:snapToGrid w:val="0"/>
                    <w:spacing w:beforeAutospacing="0" w:afterAutospacing="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水工结构兼靠船型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2276" w:type="dxa"/>
                  <w:tcBorders>
                    <w:left w:val="nil"/>
                    <w:bottom w:val="single" w:color="auto" w:sz="12" w:space="0"/>
                  </w:tcBorders>
                  <w:vAlign w:val="center"/>
                </w:tcPr>
                <w:p>
                  <w:pPr>
                    <w:pageBreakBefore w:val="0"/>
                    <w:kinsoku/>
                    <w:bidi w:val="0"/>
                    <w:adjustRightInd w:val="0"/>
                    <w:snapToGrid w:val="0"/>
                    <w:spacing w:beforeAutospacing="0" w:afterAutospacing="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5000吨级散货船</w:t>
                  </w:r>
                </w:p>
              </w:tc>
              <w:tc>
                <w:tcPr>
                  <w:tcW w:w="890" w:type="dxa"/>
                  <w:tcBorders>
                    <w:bottom w:val="single" w:color="auto" w:sz="12" w:space="0"/>
                  </w:tcBorders>
                  <w:vAlign w:val="center"/>
                </w:tcPr>
                <w:p>
                  <w:pPr>
                    <w:pageBreakBefore w:val="0"/>
                    <w:kinsoku/>
                    <w:bidi w:val="0"/>
                    <w:adjustRightInd w:val="0"/>
                    <w:snapToGrid w:val="0"/>
                    <w:spacing w:beforeAutospacing="0" w:afterAutospacing="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115</w:t>
                  </w:r>
                </w:p>
              </w:tc>
              <w:tc>
                <w:tcPr>
                  <w:tcW w:w="1080" w:type="dxa"/>
                  <w:tcBorders>
                    <w:bottom w:val="single" w:color="auto" w:sz="12" w:space="0"/>
                  </w:tcBorders>
                  <w:vAlign w:val="center"/>
                </w:tcPr>
                <w:p>
                  <w:pPr>
                    <w:pageBreakBefore w:val="0"/>
                    <w:kinsoku/>
                    <w:bidi w:val="0"/>
                    <w:adjustRightInd w:val="0"/>
                    <w:snapToGrid w:val="0"/>
                    <w:spacing w:beforeAutospacing="0" w:afterAutospacing="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18.8</w:t>
                  </w:r>
                </w:p>
              </w:tc>
              <w:tc>
                <w:tcPr>
                  <w:tcW w:w="999" w:type="dxa"/>
                  <w:tcBorders>
                    <w:bottom w:val="single" w:color="auto" w:sz="12" w:space="0"/>
                  </w:tcBorders>
                  <w:vAlign w:val="center"/>
                </w:tcPr>
                <w:p>
                  <w:pPr>
                    <w:pageBreakBefore w:val="0"/>
                    <w:kinsoku/>
                    <w:bidi w:val="0"/>
                    <w:adjustRightInd w:val="0"/>
                    <w:snapToGrid w:val="0"/>
                    <w:spacing w:beforeAutospacing="0" w:afterAutospacing="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9.0</w:t>
                  </w:r>
                </w:p>
              </w:tc>
              <w:tc>
                <w:tcPr>
                  <w:tcW w:w="1368" w:type="dxa"/>
                  <w:tcBorders>
                    <w:bottom w:val="single" w:color="auto" w:sz="12" w:space="0"/>
                  </w:tcBorders>
                  <w:vAlign w:val="center"/>
                </w:tcPr>
                <w:p>
                  <w:pPr>
                    <w:pageBreakBefore w:val="0"/>
                    <w:kinsoku/>
                    <w:bidi w:val="0"/>
                    <w:adjustRightInd w:val="0"/>
                    <w:snapToGrid w:val="0"/>
                    <w:spacing w:beforeAutospacing="0" w:afterAutospacing="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7.0</w:t>
                  </w:r>
                </w:p>
              </w:tc>
              <w:tc>
                <w:tcPr>
                  <w:tcW w:w="2336" w:type="dxa"/>
                  <w:tcBorders>
                    <w:bottom w:val="single" w:color="auto" w:sz="12" w:space="0"/>
                    <w:right w:val="nil"/>
                  </w:tcBorders>
                  <w:vAlign w:val="center"/>
                </w:tcPr>
                <w:p>
                  <w:pPr>
                    <w:pageBreakBefore w:val="0"/>
                    <w:kinsoku/>
                    <w:bidi w:val="0"/>
                    <w:adjustRightInd w:val="0"/>
                    <w:snapToGrid w:val="0"/>
                    <w:spacing w:beforeAutospacing="0" w:afterAutospacing="0"/>
                    <w:jc w:val="center"/>
                    <w:rPr>
                      <w:rFonts w:hint="eastAsia"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水工结构兼靠船型</w:t>
                  </w:r>
                </w:p>
              </w:tc>
            </w:tr>
          </w:tbl>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③工艺流程</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散货装船：</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货主汽车→场→船</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货主汽车→散货堆场→装载机→移动漏斗→固定皮带输送机→移动装船机→船散货卸船：</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船→场→货主汽车</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船→门座式起重机→移动漏斗→固定皮带输送机→移动皮带输送机→散货堆场→装载机→货主汽车</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件杂货装卸：</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船←→场←→货主汽车</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船←→门座式起重机←→牵引平板车←→轮胎吊←→杂货堆场←→轮胎吊←→货主汽车</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仓库作业：</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船←→库←→货主汽车</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船←→门座式起重机←→牵引平板车←→叉车←→库←→叉车←→货主汽车</w:t>
            </w:r>
          </w:p>
          <w:p>
            <w:pPr>
              <w:pageBreakBefore w:val="0"/>
              <w:kinsoku/>
              <w:bidi w:val="0"/>
              <w:adjustRightInd w:val="0"/>
              <w:snapToGrid w:val="0"/>
              <w:spacing w:beforeAutospacing="0" w:afterAutospacing="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表</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2.4-5装卸</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设备一览表</w:t>
            </w:r>
          </w:p>
          <w:tbl>
            <w:tblPr>
              <w:tblStyle w:val="128"/>
              <w:tblW w:w="8955"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Layout w:type="fixed"/>
              <w:tblCellMar>
                <w:top w:w="0" w:type="dxa"/>
                <w:left w:w="0" w:type="dxa"/>
                <w:bottom w:w="0" w:type="dxa"/>
                <w:right w:w="0" w:type="dxa"/>
              </w:tblCellMar>
            </w:tblPr>
            <w:tblGrid>
              <w:gridCol w:w="492"/>
              <w:gridCol w:w="1903"/>
              <w:gridCol w:w="2763"/>
              <w:gridCol w:w="493"/>
              <w:gridCol w:w="919"/>
              <w:gridCol w:w="238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650" w:hRule="atLeast"/>
              </w:trPr>
              <w:tc>
                <w:tcPr>
                  <w:tcW w:w="492"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bookmarkStart w:id="11" w:name="_bookmark36"/>
                  <w:bookmarkEnd w:id="11"/>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序号</w:t>
                  </w:r>
                </w:p>
              </w:tc>
              <w:tc>
                <w:tcPr>
                  <w:tcW w:w="190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设备名称</w:t>
                  </w:r>
                </w:p>
              </w:tc>
              <w:tc>
                <w:tcPr>
                  <w:tcW w:w="276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型号及参数</w:t>
                  </w:r>
                </w:p>
              </w:tc>
              <w:tc>
                <w:tcPr>
                  <w:tcW w:w="49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单位</w:t>
                  </w:r>
                </w:p>
              </w:tc>
              <w:tc>
                <w:tcPr>
                  <w:tcW w:w="91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配置数量</w:t>
                  </w:r>
                </w:p>
              </w:tc>
              <w:tc>
                <w:tcPr>
                  <w:tcW w:w="238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442" w:hRule="atLeast"/>
              </w:trPr>
              <w:tc>
                <w:tcPr>
                  <w:tcW w:w="492"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w:t>
                  </w:r>
                </w:p>
              </w:tc>
              <w:tc>
                <w:tcPr>
                  <w:tcW w:w="190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门座式起重机</w:t>
                  </w:r>
                </w:p>
              </w:tc>
              <w:tc>
                <w:tcPr>
                  <w:tcW w:w="276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Q=25t，Lk=10.5m，R=26m</w:t>
                  </w:r>
                </w:p>
              </w:tc>
              <w:tc>
                <w:tcPr>
                  <w:tcW w:w="49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台</w:t>
                  </w:r>
                </w:p>
              </w:tc>
              <w:tc>
                <w:tcPr>
                  <w:tcW w:w="91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w:t>
                  </w:r>
                </w:p>
              </w:tc>
              <w:tc>
                <w:tcPr>
                  <w:tcW w:w="238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全幅时Q=25t(含抓斗)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441" w:hRule="atLeast"/>
              </w:trPr>
              <w:tc>
                <w:tcPr>
                  <w:tcW w:w="492"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w:t>
                  </w:r>
                </w:p>
              </w:tc>
              <w:tc>
                <w:tcPr>
                  <w:tcW w:w="190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门座式起重机</w:t>
                  </w:r>
                </w:p>
              </w:tc>
              <w:tc>
                <w:tcPr>
                  <w:tcW w:w="276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Q=16t，Lk=10.5m，R=26m</w:t>
                  </w:r>
                </w:p>
              </w:tc>
              <w:tc>
                <w:tcPr>
                  <w:tcW w:w="49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台</w:t>
                  </w:r>
                </w:p>
              </w:tc>
              <w:tc>
                <w:tcPr>
                  <w:tcW w:w="91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3</w:t>
                  </w:r>
                </w:p>
              </w:tc>
              <w:tc>
                <w:tcPr>
                  <w:tcW w:w="238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全幅时Q=16t(含抓斗)</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446" w:hRule="atLeast"/>
              </w:trPr>
              <w:tc>
                <w:tcPr>
                  <w:tcW w:w="492"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3</w:t>
                  </w:r>
                </w:p>
              </w:tc>
              <w:tc>
                <w:tcPr>
                  <w:tcW w:w="190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移动式装船机</w:t>
                  </w:r>
                </w:p>
              </w:tc>
              <w:tc>
                <w:tcPr>
                  <w:tcW w:w="276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800t/h</w:t>
                  </w:r>
                </w:p>
              </w:tc>
              <w:tc>
                <w:tcPr>
                  <w:tcW w:w="49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台</w:t>
                  </w:r>
                </w:p>
              </w:tc>
              <w:tc>
                <w:tcPr>
                  <w:tcW w:w="91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w:t>
                  </w:r>
                </w:p>
              </w:tc>
              <w:tc>
                <w:tcPr>
                  <w:tcW w:w="238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441" w:hRule="atLeast"/>
              </w:trPr>
              <w:tc>
                <w:tcPr>
                  <w:tcW w:w="492"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4</w:t>
                  </w:r>
                </w:p>
              </w:tc>
              <w:tc>
                <w:tcPr>
                  <w:tcW w:w="190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龙门吊</w:t>
                  </w:r>
                </w:p>
              </w:tc>
              <w:tc>
                <w:tcPr>
                  <w:tcW w:w="276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Q=25t</w:t>
                  </w:r>
                </w:p>
              </w:tc>
              <w:tc>
                <w:tcPr>
                  <w:tcW w:w="49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台</w:t>
                  </w:r>
                </w:p>
              </w:tc>
              <w:tc>
                <w:tcPr>
                  <w:tcW w:w="91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1</w:t>
                  </w:r>
                </w:p>
              </w:tc>
              <w:tc>
                <w:tcPr>
                  <w:tcW w:w="238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442" w:hRule="atLeast"/>
              </w:trPr>
              <w:tc>
                <w:tcPr>
                  <w:tcW w:w="492"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5</w:t>
                  </w:r>
                </w:p>
              </w:tc>
              <w:tc>
                <w:tcPr>
                  <w:tcW w:w="190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龙门吊</w:t>
                  </w:r>
                </w:p>
              </w:tc>
              <w:tc>
                <w:tcPr>
                  <w:tcW w:w="276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Q=16t</w:t>
                  </w:r>
                </w:p>
              </w:tc>
              <w:tc>
                <w:tcPr>
                  <w:tcW w:w="49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台</w:t>
                  </w:r>
                </w:p>
              </w:tc>
              <w:tc>
                <w:tcPr>
                  <w:tcW w:w="91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1</w:t>
                  </w:r>
                </w:p>
              </w:tc>
              <w:tc>
                <w:tcPr>
                  <w:tcW w:w="238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446" w:hRule="atLeast"/>
              </w:trPr>
              <w:tc>
                <w:tcPr>
                  <w:tcW w:w="492"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6</w:t>
                  </w:r>
                </w:p>
              </w:tc>
              <w:tc>
                <w:tcPr>
                  <w:tcW w:w="190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轮胎吊</w:t>
                  </w:r>
                </w:p>
              </w:tc>
              <w:tc>
                <w:tcPr>
                  <w:tcW w:w="276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Q=25t</w:t>
                  </w:r>
                </w:p>
              </w:tc>
              <w:tc>
                <w:tcPr>
                  <w:tcW w:w="49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台</w:t>
                  </w:r>
                </w:p>
              </w:tc>
              <w:tc>
                <w:tcPr>
                  <w:tcW w:w="91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w:t>
                  </w:r>
                </w:p>
              </w:tc>
              <w:tc>
                <w:tcPr>
                  <w:tcW w:w="238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441" w:hRule="atLeast"/>
              </w:trPr>
              <w:tc>
                <w:tcPr>
                  <w:tcW w:w="492"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7</w:t>
                  </w:r>
                </w:p>
              </w:tc>
              <w:tc>
                <w:tcPr>
                  <w:tcW w:w="190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轮胎吊</w:t>
                  </w:r>
                </w:p>
              </w:tc>
              <w:tc>
                <w:tcPr>
                  <w:tcW w:w="276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Q=16t</w:t>
                  </w:r>
                </w:p>
              </w:tc>
              <w:tc>
                <w:tcPr>
                  <w:tcW w:w="49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台</w:t>
                  </w:r>
                </w:p>
              </w:tc>
              <w:tc>
                <w:tcPr>
                  <w:tcW w:w="91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4</w:t>
                  </w:r>
                </w:p>
              </w:tc>
              <w:tc>
                <w:tcPr>
                  <w:tcW w:w="238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441" w:hRule="atLeast"/>
              </w:trPr>
              <w:tc>
                <w:tcPr>
                  <w:tcW w:w="492"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8</w:t>
                  </w:r>
                </w:p>
              </w:tc>
              <w:tc>
                <w:tcPr>
                  <w:tcW w:w="190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移动漏斗</w:t>
                  </w:r>
                </w:p>
              </w:tc>
              <w:tc>
                <w:tcPr>
                  <w:tcW w:w="276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10m</w:t>
                  </w:r>
                  <w:r>
                    <w:rPr>
                      <w:rFonts w:hint="eastAsia" w:ascii="Times New Roman" w:hAnsi="Times New Roman" w:eastAsia="宋体" w:cs="Times New Roman"/>
                      <w:bCs/>
                      <w:color w:val="000000" w:themeColor="text1"/>
                      <w:sz w:val="21"/>
                      <w:szCs w:val="21"/>
                      <w:highlight w:val="none"/>
                      <w:vertAlign w:val="superscript"/>
                      <w:lang w:val="en-US" w:eastAsia="zh-CN"/>
                      <w14:textFill>
                        <w14:solidFill>
                          <w14:schemeClr w14:val="tx1"/>
                        </w14:solidFill>
                      </w14:textFill>
                    </w:rPr>
                    <w:t>3</w:t>
                  </w:r>
                </w:p>
              </w:tc>
              <w:tc>
                <w:tcPr>
                  <w:tcW w:w="49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台</w:t>
                  </w:r>
                </w:p>
              </w:tc>
              <w:tc>
                <w:tcPr>
                  <w:tcW w:w="91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5</w:t>
                  </w:r>
                </w:p>
              </w:tc>
              <w:tc>
                <w:tcPr>
                  <w:tcW w:w="238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446" w:hRule="atLeast"/>
              </w:trPr>
              <w:tc>
                <w:tcPr>
                  <w:tcW w:w="492"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9</w:t>
                  </w:r>
                </w:p>
              </w:tc>
              <w:tc>
                <w:tcPr>
                  <w:tcW w:w="190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1#固定皮带输送机</w:t>
                  </w:r>
                </w:p>
              </w:tc>
              <w:tc>
                <w:tcPr>
                  <w:tcW w:w="276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B=1.0m,V=2.0m/s</w:t>
                  </w:r>
                </w:p>
              </w:tc>
              <w:tc>
                <w:tcPr>
                  <w:tcW w:w="49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米</w:t>
                  </w:r>
                </w:p>
              </w:tc>
              <w:tc>
                <w:tcPr>
                  <w:tcW w:w="91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86</w:t>
                  </w:r>
                </w:p>
              </w:tc>
              <w:tc>
                <w:tcPr>
                  <w:tcW w:w="238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441" w:hRule="atLeast"/>
              </w:trPr>
              <w:tc>
                <w:tcPr>
                  <w:tcW w:w="492"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10</w:t>
                  </w:r>
                </w:p>
              </w:tc>
              <w:tc>
                <w:tcPr>
                  <w:tcW w:w="190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2#固定皮带输送机</w:t>
                  </w:r>
                </w:p>
              </w:tc>
              <w:tc>
                <w:tcPr>
                  <w:tcW w:w="276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B=1.0m,V=2.0m/s</w:t>
                  </w:r>
                </w:p>
              </w:tc>
              <w:tc>
                <w:tcPr>
                  <w:tcW w:w="49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米</w:t>
                  </w:r>
                </w:p>
              </w:tc>
              <w:tc>
                <w:tcPr>
                  <w:tcW w:w="91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50</w:t>
                  </w:r>
                </w:p>
              </w:tc>
              <w:tc>
                <w:tcPr>
                  <w:tcW w:w="238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442" w:hRule="atLeast"/>
              </w:trPr>
              <w:tc>
                <w:tcPr>
                  <w:tcW w:w="492"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11</w:t>
                  </w:r>
                </w:p>
              </w:tc>
              <w:tc>
                <w:tcPr>
                  <w:tcW w:w="190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3#固定皮带输送机</w:t>
                  </w:r>
                </w:p>
              </w:tc>
              <w:tc>
                <w:tcPr>
                  <w:tcW w:w="276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B=1.0m,V=2.0m/s</w:t>
                  </w:r>
                </w:p>
              </w:tc>
              <w:tc>
                <w:tcPr>
                  <w:tcW w:w="49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米</w:t>
                  </w:r>
                </w:p>
              </w:tc>
              <w:tc>
                <w:tcPr>
                  <w:tcW w:w="91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210</w:t>
                  </w:r>
                </w:p>
              </w:tc>
              <w:tc>
                <w:tcPr>
                  <w:tcW w:w="238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446" w:hRule="atLeast"/>
              </w:trPr>
              <w:tc>
                <w:tcPr>
                  <w:tcW w:w="492"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12</w:t>
                  </w:r>
                </w:p>
              </w:tc>
              <w:tc>
                <w:tcPr>
                  <w:tcW w:w="190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4#固定皮带输送机</w:t>
                  </w:r>
                </w:p>
              </w:tc>
              <w:tc>
                <w:tcPr>
                  <w:tcW w:w="276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B=1.0m,V=2.0m/s</w:t>
                  </w:r>
                </w:p>
              </w:tc>
              <w:tc>
                <w:tcPr>
                  <w:tcW w:w="49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米</w:t>
                  </w:r>
                </w:p>
              </w:tc>
              <w:tc>
                <w:tcPr>
                  <w:tcW w:w="91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121</w:t>
                  </w:r>
                </w:p>
              </w:tc>
              <w:tc>
                <w:tcPr>
                  <w:tcW w:w="238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441" w:hRule="atLeast"/>
              </w:trPr>
              <w:tc>
                <w:tcPr>
                  <w:tcW w:w="492"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13</w:t>
                  </w:r>
                </w:p>
              </w:tc>
              <w:tc>
                <w:tcPr>
                  <w:tcW w:w="190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5#固定皮带输送机</w:t>
                  </w:r>
                </w:p>
              </w:tc>
              <w:tc>
                <w:tcPr>
                  <w:tcW w:w="276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B=1.0m,V=2.0m/s</w:t>
                  </w:r>
                </w:p>
              </w:tc>
              <w:tc>
                <w:tcPr>
                  <w:tcW w:w="49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米</w:t>
                  </w:r>
                </w:p>
              </w:tc>
              <w:tc>
                <w:tcPr>
                  <w:tcW w:w="91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50</w:t>
                  </w:r>
                </w:p>
              </w:tc>
              <w:tc>
                <w:tcPr>
                  <w:tcW w:w="238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441" w:hRule="atLeast"/>
              </w:trPr>
              <w:tc>
                <w:tcPr>
                  <w:tcW w:w="492"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14</w:t>
                  </w:r>
                </w:p>
              </w:tc>
              <w:tc>
                <w:tcPr>
                  <w:tcW w:w="190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6#固定皮带输送机</w:t>
                  </w:r>
                </w:p>
              </w:tc>
              <w:tc>
                <w:tcPr>
                  <w:tcW w:w="276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B=1.0m,V=2.0m/s</w:t>
                  </w:r>
                </w:p>
              </w:tc>
              <w:tc>
                <w:tcPr>
                  <w:tcW w:w="49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米</w:t>
                  </w:r>
                </w:p>
              </w:tc>
              <w:tc>
                <w:tcPr>
                  <w:tcW w:w="91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310</w:t>
                  </w:r>
                </w:p>
              </w:tc>
              <w:tc>
                <w:tcPr>
                  <w:tcW w:w="238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446" w:hRule="atLeast"/>
              </w:trPr>
              <w:tc>
                <w:tcPr>
                  <w:tcW w:w="492"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15</w:t>
                  </w:r>
                </w:p>
              </w:tc>
              <w:tc>
                <w:tcPr>
                  <w:tcW w:w="190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移动皮带输送机</w:t>
                  </w:r>
                </w:p>
              </w:tc>
              <w:tc>
                <w:tcPr>
                  <w:tcW w:w="276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B=1.0m,V=2.0m/s</w:t>
                  </w:r>
                </w:p>
              </w:tc>
              <w:tc>
                <w:tcPr>
                  <w:tcW w:w="49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台</w:t>
                  </w:r>
                </w:p>
              </w:tc>
              <w:tc>
                <w:tcPr>
                  <w:tcW w:w="91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6</w:t>
                  </w:r>
                </w:p>
              </w:tc>
              <w:tc>
                <w:tcPr>
                  <w:tcW w:w="238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442" w:hRule="atLeast"/>
              </w:trPr>
              <w:tc>
                <w:tcPr>
                  <w:tcW w:w="492"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16</w:t>
                  </w:r>
                </w:p>
              </w:tc>
              <w:tc>
                <w:tcPr>
                  <w:tcW w:w="190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共轨漏斗</w:t>
                  </w:r>
                </w:p>
              </w:tc>
              <w:tc>
                <w:tcPr>
                  <w:tcW w:w="276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45m</w:t>
                  </w:r>
                  <w:r>
                    <w:rPr>
                      <w:rFonts w:hint="eastAsia" w:ascii="Times New Roman" w:hAnsi="Times New Roman" w:eastAsia="宋体" w:cs="Times New Roman"/>
                      <w:bCs/>
                      <w:color w:val="000000" w:themeColor="text1"/>
                      <w:sz w:val="21"/>
                      <w:szCs w:val="21"/>
                      <w:highlight w:val="none"/>
                      <w:vertAlign w:val="superscript"/>
                      <w:lang w:val="en-US" w:eastAsia="zh-CN"/>
                      <w14:textFill>
                        <w14:solidFill>
                          <w14:schemeClr w14:val="tx1"/>
                        </w14:solidFill>
                      </w14:textFill>
                    </w:rPr>
                    <w:t>3</w:t>
                  </w:r>
                </w:p>
              </w:tc>
              <w:tc>
                <w:tcPr>
                  <w:tcW w:w="49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个</w:t>
                  </w:r>
                </w:p>
              </w:tc>
              <w:tc>
                <w:tcPr>
                  <w:tcW w:w="91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238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441" w:hRule="atLeast"/>
              </w:trPr>
              <w:tc>
                <w:tcPr>
                  <w:tcW w:w="492"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17</w:t>
                  </w:r>
                </w:p>
              </w:tc>
              <w:tc>
                <w:tcPr>
                  <w:tcW w:w="190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集装斗</w:t>
                  </w:r>
                </w:p>
              </w:tc>
              <w:tc>
                <w:tcPr>
                  <w:tcW w:w="276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10m</w:t>
                  </w:r>
                  <w:r>
                    <w:rPr>
                      <w:rFonts w:hint="eastAsia" w:ascii="Times New Roman" w:hAnsi="Times New Roman" w:eastAsia="宋体" w:cs="Times New Roman"/>
                      <w:bCs/>
                      <w:color w:val="000000" w:themeColor="text1"/>
                      <w:sz w:val="21"/>
                      <w:szCs w:val="21"/>
                      <w:highlight w:val="none"/>
                      <w:vertAlign w:val="superscript"/>
                      <w:lang w:val="en-US" w:eastAsia="zh-CN"/>
                      <w14:textFill>
                        <w14:solidFill>
                          <w14:schemeClr w14:val="tx1"/>
                        </w14:solidFill>
                      </w14:textFill>
                    </w:rPr>
                    <w:t>3</w:t>
                  </w:r>
                </w:p>
              </w:tc>
              <w:tc>
                <w:tcPr>
                  <w:tcW w:w="49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个</w:t>
                  </w:r>
                </w:p>
              </w:tc>
              <w:tc>
                <w:tcPr>
                  <w:tcW w:w="91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238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446" w:hRule="atLeast"/>
              </w:trPr>
              <w:tc>
                <w:tcPr>
                  <w:tcW w:w="492"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18</w:t>
                  </w:r>
                </w:p>
              </w:tc>
              <w:tc>
                <w:tcPr>
                  <w:tcW w:w="190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自卸汽车</w:t>
                  </w:r>
                </w:p>
              </w:tc>
              <w:tc>
                <w:tcPr>
                  <w:tcW w:w="276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20t</w:t>
                  </w:r>
                </w:p>
              </w:tc>
              <w:tc>
                <w:tcPr>
                  <w:tcW w:w="49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辆</w:t>
                  </w:r>
                </w:p>
              </w:tc>
              <w:tc>
                <w:tcPr>
                  <w:tcW w:w="91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238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441" w:hRule="atLeast"/>
              </w:trPr>
              <w:tc>
                <w:tcPr>
                  <w:tcW w:w="492"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19</w:t>
                  </w:r>
                </w:p>
              </w:tc>
              <w:tc>
                <w:tcPr>
                  <w:tcW w:w="190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牵引平板车</w:t>
                  </w:r>
                </w:p>
              </w:tc>
              <w:tc>
                <w:tcPr>
                  <w:tcW w:w="276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载重20t</w:t>
                  </w:r>
                </w:p>
              </w:tc>
              <w:tc>
                <w:tcPr>
                  <w:tcW w:w="49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台</w:t>
                  </w:r>
                </w:p>
              </w:tc>
              <w:tc>
                <w:tcPr>
                  <w:tcW w:w="91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3</w:t>
                  </w:r>
                </w:p>
              </w:tc>
              <w:tc>
                <w:tcPr>
                  <w:tcW w:w="238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441" w:hRule="atLeast"/>
              </w:trPr>
              <w:tc>
                <w:tcPr>
                  <w:tcW w:w="492"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20</w:t>
                  </w:r>
                </w:p>
              </w:tc>
              <w:tc>
                <w:tcPr>
                  <w:tcW w:w="190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牵引平板车</w:t>
                  </w:r>
                </w:p>
              </w:tc>
              <w:tc>
                <w:tcPr>
                  <w:tcW w:w="276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载重10t</w:t>
                  </w:r>
                </w:p>
              </w:tc>
              <w:tc>
                <w:tcPr>
                  <w:tcW w:w="49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台</w:t>
                  </w:r>
                </w:p>
              </w:tc>
              <w:tc>
                <w:tcPr>
                  <w:tcW w:w="91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6</w:t>
                  </w:r>
                </w:p>
              </w:tc>
              <w:tc>
                <w:tcPr>
                  <w:tcW w:w="238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446" w:hRule="atLeast"/>
              </w:trPr>
              <w:tc>
                <w:tcPr>
                  <w:tcW w:w="492"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21</w:t>
                  </w:r>
                </w:p>
              </w:tc>
              <w:tc>
                <w:tcPr>
                  <w:tcW w:w="190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电动葫芦</w:t>
                  </w:r>
                </w:p>
              </w:tc>
              <w:tc>
                <w:tcPr>
                  <w:tcW w:w="276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3t</w:t>
                  </w:r>
                </w:p>
              </w:tc>
              <w:tc>
                <w:tcPr>
                  <w:tcW w:w="49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台</w:t>
                  </w:r>
                </w:p>
              </w:tc>
              <w:tc>
                <w:tcPr>
                  <w:tcW w:w="91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4</w:t>
                  </w:r>
                </w:p>
              </w:tc>
              <w:tc>
                <w:tcPr>
                  <w:tcW w:w="238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441" w:hRule="atLeast"/>
              </w:trPr>
              <w:tc>
                <w:tcPr>
                  <w:tcW w:w="492"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22</w:t>
                  </w:r>
                </w:p>
              </w:tc>
              <w:tc>
                <w:tcPr>
                  <w:tcW w:w="190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电动葫芦</w:t>
                  </w:r>
                </w:p>
              </w:tc>
              <w:tc>
                <w:tcPr>
                  <w:tcW w:w="276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2t</w:t>
                  </w:r>
                </w:p>
              </w:tc>
              <w:tc>
                <w:tcPr>
                  <w:tcW w:w="49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台</w:t>
                  </w:r>
                </w:p>
              </w:tc>
              <w:tc>
                <w:tcPr>
                  <w:tcW w:w="91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4</w:t>
                  </w:r>
                </w:p>
              </w:tc>
              <w:tc>
                <w:tcPr>
                  <w:tcW w:w="238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441" w:hRule="atLeast"/>
              </w:trPr>
              <w:tc>
                <w:tcPr>
                  <w:tcW w:w="492"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23</w:t>
                  </w:r>
                </w:p>
              </w:tc>
              <w:tc>
                <w:tcPr>
                  <w:tcW w:w="190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叉车</w:t>
                  </w:r>
                </w:p>
              </w:tc>
              <w:tc>
                <w:tcPr>
                  <w:tcW w:w="276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Q=5t</w:t>
                  </w:r>
                </w:p>
              </w:tc>
              <w:tc>
                <w:tcPr>
                  <w:tcW w:w="49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台</w:t>
                  </w:r>
                </w:p>
              </w:tc>
              <w:tc>
                <w:tcPr>
                  <w:tcW w:w="91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w:t>
                  </w:r>
                </w:p>
              </w:tc>
              <w:tc>
                <w:tcPr>
                  <w:tcW w:w="238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446" w:hRule="atLeast"/>
              </w:trPr>
              <w:tc>
                <w:tcPr>
                  <w:tcW w:w="492"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24</w:t>
                  </w:r>
                </w:p>
              </w:tc>
              <w:tc>
                <w:tcPr>
                  <w:tcW w:w="190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叉车</w:t>
                  </w:r>
                </w:p>
              </w:tc>
              <w:tc>
                <w:tcPr>
                  <w:tcW w:w="276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Q=3t</w:t>
                  </w:r>
                </w:p>
              </w:tc>
              <w:tc>
                <w:tcPr>
                  <w:tcW w:w="49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台</w:t>
                  </w:r>
                </w:p>
              </w:tc>
              <w:tc>
                <w:tcPr>
                  <w:tcW w:w="91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3</w:t>
                  </w:r>
                </w:p>
              </w:tc>
              <w:tc>
                <w:tcPr>
                  <w:tcW w:w="238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441" w:hRule="atLeast"/>
              </w:trPr>
              <w:tc>
                <w:tcPr>
                  <w:tcW w:w="492"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25</w:t>
                  </w:r>
                </w:p>
              </w:tc>
              <w:tc>
                <w:tcPr>
                  <w:tcW w:w="190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装载机</w:t>
                  </w:r>
                </w:p>
              </w:tc>
              <w:tc>
                <w:tcPr>
                  <w:tcW w:w="2763" w:type="dxa"/>
                  <w:tcBorders>
                    <w:tl2br w:val="nil"/>
                    <w:tr2bl w:val="nil"/>
                  </w:tcBorders>
                  <w:vAlign w:val="center"/>
                </w:tcPr>
                <w:p>
                  <w:pPr>
                    <w:pageBreakBefore w:val="0"/>
                    <w:kinsoku/>
                    <w:bidi w:val="0"/>
                    <w:adjustRightInd w:val="0"/>
                    <w:snapToGrid w:val="0"/>
                    <w:spacing w:beforeAutospacing="0" w:afterAutospacing="0"/>
                    <w:jc w:val="center"/>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5m</w:t>
                  </w:r>
                  <w:r>
                    <w:rPr>
                      <w:rFonts w:hint="eastAsia" w:ascii="Times New Roman" w:hAnsi="Times New Roman" w:eastAsia="宋体" w:cs="Times New Roman"/>
                      <w:bCs/>
                      <w:color w:val="000000" w:themeColor="text1"/>
                      <w:sz w:val="21"/>
                      <w:szCs w:val="21"/>
                      <w:highlight w:val="none"/>
                      <w:vertAlign w:val="superscript"/>
                      <w:lang w:val="en-US" w:eastAsia="zh-CN"/>
                      <w14:textFill>
                        <w14:solidFill>
                          <w14:schemeClr w14:val="tx1"/>
                        </w14:solidFill>
                      </w14:textFill>
                    </w:rPr>
                    <w:t>3</w:t>
                  </w:r>
                </w:p>
              </w:tc>
              <w:tc>
                <w:tcPr>
                  <w:tcW w:w="49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台</w:t>
                  </w:r>
                </w:p>
              </w:tc>
              <w:tc>
                <w:tcPr>
                  <w:tcW w:w="91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10</w:t>
                  </w:r>
                </w:p>
              </w:tc>
              <w:tc>
                <w:tcPr>
                  <w:tcW w:w="238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2" w:space="0"/>
                </w:tblBorders>
                <w:tblCellMar>
                  <w:top w:w="0" w:type="dxa"/>
                  <w:left w:w="0" w:type="dxa"/>
                  <w:bottom w:w="0" w:type="dxa"/>
                  <w:right w:w="0" w:type="dxa"/>
                </w:tblCellMar>
              </w:tblPrEx>
              <w:trPr>
                <w:trHeight w:val="446" w:hRule="atLeast"/>
              </w:trPr>
              <w:tc>
                <w:tcPr>
                  <w:tcW w:w="492"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26</w:t>
                  </w:r>
                </w:p>
              </w:tc>
              <w:tc>
                <w:tcPr>
                  <w:tcW w:w="190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地磅</w:t>
                  </w:r>
                </w:p>
              </w:tc>
              <w:tc>
                <w:tcPr>
                  <w:tcW w:w="276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称重80t</w:t>
                  </w:r>
                </w:p>
              </w:tc>
              <w:tc>
                <w:tcPr>
                  <w:tcW w:w="49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台</w:t>
                  </w:r>
                </w:p>
              </w:tc>
              <w:tc>
                <w:tcPr>
                  <w:tcW w:w="919"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w:t>
                  </w:r>
                </w:p>
              </w:tc>
              <w:tc>
                <w:tcPr>
                  <w:tcW w:w="238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r>
            <w:bookmarkEnd w:id="10"/>
          </w:tbl>
          <w:p>
            <w:pPr>
              <w:pageBreakBefore w:val="0"/>
              <w:kinsoku/>
              <w:bidi w:val="0"/>
              <w:spacing w:beforeAutospacing="0" w:afterAutospacing="0" w:line="360" w:lineRule="auto"/>
              <w:jc w:val="left"/>
              <w:outlineLvl w:val="1"/>
              <w:rPr>
                <w:rFonts w:hint="eastAsia" w:ascii="Times New Roman" w:hAnsi="Times New Roman" w:eastAsia="宋体" w:cs="Times New Roman"/>
                <w:b/>
                <w:color w:val="000000" w:themeColor="text1"/>
                <w:kern w:val="2"/>
                <w:sz w:val="32"/>
                <w:szCs w:val="32"/>
                <w:highlight w:val="none"/>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32"/>
                <w:szCs w:val="32"/>
                <w:highlight w:val="none"/>
                <w:lang w:val="en-US" w:eastAsia="zh-CN" w:bidi="ar-SA"/>
                <w14:textFill>
                  <w14:solidFill>
                    <w14:schemeClr w14:val="tx1"/>
                  </w14:solidFill>
                </w14:textFill>
              </w:rPr>
              <w:t>2.5项目用海情况</w:t>
            </w:r>
          </w:p>
          <w:p>
            <w:pPr>
              <w:pStyle w:val="133"/>
              <w:keepNext w:val="0"/>
              <w:keepLines w:val="0"/>
              <w:pageBreakBefore w:val="0"/>
              <w:widowControl w:val="0"/>
              <w:kinsoku/>
              <w:wordWrap/>
              <w:overflowPunct/>
              <w:topLinePunct w:val="0"/>
              <w:autoSpaceDE/>
              <w:autoSpaceDN/>
              <w:bidi w:val="0"/>
              <w:adjustRightInd/>
              <w:snapToGrid/>
              <w:spacing w:beforeAutospacing="0" w:afterAutospacing="0"/>
              <w:ind w:left="0" w:leftChars="0" w:firstLine="480" w:firstLineChars="200"/>
              <w:textAlignment w:val="auto"/>
              <w:outlineLvl w:val="9"/>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根据《福鼎市围填海现状调查报告》（自然资源部第三海洋研究所，2019年2月），围填工程状态为部分围填区，因项目用海未获批准，仅在2012年通过用海预审，目前宁德市人民政府已向福建省人民政府报告，要求按照历史遗留处理。截止至2018年11月，本项目尚未完成填海，</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其中实际填海面积0.2072hm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，为部分区域自然淤积形成，围而未填面积1.6000hm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p>
            <w:pPr>
              <w:pStyle w:val="133"/>
              <w:keepNext w:val="0"/>
              <w:keepLines w:val="0"/>
              <w:pageBreakBefore w:val="0"/>
              <w:widowControl w:val="0"/>
              <w:kinsoku/>
              <w:wordWrap/>
              <w:overflowPunct/>
              <w:topLinePunct w:val="0"/>
              <w:autoSpaceDE/>
              <w:autoSpaceDN/>
              <w:bidi w:val="0"/>
              <w:adjustRightInd/>
              <w:snapToGrid/>
              <w:spacing w:beforeAutospacing="0" w:afterAutospacing="0"/>
              <w:ind w:left="0" w:leftChars="0" w:firstLine="480" w:firstLineChars="200"/>
              <w:textAlignment w:val="auto"/>
              <w:outlineLvl w:val="9"/>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2018年项目列入围填海历史遗留项目清单，目录编号：350982-0155，属于已批尚未完成填海项目，</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其中实际填海面积0.2072hm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，为部分区域自然淤积形成，围而未填面积1.60hm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p>
            <w:pPr>
              <w:pStyle w:val="133"/>
              <w:keepNext w:val="0"/>
              <w:keepLines w:val="0"/>
              <w:pageBreakBefore w:val="0"/>
              <w:widowControl w:val="0"/>
              <w:kinsoku/>
              <w:wordWrap/>
              <w:overflowPunct/>
              <w:topLinePunct w:val="0"/>
              <w:autoSpaceDE/>
              <w:autoSpaceDN/>
              <w:bidi w:val="0"/>
              <w:adjustRightInd/>
              <w:snapToGrid/>
              <w:spacing w:beforeAutospacing="0" w:afterAutospacing="0"/>
              <w:ind w:left="0" w:leftChars="0" w:firstLine="480" w:firstLineChars="200"/>
              <w:textAlignment w:val="auto"/>
              <w:outlineLvl w:val="9"/>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本项目于2021年开始建设，经省自然资源厅报省政府同意后，同时报自然资源部备案，于2019年7月获得继续实施填海项目的通知。本项目总填海面积为18.0468hm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。截止2021年12月，万成港口开发有限公司用地已填海形成陆域面积4.1594hm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，目前暂未验收。项目已于2022年7月委托编制完成《万成港口开发有限公司用地围填海生态评估报告》：继续填海面积13.8874hm</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p>
            <w:pPr>
              <w:pStyle w:val="133"/>
              <w:keepNext w:val="0"/>
              <w:keepLines w:val="0"/>
              <w:pageBreakBefore w:val="0"/>
              <w:widowControl w:val="0"/>
              <w:kinsoku/>
              <w:wordWrap/>
              <w:overflowPunct/>
              <w:topLinePunct w:val="0"/>
              <w:autoSpaceDE/>
              <w:autoSpaceDN/>
              <w:bidi w:val="0"/>
              <w:adjustRightInd/>
              <w:snapToGrid/>
              <w:spacing w:beforeAutospacing="0" w:afterAutospacing="0"/>
              <w:ind w:left="0" w:leftChars="0" w:firstLine="0" w:firstLineChars="0"/>
              <w:textAlignment w:val="auto"/>
              <w:outlineLvl w:val="9"/>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drawing>
                <wp:inline distT="0" distB="0" distL="114300" distR="114300">
                  <wp:extent cx="5758815" cy="3775710"/>
                  <wp:effectExtent l="0" t="0" r="13335" b="1524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2"/>
                          <a:stretch>
                            <a:fillRect/>
                          </a:stretch>
                        </pic:blipFill>
                        <pic:spPr>
                          <a:xfrm>
                            <a:off x="0" y="0"/>
                            <a:ext cx="5758815" cy="3775710"/>
                          </a:xfrm>
                          <a:prstGeom prst="rect">
                            <a:avLst/>
                          </a:prstGeom>
                          <a:noFill/>
                          <a:ln>
                            <a:noFill/>
                          </a:ln>
                        </pic:spPr>
                      </pic:pic>
                    </a:graphicData>
                  </a:graphic>
                </wp:inline>
              </w:drawing>
            </w:r>
          </w:p>
          <w:p>
            <w:pPr>
              <w:pageBreakBefore w:val="0"/>
              <w:kinsoku/>
              <w:bidi w:val="0"/>
              <w:adjustRightInd w:val="0"/>
              <w:snapToGrid w:val="0"/>
              <w:spacing w:beforeAutospacing="0" w:afterAutospacing="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图2.5-1本项目围填海图斑</w:t>
            </w:r>
          </w:p>
          <w:p>
            <w:pPr>
              <w:pageBreakBefore w:val="0"/>
              <w:kinsoku/>
              <w:bidi w:val="0"/>
              <w:adjustRightInd w:val="0"/>
              <w:snapToGrid w:val="0"/>
              <w:spacing w:beforeAutospacing="0" w:afterAutospacing="0"/>
              <w:jc w:val="both"/>
              <w:rPr>
                <w:rFonts w:ascii="Times New Roman" w:hAnsi="Times New Roman" w:eastAsia="宋体" w:cs="宋体"/>
                <w:color w:val="000000" w:themeColor="text1"/>
                <w:kern w:val="0"/>
                <w:szCs w:val="2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453" w:type="dxa"/>
            <w:vAlign w:val="center"/>
          </w:tcPr>
          <w:p>
            <w:pPr>
              <w:pageBreakBefore w:val="0"/>
              <w:kinsoku/>
              <w:bidi w:val="0"/>
              <w:adjustRightInd w:val="0"/>
              <w:snapToGrid w:val="0"/>
              <w:spacing w:beforeAutospacing="0" w:afterAutospacing="0"/>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 w:val="24"/>
                <w:szCs w:val="24"/>
                <w:highlight w:val="none"/>
                <w14:textFill>
                  <w14:solidFill>
                    <w14:schemeClr w14:val="tx1"/>
                  </w14:solidFill>
                </w14:textFill>
              </w:rPr>
              <w:t>总平面及现场布置</w:t>
            </w:r>
          </w:p>
        </w:tc>
        <w:tc>
          <w:tcPr>
            <w:tcW w:w="9175" w:type="dxa"/>
            <w:vAlign w:val="center"/>
          </w:tcPr>
          <w:p>
            <w:pPr>
              <w:pageBreakBefore w:val="0"/>
              <w:kinsoku/>
              <w:bidi w:val="0"/>
              <w:spacing w:beforeAutospacing="0" w:afterAutospacing="0" w:line="360" w:lineRule="auto"/>
              <w:jc w:val="left"/>
              <w:outlineLvl w:val="1"/>
              <w:rPr>
                <w:rFonts w:hint="default" w:ascii="Times New Roman" w:hAnsi="Times New Roman" w:eastAsia="宋体" w:cs="Times New Roman"/>
                <w:b/>
                <w:color w:val="000000" w:themeColor="text1"/>
                <w:kern w:val="2"/>
                <w:sz w:val="32"/>
                <w:szCs w:val="32"/>
                <w:highlight w:val="none"/>
                <w:lang w:val="en-US" w:eastAsia="zh-CN" w:bidi="ar-SA"/>
                <w14:textFill>
                  <w14:solidFill>
                    <w14:schemeClr w14:val="tx1"/>
                  </w14:solidFill>
                </w14:textFill>
              </w:rPr>
            </w:pPr>
            <w:bookmarkStart w:id="12" w:name="_Toc23450"/>
            <w:r>
              <w:rPr>
                <w:rFonts w:hint="eastAsia" w:ascii="Times New Roman" w:hAnsi="Times New Roman" w:eastAsia="宋体" w:cs="Times New Roman"/>
                <w:b/>
                <w:color w:val="000000" w:themeColor="text1"/>
                <w:kern w:val="2"/>
                <w:sz w:val="32"/>
                <w:szCs w:val="32"/>
                <w:highlight w:val="none"/>
                <w:lang w:val="en-US" w:eastAsia="zh-CN" w:bidi="ar-SA"/>
                <w14:textFill>
                  <w14:solidFill>
                    <w14:schemeClr w14:val="tx1"/>
                  </w14:solidFill>
                </w14:textFill>
              </w:rPr>
              <w:t xml:space="preserve">2.6 </w:t>
            </w:r>
            <w:bookmarkEnd w:id="12"/>
            <w:r>
              <w:rPr>
                <w:rFonts w:hint="eastAsia" w:ascii="Times New Roman" w:hAnsi="Times New Roman" w:eastAsia="宋体" w:cs="Times New Roman"/>
                <w:b/>
                <w:color w:val="000000" w:themeColor="text1"/>
                <w:kern w:val="2"/>
                <w:sz w:val="32"/>
                <w:szCs w:val="32"/>
                <w:highlight w:val="none"/>
                <w:lang w:val="en-US" w:eastAsia="zh-CN" w:bidi="ar-SA"/>
                <w14:textFill>
                  <w14:solidFill>
                    <w14:schemeClr w14:val="tx1"/>
                  </w14:solidFill>
                </w14:textFill>
              </w:rPr>
              <w:t>总平面布置</w:t>
            </w:r>
          </w:p>
          <w:p>
            <w:pPr>
              <w:pStyle w:val="112"/>
              <w:pageBreakBefore w:val="0"/>
              <w:kinsoku/>
              <w:bidi w:val="0"/>
              <w:adjustRightInd/>
              <w:spacing w:beforeAutospacing="0" w:afterAutospacing="0" w:line="360" w:lineRule="auto"/>
              <w:ind w:left="0" w:firstLine="480" w:firstLineChars="200"/>
              <w:jc w:val="both"/>
              <w:rPr>
                <w:rFonts w:hint="eastAsia" w:ascii="Times New Roman" w:hAnsi="Times New Roman" w:eastAsia="宋体" w:cs="Times New Roman"/>
                <w:b w:val="0"/>
                <w:bCs/>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两座码头采用顺岸满堂式布置，共布置5个3000吨级泊位，</w:t>
            </w: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其中</w:t>
            </w:r>
            <w:r>
              <w:rPr>
                <w:rFonts w:hint="eastAsia" w:ascii="Times New Roman" w:hAnsi="Times New Roman" w:eastAsia="宋体" w:cs="Times New Roman"/>
                <w:b w:val="0"/>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#泊位位于港区上游</w:t>
            </w: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，主要进行散货装卸作业，码头前沿线布置在-7.0~-9.0m水深处；</w:t>
            </w:r>
            <w:r>
              <w:rPr>
                <w:rFonts w:hint="eastAsia" w:ascii="Times New Roman" w:hAnsi="Times New Roman" w:eastAsia="宋体" w:cs="Times New Roman"/>
                <w:b w:val="0"/>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#泊位位于港区下游，</w:t>
            </w: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主要进行件杂货装卸作业，码头前沿线布置在-9~-12m水深处。码头前沿线距主航道边线约160m。码头面高程均为5.0m，码头前沿底标高-10.1m。</w:t>
            </w:r>
            <w:r>
              <w:rPr>
                <w:rFonts w:hint="eastAsia" w:ascii="Times New Roman" w:hAnsi="Times New Roman" w:eastAsia="宋体" w:cs="Times New Roman"/>
                <w:b w:val="0"/>
                <w:color w:val="000000" w:themeColor="text1"/>
                <w:sz w:val="24"/>
                <w:szCs w:val="24"/>
                <w:highlight w:val="none"/>
                <w:lang w:val="en-US" w:eastAsia="zh-CN"/>
                <w14:textFill>
                  <w14:solidFill>
                    <w14:schemeClr w14:val="tx1"/>
                  </w14:solidFill>
                </w14:textFill>
              </w:rPr>
              <w:t>五</w:t>
            </w: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个泊位总长644m，</w:t>
            </w: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其中</w:t>
            </w:r>
            <w:r>
              <w:rPr>
                <w:rFonts w:hint="eastAsia" w:ascii="Times New Roman" w:hAnsi="Times New Roman" w:eastAsia="宋体" w:cs="Times New Roman"/>
                <w:b w:val="0"/>
                <w:color w:val="000000" w:themeColor="text1"/>
                <w:sz w:val="24"/>
                <w:szCs w:val="24"/>
                <w:highlight w:val="none"/>
                <w:lang w:val="en-US" w:eastAsia="zh-CN"/>
                <w14:textFill>
                  <w14:solidFill>
                    <w14:schemeClr w14:val="tx1"/>
                  </w14:solidFill>
                </w14:textFill>
              </w:rPr>
              <w:t>1-3#</w:t>
            </w: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泊位总长384m，</w:t>
            </w:r>
            <w:r>
              <w:rPr>
                <w:rFonts w:hint="eastAsia" w:ascii="Times New Roman" w:hAnsi="Times New Roman" w:eastAsia="宋体" w:cs="Times New Roman"/>
                <w:b w:val="0"/>
                <w:color w:val="000000" w:themeColor="text1"/>
                <w:sz w:val="24"/>
                <w:szCs w:val="24"/>
                <w:highlight w:val="none"/>
                <w:lang w:val="en-US" w:eastAsia="zh-CN"/>
                <w14:textFill>
                  <w14:solidFill>
                    <w14:schemeClr w14:val="tx1"/>
                  </w14:solidFill>
                </w14:textFill>
              </w:rPr>
              <w:t>4-5#</w:t>
            </w: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泊位长260m，</w:t>
            </w: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前方作业地带宽均为35m，面高程均为5.0m。由于本工程后方山势高峻、纵深严重不足，陆域布置在码头正后方和东南侧，</w:t>
            </w: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码头正后方的陆域布置有2个散货堆场(面积36495m</w:t>
            </w:r>
            <w:r>
              <w:rPr>
                <w:rFonts w:hint="default" w:ascii="Times New Roman" w:hAnsi="Times New Roman" w:eastAsia="宋体" w:cs="Times New Roman"/>
                <w:b w:val="0"/>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)、4个件杂货堆场(面积34330m</w:t>
            </w:r>
            <w:r>
              <w:rPr>
                <w:rFonts w:hint="default" w:ascii="Times New Roman" w:hAnsi="Times New Roman" w:eastAsia="宋体" w:cs="Times New Roman"/>
                <w:b w:val="0"/>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)、3个综合仓库(面积12528m</w:t>
            </w:r>
            <w:r>
              <w:rPr>
                <w:rFonts w:hint="default" w:ascii="Times New Roman" w:hAnsi="Times New Roman" w:eastAsia="宋体" w:cs="Times New Roman"/>
                <w:b w:val="0"/>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)，为满足项目的物流仓储功能，码头的东南侧陆域布置有3个物流仓储堆场(面积38715m</w:t>
            </w:r>
            <w:r>
              <w:rPr>
                <w:rFonts w:hint="default" w:ascii="Times New Roman" w:hAnsi="Times New Roman" w:eastAsia="宋体" w:cs="Times New Roman"/>
                <w:b w:val="0"/>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)，2个物流仓储仓库(面积12960m</w:t>
            </w:r>
            <w:r>
              <w:rPr>
                <w:rFonts w:hint="default" w:ascii="Times New Roman" w:hAnsi="Times New Roman" w:eastAsia="宋体" w:cs="Times New Roman"/>
                <w:b w:val="0"/>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。此外，还布置港区生产、生活辅助区包括综合办公楼、物流仓储中心、宿舍楼、</w:t>
            </w:r>
            <w:r>
              <w:rPr>
                <w:rFonts w:hint="eastAsia" w:ascii="Times New Roman" w:hAnsi="Times New Roman" w:eastAsia="宋体" w:cs="Times New Roman"/>
                <w:b w:val="0"/>
                <w:color w:val="000000" w:themeColor="text1"/>
                <w:sz w:val="24"/>
                <w:szCs w:val="24"/>
                <w:highlight w:val="none"/>
                <w:lang w:val="en-US" w:eastAsia="zh-CN"/>
                <w14:textFill>
                  <w14:solidFill>
                    <w14:schemeClr w14:val="tx1"/>
                  </w14:solidFill>
                </w14:textFill>
              </w:rPr>
              <w:t>候工楼</w:t>
            </w: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工具库、机械库、机修间、污水处理站、变电所以及泵房、消防水池等建筑物。码头正后方陆域和东南侧陆域通过一条宽12m的道路连接，港区在东南侧陆域区设1处出入口。另外，在生产管理区建筑物周围种植花草树木，防尘降噪、美化环</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境</w:t>
            </w:r>
            <w:r>
              <w:rPr>
                <w:rFonts w:hint="default" w:ascii="Times New Roman" w:hAnsi="Times New Roman" w:eastAsia="宋体" w:cs="Times New Roman"/>
                <w:b w:val="0"/>
                <w:bCs w:val="0"/>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b w:val="0"/>
                <w:bCs/>
                <w:color w:val="000000" w:themeColor="text1"/>
                <w:highlight w:val="none"/>
                <w:lang w:val="en-US" w:eastAsia="zh-CN"/>
                <w14:textFill>
                  <w14:solidFill>
                    <w14:schemeClr w14:val="tx1"/>
                  </w14:solidFill>
                </w14:textFill>
              </w:rPr>
              <w:t>总平面图布置图间见附图6。</w:t>
            </w:r>
          </w:p>
          <w:p>
            <w:pPr>
              <w:pageBreakBefore w:val="0"/>
              <w:kinsoku/>
              <w:bidi w:val="0"/>
              <w:spacing w:beforeAutospacing="0" w:afterAutospacing="0" w:line="360" w:lineRule="auto"/>
              <w:jc w:val="left"/>
              <w:outlineLvl w:val="1"/>
              <w:rPr>
                <w:rFonts w:hint="default" w:ascii="Times New Roman" w:hAnsi="Times New Roman" w:eastAsia="宋体" w:cs="Times New Roman"/>
                <w:b/>
                <w:color w:val="000000" w:themeColor="text1"/>
                <w:kern w:val="2"/>
                <w:sz w:val="32"/>
                <w:szCs w:val="32"/>
                <w:highlight w:val="none"/>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32"/>
                <w:szCs w:val="32"/>
                <w:highlight w:val="none"/>
                <w:lang w:val="en-US" w:eastAsia="zh-CN" w:bidi="ar-SA"/>
                <w14:textFill>
                  <w14:solidFill>
                    <w14:schemeClr w14:val="tx1"/>
                  </w14:solidFill>
                </w14:textFill>
              </w:rPr>
              <w:t>2.7 施工现场布置</w:t>
            </w:r>
          </w:p>
          <w:p>
            <w:pPr>
              <w:pStyle w:val="13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firstLine="480" w:firstLineChars="200"/>
              <w:textAlignment w:val="auto"/>
              <w:outlineLvl w:val="9"/>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highlight w:val="none"/>
                <w:lang w:val="en-US" w:eastAsia="zh-CN"/>
                <w14:textFill>
                  <w14:solidFill>
                    <w14:schemeClr w14:val="tx1"/>
                  </w14:solidFill>
                </w14:textFill>
              </w:rPr>
              <w:t>基槽开挖施工中可用6~13m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highlight w:val="none"/>
                <w:lang w:val="en-US" w:eastAsia="zh-CN"/>
                <w14:textFill>
                  <w14:solidFill>
                    <w14:schemeClr w14:val="tx1"/>
                  </w14:solidFill>
                </w14:textFill>
              </w:rPr>
              <w:t>抓斗式挖泥船进行开挖。由于基槽施工是本工程的先行工序，施工时应投入足够的施工力量，在较短的时间内完成部分基槽，为抛石基床施工创造开工条件。本工程基础持力层为卵石岩层，无需炸礁。</w:t>
            </w:r>
          </w:p>
          <w:p>
            <w:pPr>
              <w:pStyle w:val="13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firstLine="480" w:firstLineChars="200"/>
              <w:textAlignment w:val="auto"/>
              <w:outlineLvl w:val="9"/>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码头主体工程是沉箱的预制、安装、现浇砼胸墙。本工程沉箱在附近的预制场预制，砼达到设计强度后方可采用200t起重船直接吊运安装。沉箱安装前应对基床进行检查，基床顶面不得有回淤物。沉箱就位后，应及时进行箱内回填中粗砂，以保证沉箱稳定。同时在沉箱四角设置沉降位移观测点，测量初始值，后续时间按规范规定时间进行沉降和位移观测。</w:t>
            </w:r>
            <w:r>
              <w:rPr>
                <w:rFonts w:hint="default" w:ascii="Times New Roman" w:hAnsi="Times New Roman" w:eastAsia="宋体" w:cs="Times New Roman"/>
                <w:color w:val="000000" w:themeColor="text1"/>
                <w:highlight w:val="none"/>
                <w:lang w:val="en-US" w:eastAsia="zh-CN"/>
                <w14:textFill>
                  <w14:solidFill>
                    <w14:schemeClr w14:val="tx1"/>
                  </w14:solidFill>
                </w14:textFill>
              </w:rPr>
              <w:t>施工平面布置详见附图11</w:t>
            </w:r>
            <w:r>
              <w:rPr>
                <w:rFonts w:hint="eastAsia" w:ascii="Times New Roman" w:hAnsi="Times New Roman" w:eastAsia="宋体"/>
                <w:color w:val="000000" w:themeColor="text1"/>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9" w:hRule="atLeast"/>
          <w:jc w:val="center"/>
        </w:trPr>
        <w:tc>
          <w:tcPr>
            <w:tcW w:w="453" w:type="dxa"/>
            <w:vAlign w:val="center"/>
          </w:tcPr>
          <w:p>
            <w:pPr>
              <w:pageBreakBefore w:val="0"/>
              <w:kinsoku/>
              <w:bidi w:val="0"/>
              <w:adjustRightInd w:val="0"/>
              <w:snapToGrid w:val="0"/>
              <w:spacing w:beforeAutospacing="0" w:afterAutospacing="0"/>
              <w:jc w:val="center"/>
              <w:rPr>
                <w:rFonts w:ascii="Times New Roman" w:hAnsi="Times New Roman" w:eastAsia="宋体" w:cs="宋体"/>
                <w:color w:val="000000" w:themeColor="text1"/>
                <w:kern w:val="0"/>
                <w:szCs w:val="21"/>
                <w:highlight w:val="none"/>
                <w14:textFill>
                  <w14:solidFill>
                    <w14:schemeClr w14:val="tx1"/>
                  </w14:solidFill>
                </w14:textFill>
              </w:rPr>
            </w:pPr>
            <w:r>
              <w:rPr>
                <w:rFonts w:hint="eastAsia" w:ascii="Times New Roman" w:hAnsi="Times New Roman" w:eastAsia="宋体" w:cs="宋体"/>
                <w:color w:val="000000" w:themeColor="text1"/>
                <w:kern w:val="0"/>
                <w:sz w:val="24"/>
                <w:szCs w:val="24"/>
                <w:highlight w:val="none"/>
                <w14:textFill>
                  <w14:solidFill>
                    <w14:schemeClr w14:val="tx1"/>
                  </w14:solidFill>
                </w14:textFill>
              </w:rPr>
              <w:t>施工方案</w:t>
            </w:r>
          </w:p>
        </w:tc>
        <w:tc>
          <w:tcPr>
            <w:tcW w:w="9175" w:type="dxa"/>
            <w:vAlign w:val="center"/>
          </w:tcPr>
          <w:p>
            <w:pPr>
              <w:pStyle w:val="133"/>
              <w:keepNext w:val="0"/>
              <w:keepLines w:val="0"/>
              <w:pageBreakBefore w:val="0"/>
              <w:widowControl w:val="0"/>
              <w:kinsoku/>
              <w:wordWrap/>
              <w:overflowPunct/>
              <w:topLinePunct w:val="0"/>
              <w:autoSpaceDE/>
              <w:autoSpaceDN/>
              <w:bidi w:val="0"/>
              <w:adjustRightInd w:val="0"/>
              <w:snapToGrid w:val="0"/>
              <w:spacing w:beforeAutospacing="0" w:afterAutospacing="0"/>
              <w:ind w:left="0" w:leftChars="0" w:firstLine="480" w:firstLineChars="200"/>
              <w:textAlignment w:val="auto"/>
              <w:outlineLvl w:val="9"/>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本项目施工内容分为土地平整及码头堆场建设</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填海作业根据《万成港口开发有限公司用地围填海生态评估报告》得出结论“本项目施工期填海影响较小，项目运营期不直接排放污水，可以维持现状的海水水质标准。”，因此填海作业不在本评价范围内。</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jc w:val="left"/>
              <w:outlineLvl w:val="1"/>
              <w:rPr>
                <w:rFonts w:hint="default" w:ascii="Times New Roman" w:hAnsi="Times New Roman" w:eastAsia="宋体" w:cs="Times New Roman"/>
                <w:b/>
                <w:color w:val="000000" w:themeColor="text1"/>
                <w:kern w:val="2"/>
                <w:sz w:val="32"/>
                <w:szCs w:val="32"/>
                <w:highlight w:val="none"/>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32"/>
                <w:szCs w:val="32"/>
                <w:highlight w:val="none"/>
                <w:lang w:val="en-US" w:eastAsia="zh-CN" w:bidi="ar-SA"/>
                <w14:textFill>
                  <w14:solidFill>
                    <w14:schemeClr w14:val="tx1"/>
                  </w14:solidFill>
                </w14:textFill>
              </w:rPr>
              <w:t>2.8 施工方案</w:t>
            </w:r>
          </w:p>
          <w:p>
            <w:pPr>
              <w:pStyle w:val="133"/>
              <w:keepNext w:val="0"/>
              <w:keepLines w:val="0"/>
              <w:pageBreakBefore w:val="0"/>
              <w:widowControl w:val="0"/>
              <w:kinsoku/>
              <w:wordWrap/>
              <w:overflowPunct/>
              <w:topLinePunct w:val="0"/>
              <w:autoSpaceDE/>
              <w:autoSpaceDN/>
              <w:bidi w:val="0"/>
              <w:adjustRightInd/>
              <w:snapToGrid/>
              <w:spacing w:beforeAutospacing="0" w:afterAutospacing="0"/>
              <w:ind w:left="0" w:leftChars="0" w:firstLine="480" w:firstLineChars="200"/>
              <w:textAlignment w:val="auto"/>
              <w:outlineLvl w:val="9"/>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项目施工计划见表2.8-1。</w:t>
            </w:r>
          </w:p>
          <w:p>
            <w:pPr>
              <w:pageBreakBefore w:val="0"/>
              <w:kinsoku/>
              <w:bidi w:val="0"/>
              <w:spacing w:beforeAutospacing="0" w:afterAutospacing="0" w:line="240" w:lineRule="auto"/>
              <w:jc w:val="center"/>
              <w:rPr>
                <w:rFonts w:hint="eastAsia" w:ascii="Times New Roman" w:hAnsi="Times New Roman" w:eastAsia="宋体" w:cs="Times New Roman"/>
                <w:b/>
                <w:bCs/>
                <w:color w:val="000000" w:themeColor="text1"/>
                <w:kern w:val="2"/>
                <w:sz w:val="24"/>
                <w:szCs w:val="24"/>
                <w:highlight w:val="none"/>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2"/>
                <w:sz w:val="24"/>
                <w:szCs w:val="24"/>
                <w:highlight w:val="none"/>
                <w:lang w:val="en-US" w:eastAsia="zh-CN" w:bidi="ar"/>
                <w14:textFill>
                  <w14:solidFill>
                    <w14:schemeClr w14:val="tx1"/>
                  </w14:solidFill>
                </w14:textFill>
              </w:rPr>
              <w:t>表2.8</w:t>
            </w:r>
            <w:r>
              <w:rPr>
                <w:rFonts w:hint="default" w:ascii="Times New Roman" w:hAnsi="Times New Roman" w:eastAsia="宋体" w:cs="Times New Roman"/>
                <w:b/>
                <w:bCs/>
                <w:color w:val="000000" w:themeColor="text1"/>
                <w:kern w:val="2"/>
                <w:sz w:val="24"/>
                <w:szCs w:val="24"/>
                <w:highlight w:val="none"/>
                <w:lang w:val="en-US" w:eastAsia="zh-CN" w:bidi="ar"/>
                <w14:textFill>
                  <w14:solidFill>
                    <w14:schemeClr w14:val="tx1"/>
                  </w14:solidFill>
                </w14:textFill>
              </w:rPr>
              <w:t>-</w:t>
            </w:r>
            <w:r>
              <w:rPr>
                <w:rFonts w:hint="eastAsia" w:ascii="Times New Roman" w:hAnsi="Times New Roman" w:eastAsia="宋体" w:cs="Times New Roman"/>
                <w:b/>
                <w:bCs/>
                <w:color w:val="000000" w:themeColor="text1"/>
                <w:kern w:val="2"/>
                <w:sz w:val="24"/>
                <w:szCs w:val="24"/>
                <w:highlight w:val="none"/>
                <w:lang w:val="en-US" w:eastAsia="zh-CN" w:bidi="ar"/>
                <w14:textFill>
                  <w14:solidFill>
                    <w14:schemeClr w14:val="tx1"/>
                  </w14:solidFill>
                </w14:textFill>
              </w:rPr>
              <w:t>1</w:t>
            </w:r>
            <w:r>
              <w:rPr>
                <w:rFonts w:hint="default" w:ascii="Times New Roman" w:hAnsi="Times New Roman" w:eastAsia="宋体" w:cs="Times New Roman"/>
                <w:b/>
                <w:bCs/>
                <w:color w:val="000000" w:themeColor="text1"/>
                <w:kern w:val="2"/>
                <w:sz w:val="24"/>
                <w:szCs w:val="24"/>
                <w:highlight w:val="none"/>
                <w:lang w:val="en-US" w:eastAsia="zh-CN" w:bidi="ar"/>
                <w14:textFill>
                  <w14:solidFill>
                    <w14:schemeClr w14:val="tx1"/>
                  </w14:solidFill>
                </w14:textFill>
              </w:rPr>
              <w:t xml:space="preserve">  </w:t>
            </w:r>
            <w:r>
              <w:rPr>
                <w:rFonts w:hint="eastAsia" w:ascii="Times New Roman" w:hAnsi="Times New Roman" w:eastAsia="宋体" w:cs="Times New Roman"/>
                <w:b/>
                <w:bCs/>
                <w:color w:val="000000" w:themeColor="text1"/>
                <w:kern w:val="2"/>
                <w:sz w:val="24"/>
                <w:szCs w:val="24"/>
                <w:highlight w:val="none"/>
                <w:lang w:val="en-US" w:eastAsia="zh-CN" w:bidi="ar"/>
                <w14:textFill>
                  <w14:solidFill>
                    <w14:schemeClr w14:val="tx1"/>
                  </w14:solidFill>
                </w14:textFill>
              </w:rPr>
              <w:t>施工安排计划一览表</w:t>
            </w:r>
          </w:p>
          <w:tbl>
            <w:tblPr>
              <w:tblStyle w:val="34"/>
              <w:tblW w:w="8954"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1546"/>
              <w:gridCol w:w="1560"/>
              <w:gridCol w:w="1575"/>
              <w:gridCol w:w="1736"/>
              <w:gridCol w:w="14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序号</w:t>
                  </w:r>
                </w:p>
              </w:tc>
              <w:tc>
                <w:tcPr>
                  <w:tcW w:w="154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施工内容</w:t>
                  </w:r>
                </w:p>
              </w:tc>
              <w:tc>
                <w:tcPr>
                  <w:tcW w:w="156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施工周期</w:t>
                  </w:r>
                </w:p>
              </w:tc>
              <w:tc>
                <w:tcPr>
                  <w:tcW w:w="157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计划开始时间</w:t>
                  </w:r>
                </w:p>
              </w:tc>
              <w:tc>
                <w:tcPr>
                  <w:tcW w:w="173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计划完成时间</w:t>
                  </w:r>
                </w:p>
              </w:tc>
              <w:tc>
                <w:tcPr>
                  <w:tcW w:w="1494"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1</w:t>
                  </w:r>
                </w:p>
              </w:tc>
              <w:tc>
                <w:tcPr>
                  <w:tcW w:w="154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土方开挖</w:t>
                  </w:r>
                </w:p>
              </w:tc>
              <w:tc>
                <w:tcPr>
                  <w:tcW w:w="156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2年</w:t>
                  </w:r>
                </w:p>
              </w:tc>
              <w:tc>
                <w:tcPr>
                  <w:tcW w:w="157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2023年4月</w:t>
                  </w:r>
                </w:p>
              </w:tc>
              <w:tc>
                <w:tcPr>
                  <w:tcW w:w="173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2025年4月</w:t>
                  </w:r>
                </w:p>
              </w:tc>
              <w:tc>
                <w:tcPr>
                  <w:tcW w:w="1494" w:type="dxa"/>
                  <w:vMerge w:val="restart"/>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1、2、3号施工同时进行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2</w:t>
                  </w:r>
                </w:p>
              </w:tc>
              <w:tc>
                <w:tcPr>
                  <w:tcW w:w="154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碎石加工</w:t>
                  </w:r>
                </w:p>
              </w:tc>
              <w:tc>
                <w:tcPr>
                  <w:tcW w:w="156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2年</w:t>
                  </w:r>
                </w:p>
              </w:tc>
              <w:tc>
                <w:tcPr>
                  <w:tcW w:w="157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2023年4月</w:t>
                  </w:r>
                </w:p>
              </w:tc>
              <w:tc>
                <w:tcPr>
                  <w:tcW w:w="173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2025年4月</w:t>
                  </w:r>
                </w:p>
              </w:tc>
              <w:tc>
                <w:tcPr>
                  <w:tcW w:w="1494" w:type="dxa"/>
                  <w:vMerge w:val="continue"/>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3</w:t>
                  </w:r>
                </w:p>
              </w:tc>
              <w:tc>
                <w:tcPr>
                  <w:tcW w:w="154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搅拌</w:t>
                  </w:r>
                </w:p>
              </w:tc>
              <w:tc>
                <w:tcPr>
                  <w:tcW w:w="156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2年</w:t>
                  </w:r>
                </w:p>
              </w:tc>
              <w:tc>
                <w:tcPr>
                  <w:tcW w:w="157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2023年4月</w:t>
                  </w:r>
                </w:p>
              </w:tc>
              <w:tc>
                <w:tcPr>
                  <w:tcW w:w="173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2025年4月</w:t>
                  </w:r>
                </w:p>
              </w:tc>
              <w:tc>
                <w:tcPr>
                  <w:tcW w:w="1494" w:type="dxa"/>
                  <w:vMerge w:val="continue"/>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4</w:t>
                  </w:r>
                </w:p>
              </w:tc>
              <w:tc>
                <w:tcPr>
                  <w:tcW w:w="154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仓储建设</w:t>
                  </w:r>
                </w:p>
              </w:tc>
              <w:tc>
                <w:tcPr>
                  <w:tcW w:w="156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2年</w:t>
                  </w:r>
                </w:p>
              </w:tc>
              <w:tc>
                <w:tcPr>
                  <w:tcW w:w="157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2024年6月</w:t>
                  </w:r>
                </w:p>
              </w:tc>
              <w:tc>
                <w:tcPr>
                  <w:tcW w:w="173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2026年6月</w:t>
                  </w:r>
                </w:p>
              </w:tc>
              <w:tc>
                <w:tcPr>
                  <w:tcW w:w="1494"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5</w:t>
                  </w:r>
                </w:p>
              </w:tc>
              <w:tc>
                <w:tcPr>
                  <w:tcW w:w="154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施工平台栈桥</w:t>
                  </w:r>
                </w:p>
              </w:tc>
              <w:tc>
                <w:tcPr>
                  <w:tcW w:w="156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2个月</w:t>
                  </w:r>
                </w:p>
              </w:tc>
              <w:tc>
                <w:tcPr>
                  <w:tcW w:w="157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2025年4月</w:t>
                  </w:r>
                </w:p>
              </w:tc>
              <w:tc>
                <w:tcPr>
                  <w:tcW w:w="173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2024年6月</w:t>
                  </w:r>
                </w:p>
              </w:tc>
              <w:tc>
                <w:tcPr>
                  <w:tcW w:w="1494"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43"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6</w:t>
                  </w:r>
                </w:p>
              </w:tc>
              <w:tc>
                <w:tcPr>
                  <w:tcW w:w="154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码头建设</w:t>
                  </w:r>
                </w:p>
              </w:tc>
              <w:tc>
                <w:tcPr>
                  <w:tcW w:w="156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1年</w:t>
                  </w:r>
                </w:p>
              </w:tc>
              <w:tc>
                <w:tcPr>
                  <w:tcW w:w="157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2025年5月</w:t>
                  </w:r>
                </w:p>
              </w:tc>
              <w:tc>
                <w:tcPr>
                  <w:tcW w:w="173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2026年6月</w:t>
                  </w:r>
                </w:p>
              </w:tc>
              <w:tc>
                <w:tcPr>
                  <w:tcW w:w="1494"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jc w:val="left"/>
              <w:outlineLvl w:val="1"/>
              <w:rPr>
                <w:rFonts w:hint="default" w:ascii="Times New Roman" w:hAnsi="Times New Roman" w:eastAsia="宋体" w:cs="Times New Roman"/>
                <w:b/>
                <w:color w:val="000000" w:themeColor="text1"/>
                <w:kern w:val="2"/>
                <w:sz w:val="30"/>
                <w:szCs w:val="30"/>
                <w:highlight w:val="none"/>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30"/>
                <w:szCs w:val="30"/>
                <w:highlight w:val="none"/>
                <w:lang w:val="en-US" w:eastAsia="zh-CN" w:bidi="ar-SA"/>
                <w14:textFill>
                  <w14:solidFill>
                    <w14:schemeClr w14:val="tx1"/>
                  </w14:solidFill>
                </w14:textFill>
              </w:rPr>
              <w:t>2.8.1</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土地平整</w:t>
            </w:r>
          </w:p>
          <w:p>
            <w:pPr>
              <w:pStyle w:val="112"/>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firstLine="482" w:firstLineChars="200"/>
              <w:jc w:val="both"/>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1、项目区开挖</w:t>
            </w:r>
          </w:p>
          <w:p>
            <w:pPr>
              <w:pStyle w:val="133"/>
              <w:keepNext w:val="0"/>
              <w:keepLines w:val="0"/>
              <w:pageBreakBefore w:val="0"/>
              <w:widowControl w:val="0"/>
              <w:kinsoku/>
              <w:wordWrap/>
              <w:overflowPunct/>
              <w:topLinePunct w:val="0"/>
              <w:autoSpaceDE/>
              <w:autoSpaceDN/>
              <w:bidi w:val="0"/>
              <w:adjustRightInd/>
              <w:snapToGrid/>
              <w:spacing w:beforeAutospacing="0" w:afterAutospacing="0"/>
              <w:ind w:left="0" w:leftChars="0" w:firstLine="480" w:firstLineChars="200"/>
              <w:textAlignment w:val="auto"/>
              <w:outlineLvl w:val="9"/>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（1）施工前应查明场地范围内的地下构筑物和各种地下管线的位置和标高等，并采用必要措施，以免施工而造成损坏。若石方开挖需采用爆破，应经过各部门审批并注意周边环境，不应因震动而影响附近建筑。</w:t>
            </w:r>
          </w:p>
          <w:p>
            <w:pPr>
              <w:pStyle w:val="133"/>
              <w:keepNext w:val="0"/>
              <w:keepLines w:val="0"/>
              <w:pageBreakBefore w:val="0"/>
              <w:widowControl w:val="0"/>
              <w:kinsoku/>
              <w:wordWrap/>
              <w:overflowPunct/>
              <w:topLinePunct w:val="0"/>
              <w:autoSpaceDE/>
              <w:autoSpaceDN/>
              <w:bidi w:val="0"/>
              <w:adjustRightInd/>
              <w:snapToGrid/>
              <w:spacing w:beforeAutospacing="0" w:afterAutospacing="0"/>
              <w:ind w:left="0" w:leftChars="0" w:firstLine="480" w:firstLineChars="200"/>
              <w:textAlignment w:val="auto"/>
              <w:outlineLvl w:val="9"/>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（2）施工前先按照</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设计图</w:t>
            </w:r>
            <w:r>
              <w:rPr>
                <w:rFonts w:hint="default" w:ascii="Times New Roman" w:hAnsi="Times New Roman" w:eastAsia="宋体" w:cs="Times New Roman"/>
                <w:color w:val="000000" w:themeColor="text1"/>
                <w:highlight w:val="none"/>
                <w:lang w:val="en-US" w:eastAsia="zh-CN"/>
                <w14:textFill>
                  <w14:solidFill>
                    <w14:schemeClr w14:val="tx1"/>
                  </w14:solidFill>
                </w14:textFill>
              </w:rPr>
              <w:t>设置3.5米宽、坡度不大于6%的施工便道至山顶，并设置相应的截水沟、排水沟。</w:t>
            </w:r>
          </w:p>
          <w:p>
            <w:pPr>
              <w:pStyle w:val="133"/>
              <w:keepNext w:val="0"/>
              <w:keepLines w:val="0"/>
              <w:pageBreakBefore w:val="0"/>
              <w:widowControl w:val="0"/>
              <w:kinsoku/>
              <w:wordWrap/>
              <w:overflowPunct/>
              <w:topLinePunct w:val="0"/>
              <w:autoSpaceDE/>
              <w:autoSpaceDN/>
              <w:bidi w:val="0"/>
              <w:adjustRightInd/>
              <w:snapToGrid/>
              <w:spacing w:beforeAutospacing="0" w:afterAutospacing="0"/>
              <w:ind w:left="0" w:leftChars="0" w:firstLine="480" w:firstLineChars="200"/>
              <w:textAlignment w:val="auto"/>
              <w:outlineLvl w:val="9"/>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（3）将山包表面种植土清除，堆放在界沟外侧，整形码方待本项目后期场地绿化使用；表面土不宜种植应废弃处理。边坡开挖</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呈</w:t>
            </w:r>
            <w:r>
              <w:rPr>
                <w:rFonts w:hint="default" w:ascii="Times New Roman" w:hAnsi="Times New Roman" w:eastAsia="宋体" w:cs="Times New Roman"/>
                <w:color w:val="000000" w:themeColor="text1"/>
                <w:highlight w:val="none"/>
                <w:lang w:val="en-US" w:eastAsia="zh-CN"/>
                <w14:textFill>
                  <w14:solidFill>
                    <w14:schemeClr w14:val="tx1"/>
                  </w14:solidFill>
                </w14:textFill>
              </w:rPr>
              <w:t>台阶型，取土坑的边坡一般为1:1，对于中风化凝灰岩可采用1:0.75~1:0.6，取土应按照标高分区</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有秩序地</w:t>
            </w:r>
            <w:r>
              <w:rPr>
                <w:rFonts w:hint="default" w:ascii="Times New Roman" w:hAnsi="Times New Roman" w:eastAsia="宋体" w:cs="Times New Roman"/>
                <w:color w:val="000000" w:themeColor="text1"/>
                <w:highlight w:val="none"/>
                <w:lang w:val="en-US" w:eastAsia="zh-CN"/>
                <w14:textFill>
                  <w14:solidFill>
                    <w14:schemeClr w14:val="tx1"/>
                  </w14:solidFill>
                </w14:textFill>
              </w:rPr>
              <w:t xml:space="preserve">。用地红线边界的南侧后边坡较高考虑自然放坡，边坡开挖应按照从上至下顺序逐级开挖，并做好边坡防护措施，确保坡体稳定和结构安全。 </w:t>
            </w:r>
          </w:p>
          <w:p>
            <w:pPr>
              <w:pStyle w:val="133"/>
              <w:keepNext w:val="0"/>
              <w:keepLines w:val="0"/>
              <w:pageBreakBefore w:val="0"/>
              <w:widowControl w:val="0"/>
              <w:kinsoku/>
              <w:wordWrap/>
              <w:overflowPunct/>
              <w:topLinePunct w:val="0"/>
              <w:autoSpaceDE/>
              <w:autoSpaceDN/>
              <w:bidi w:val="0"/>
              <w:adjustRightInd/>
              <w:snapToGrid/>
              <w:spacing w:beforeAutospacing="0" w:afterAutospacing="0"/>
              <w:ind w:left="0" w:leftChars="0" w:firstLine="480" w:firstLineChars="200"/>
              <w:textAlignment w:val="auto"/>
              <w:outlineLvl w:val="9"/>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4）对于土石方开挖，不得采用爆破施工，特殊情况下经过各部门审批同意后采用爆破施工时，靠边坡3米以内禁止采用炸药爆破；对于石方开挖，接近南侧边坡工程部位严禁采用大爆破；对于硬质岩石石方应采用光面、预裂爆破，以尽量减少或避免爆破施工对岩体结构的破坏作用和影响。南侧红线边界会形成高达22米的边坡，该边坡采用自然放坡形式，开挖应顺直、圆滑、大面平整，边坡上不得有松土危石。</w:t>
            </w:r>
          </w:p>
          <w:p>
            <w:pPr>
              <w:pStyle w:val="133"/>
              <w:keepNext w:val="0"/>
              <w:keepLines w:val="0"/>
              <w:pageBreakBefore w:val="0"/>
              <w:widowControl w:val="0"/>
              <w:kinsoku/>
              <w:wordWrap/>
              <w:overflowPunct/>
              <w:topLinePunct w:val="0"/>
              <w:autoSpaceDE/>
              <w:autoSpaceDN/>
              <w:bidi w:val="0"/>
              <w:adjustRightInd/>
              <w:snapToGrid/>
              <w:spacing w:beforeAutospacing="0" w:afterAutospacing="0"/>
              <w:ind w:left="0" w:leftChars="0" w:firstLine="480" w:firstLineChars="200"/>
              <w:textAlignment w:val="auto"/>
              <w:outlineLvl w:val="9"/>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（5）对开挖的石方经试验可用于路面工程的石料应另选择临时用地堆放并严格管理，确保不与其他杂土堆放。</w:t>
            </w:r>
          </w:p>
          <w:p>
            <w:pPr>
              <w:pStyle w:val="133"/>
              <w:keepNext w:val="0"/>
              <w:keepLines w:val="0"/>
              <w:pageBreakBefore w:val="0"/>
              <w:widowControl w:val="0"/>
              <w:kinsoku/>
              <w:wordWrap/>
              <w:overflowPunct/>
              <w:topLinePunct w:val="0"/>
              <w:autoSpaceDE/>
              <w:autoSpaceDN/>
              <w:bidi w:val="0"/>
              <w:adjustRightInd/>
              <w:snapToGrid/>
              <w:spacing w:beforeAutospacing="0" w:afterAutospacing="0"/>
              <w:ind w:left="0" w:leftChars="0" w:firstLine="480" w:firstLineChars="200"/>
              <w:textAlignment w:val="auto"/>
              <w:outlineLvl w:val="9"/>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（6）在挖方取土时，清除表层耕植土后，用挖掘机一次深挖到要求深度(4.0m)。土要堆放起来，放置2～3d，起到一定的渗水作用。土方堆放大于5000m</w:t>
            </w:r>
            <w:r>
              <w:rPr>
                <w:rFonts w:hint="default" w:ascii="Times New Roman" w:hAnsi="Times New Roman" w:eastAsia="宋体" w:cs="Times New Roman"/>
                <w:color w:val="000000" w:themeColor="text1"/>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lang w:val="en-US" w:eastAsia="zh-CN"/>
                <w14:textFill>
                  <w14:solidFill>
                    <w14:schemeClr w14:val="tx1"/>
                  </w14:solidFill>
                </w14:textFill>
              </w:rPr>
              <w:t>时，中间应留2.0m土埂作为相邻两个土方的中间埂，供施工机械通行。在取土过程中应及时做好降低地下水位、排除积水工作。清理场地的废料和土方工程的废方处理，不得影响</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周边</w:t>
            </w:r>
            <w:r>
              <w:rPr>
                <w:rFonts w:hint="default" w:ascii="Times New Roman" w:hAnsi="Times New Roman" w:eastAsia="宋体" w:cs="Times New Roman"/>
                <w:color w:val="000000" w:themeColor="text1"/>
                <w:highlight w:val="none"/>
                <w:lang w:val="en-US" w:eastAsia="zh-CN"/>
                <w14:textFill>
                  <w14:solidFill>
                    <w14:schemeClr w14:val="tx1"/>
                  </w14:solidFill>
                </w14:textFill>
              </w:rPr>
              <w:t>滩涂及海域。按照现场工程师的指示在适当地点设置弃土场。当设置弃土堆时，按施工规范的有关规定执行。 </w:t>
            </w:r>
          </w:p>
          <w:p>
            <w:pPr>
              <w:pStyle w:val="133"/>
              <w:keepNext w:val="0"/>
              <w:keepLines w:val="0"/>
              <w:pageBreakBefore w:val="0"/>
              <w:widowControl w:val="0"/>
              <w:kinsoku/>
              <w:wordWrap/>
              <w:overflowPunct/>
              <w:topLinePunct w:val="0"/>
              <w:autoSpaceDE/>
              <w:autoSpaceDN/>
              <w:bidi w:val="0"/>
              <w:adjustRightInd/>
              <w:snapToGrid/>
              <w:spacing w:beforeAutospacing="0" w:afterAutospacing="0"/>
              <w:ind w:left="0" w:leftChars="0" w:firstLine="480" w:firstLineChars="200"/>
              <w:textAlignment w:val="auto"/>
              <w:outlineLvl w:val="9"/>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（7）施工过程中的废弃物在工程完工时及时清除干净，以免堵塞河道和妨碍交通。挖方工程中的大型弃方场地，采取以下水土保持措施：</w:t>
            </w:r>
          </w:p>
          <w:p>
            <w:pPr>
              <w:pStyle w:val="133"/>
              <w:keepNext w:val="0"/>
              <w:keepLines w:val="0"/>
              <w:pageBreakBefore w:val="0"/>
              <w:widowControl w:val="0"/>
              <w:kinsoku/>
              <w:wordWrap/>
              <w:overflowPunct/>
              <w:topLinePunct w:val="0"/>
              <w:autoSpaceDE/>
              <w:autoSpaceDN/>
              <w:bidi w:val="0"/>
              <w:adjustRightInd/>
              <w:snapToGrid/>
              <w:spacing w:beforeAutospacing="0" w:afterAutospacing="0"/>
              <w:ind w:left="0" w:leftChars="0" w:firstLine="480" w:firstLineChars="200"/>
              <w:textAlignment w:val="auto"/>
              <w:outlineLvl w:val="9"/>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（8）堆放点统筹安排，堆放点远离河道，尽量不要压盖植被，尽可能选择荒地； 施工队定期对施工现场周围环境进行检查，严禁有破坏生态环境行为。</w:t>
            </w:r>
          </w:p>
          <w:p>
            <w:pPr>
              <w:pStyle w:val="112"/>
              <w:pageBreakBefore w:val="0"/>
              <w:kinsoku/>
              <w:bidi w:val="0"/>
              <w:adjustRightInd/>
              <w:spacing w:beforeAutospacing="0" w:afterAutospacing="0" w:line="360" w:lineRule="auto"/>
              <w:ind w:left="0" w:firstLine="480" w:firstLineChars="200"/>
              <w:jc w:val="both"/>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）采区具体剥离表土利用方式</w:t>
            </w:r>
          </w:p>
          <w:p>
            <w:pPr>
              <w:pStyle w:val="100"/>
              <w:pageBreakBefore w:val="0"/>
              <w:kinsoku/>
              <w:bidi w:val="0"/>
              <w:spacing w:beforeAutospacing="0" w:afterAutospacing="0" w:line="360" w:lineRule="auto"/>
              <w:ind w:firstLine="480" w:firstLineChars="200"/>
              <w:jc w:val="both"/>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对表层覆盖层剥离采用挖掘机进行机械化剥离，直接采用挖掘机铲装，自卸式装载车外运到指定的</w:t>
            </w:r>
            <w:r>
              <w:rPr>
                <w:rFonts w:hint="eastAsia" w:ascii="Times New Roman" w:hAnsi="Times New Roman" w:eastAsia="宋体" w:cs="Times New Roman"/>
                <w:b w:val="0"/>
                <w:color w:val="000000" w:themeColor="text1"/>
                <w:sz w:val="24"/>
                <w:szCs w:val="24"/>
                <w:highlight w:val="none"/>
                <w:lang w:val="en-US" w:eastAsia="zh-CN"/>
                <w14:textFill>
                  <w14:solidFill>
                    <w14:schemeClr w14:val="tx1"/>
                  </w14:solidFill>
                </w14:textFill>
              </w:rPr>
              <w:t>临时</w:t>
            </w: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堆填区内，</w:t>
            </w:r>
            <w:r>
              <w:rPr>
                <w:rFonts w:hint="eastAsia" w:ascii="Times New Roman" w:hAnsi="Times New Roman" w:eastAsia="宋体"/>
                <w:color w:val="000000" w:themeColor="text1"/>
                <w:highlight w:val="none"/>
                <w:lang w:val="en-US" w:eastAsia="zh-CN"/>
                <w14:textFill>
                  <w14:solidFill>
                    <w14:schemeClr w14:val="tx1"/>
                  </w14:solidFill>
                </w14:textFill>
              </w:rPr>
              <w:t>主要用于本项目后期平整回填，多余部分</w:t>
            </w:r>
            <w:r>
              <w:rPr>
                <w:rFonts w:hint="default" w:ascii="Times New Roman" w:hAnsi="Times New Roman" w:eastAsia="宋体" w:cs="Times New Roman"/>
                <w:color w:val="000000" w:themeColor="text1"/>
                <w:kern w:val="0"/>
                <w:szCs w:val="21"/>
                <w:highlight w:val="none"/>
                <w14:textFill>
                  <w14:solidFill>
                    <w14:schemeClr w14:val="tx1"/>
                  </w14:solidFill>
                </w14:textFill>
              </w:rPr>
              <w:t>外售</w:t>
            </w: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综合利用</w:t>
            </w: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w:t>
            </w:r>
          </w:p>
          <w:p>
            <w:pPr>
              <w:pageBreakBefore w:val="0"/>
              <w:kinsoku/>
              <w:bidi w:val="0"/>
              <w:spacing w:beforeAutospacing="0" w:afterAutospacing="0" w:line="360" w:lineRule="auto"/>
              <w:jc w:val="center"/>
              <w:rPr>
                <w:rFonts w:hint="default" w:ascii="Times New Roman" w:hAnsi="Times New Roman" w:eastAsia="宋体" w:cs="Times New Roman"/>
                <w:b/>
                <w:color w:val="000000" w:themeColor="text1"/>
                <w:szCs w:val="21"/>
                <w:highlight w:val="none"/>
                <w14:textFill>
                  <w14:solidFill>
                    <w14:schemeClr w14:val="tx1"/>
                  </w14:solidFill>
                </w14:textFill>
              </w:rPr>
            </w:pPr>
            <w:r>
              <w:rPr>
                <w:rFonts w:hint="default" w:ascii="Times New Roman" w:hAnsi="Times New Roman" w:eastAsia="宋体" w:cs="Times New Roman"/>
                <w:b/>
                <w:color w:val="000000" w:themeColor="text1"/>
                <w:szCs w:val="21"/>
                <w:highlight w:val="none"/>
                <w14:textFill>
                  <w14:solidFill>
                    <w14:schemeClr w14:val="tx1"/>
                  </w14:solidFill>
                </w14:textFill>
              </w:rPr>
              <w:object>
                <v:shape id="_x0000_i1025" o:spt="75" type="#_x0000_t75" style="height:154.4pt;width:395.6pt;" o:ole="t" filled="f" o:preferrelative="t" stroked="f" coordsize="21600,21600">
                  <v:path/>
                  <v:fill on="f" focussize="0,0"/>
                  <v:stroke on="f"/>
                  <v:imagedata r:id="rId14" o:title=""/>
                  <o:lock v:ext="edit" aspectratio="f"/>
                  <w10:wrap type="none"/>
                  <w10:anchorlock/>
                </v:shape>
                <o:OLEObject Type="Embed" ProgID="Visio.Drawing.11" ShapeID="_x0000_i1025" DrawAspect="Content" ObjectID="_1468075725" r:id="rId13">
                  <o:LockedField>false</o:LockedField>
                </o:OLEObject>
              </w:object>
            </w:r>
          </w:p>
          <w:p>
            <w:pPr>
              <w:pageBreakBefore w:val="0"/>
              <w:kinsoku/>
              <w:bidi w:val="0"/>
              <w:spacing w:beforeAutospacing="0" w:afterAutospacing="0" w:line="360" w:lineRule="auto"/>
              <w:jc w:val="center"/>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图</w:t>
            </w:r>
            <w:r>
              <w:rPr>
                <w:rFonts w:hint="eastAsia" w:ascii="Times New Roman" w:hAnsi="Times New Roman" w:eastAsia="宋体" w:cs="Times New Roman"/>
                <w:b/>
                <w:bCs/>
                <w:color w:val="000000" w:themeColor="text1"/>
                <w:kern w:val="2"/>
                <w:sz w:val="24"/>
                <w:szCs w:val="24"/>
                <w:highlight w:val="none"/>
                <w:lang w:val="en-US" w:eastAsia="zh-CN" w:bidi="ar"/>
                <w14:textFill>
                  <w14:solidFill>
                    <w14:schemeClr w14:val="tx1"/>
                  </w14:solidFill>
                </w14:textFill>
              </w:rPr>
              <w:t>2.8</w:t>
            </w:r>
            <w:r>
              <w:rPr>
                <w:rFonts w:hint="default" w:ascii="Times New Roman" w:hAnsi="Times New Roman" w:eastAsia="宋体" w:cs="Times New Roman"/>
                <w:b/>
                <w:bCs/>
                <w:color w:val="000000" w:themeColor="text1"/>
                <w:kern w:val="2"/>
                <w:sz w:val="24"/>
                <w:szCs w:val="24"/>
                <w:highlight w:val="none"/>
                <w:lang w:val="en-US" w:eastAsia="zh-CN" w:bidi="ar"/>
                <w14:textFill>
                  <w14:solidFill>
                    <w14:schemeClr w14:val="tx1"/>
                  </w14:solidFill>
                </w14:textFill>
              </w:rPr>
              <w:t>-</w:t>
            </w:r>
            <w:r>
              <w:rPr>
                <w:rFonts w:hint="eastAsia" w:ascii="Times New Roman" w:hAnsi="Times New Roman" w:eastAsia="宋体" w:cs="Times New Roman"/>
                <w:b/>
                <w:bCs/>
                <w:color w:val="000000" w:themeColor="text1"/>
                <w:kern w:val="2"/>
                <w:sz w:val="24"/>
                <w:szCs w:val="24"/>
                <w:highlight w:val="none"/>
                <w:lang w:val="en-US" w:eastAsia="zh-CN" w:bidi="ar"/>
                <w14:textFill>
                  <w14:solidFill>
                    <w14:schemeClr w14:val="tx1"/>
                  </w14:solidFill>
                </w14:textFill>
              </w:rPr>
              <w:t>1</w:t>
            </w:r>
            <w:r>
              <w:rPr>
                <w:rFonts w:hint="default" w:ascii="Times New Roman" w:hAnsi="Times New Roman" w:eastAsia="宋体" w:cs="Times New Roman"/>
                <w:b/>
                <w:bCs/>
                <w:color w:val="000000" w:themeColor="text1"/>
                <w:kern w:val="2"/>
                <w:sz w:val="24"/>
                <w:szCs w:val="24"/>
                <w:highlight w:val="none"/>
                <w:lang w:val="en-US" w:eastAsia="zh-CN" w:bidi="ar"/>
                <w14:textFill>
                  <w14:solidFill>
                    <w14:schemeClr w14:val="tx1"/>
                  </w14:solidFill>
                </w14:textFill>
              </w:rPr>
              <w:t xml:space="preserve">  </w:t>
            </w:r>
            <w:r>
              <w:rPr>
                <w:rFonts w:hint="eastAsia" w:ascii="Times New Roman" w:hAnsi="Times New Roman" w:eastAsia="宋体" w:cs="Times New Roman"/>
                <w:b/>
                <w:bCs/>
                <w:color w:val="000000" w:themeColor="text1"/>
                <w:kern w:val="2"/>
                <w:sz w:val="24"/>
                <w:szCs w:val="24"/>
                <w:highlight w:val="none"/>
                <w:lang w:val="en-US" w:eastAsia="zh-CN" w:bidi="ar"/>
                <w14:textFill>
                  <w14:solidFill>
                    <w14:schemeClr w14:val="tx1"/>
                  </w14:solidFill>
                </w14:textFill>
              </w:rPr>
              <w:t>场地平整方案</w:t>
            </w:r>
            <w:r>
              <w:rPr>
                <w:rFonts w:hint="default" w:ascii="Times New Roman" w:hAnsi="Times New Roman" w:eastAsia="宋体" w:cs="Times New Roman"/>
                <w:b/>
                <w:bCs/>
                <w:color w:val="000000" w:themeColor="text1"/>
                <w:kern w:val="2"/>
                <w:sz w:val="24"/>
                <w:szCs w:val="24"/>
                <w:highlight w:val="none"/>
                <w:lang w:val="en-US" w:eastAsia="zh-CN" w:bidi="ar"/>
                <w14:textFill>
                  <w14:solidFill>
                    <w14:schemeClr w14:val="tx1"/>
                  </w14:solidFill>
                </w14:textFill>
              </w:rPr>
              <w:t>流程图</w:t>
            </w:r>
          </w:p>
          <w:p>
            <w:pPr>
              <w:pStyle w:val="133"/>
              <w:keepNext w:val="0"/>
              <w:keepLines w:val="0"/>
              <w:pageBreakBefore w:val="0"/>
              <w:widowControl w:val="0"/>
              <w:kinsoku/>
              <w:wordWrap/>
              <w:overflowPunct/>
              <w:topLinePunct w:val="0"/>
              <w:autoSpaceDE/>
              <w:autoSpaceDN/>
              <w:bidi w:val="0"/>
              <w:adjustRightInd/>
              <w:snapToGrid/>
              <w:spacing w:beforeAutospacing="0" w:afterAutospacing="0"/>
              <w:ind w:left="0" w:leftChars="0" w:firstLine="482" w:firstLineChars="200"/>
              <w:textAlignment w:val="auto"/>
              <w:outlineLvl w:val="9"/>
              <w:rPr>
                <w:rFonts w:hint="eastAsia"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2、配套加工设施加工工艺（碎石加工）</w:t>
            </w:r>
          </w:p>
          <w:p>
            <w:pPr>
              <w:pageBreakBefore w:val="0"/>
              <w:kinsoku/>
              <w:bidi w:val="0"/>
              <w:spacing w:beforeAutospacing="0" w:afterAutospacing="0" w:line="360" w:lineRule="auto"/>
              <w:ind w:firstLine="480" w:firstLineChars="200"/>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配套碎石加工区年加工砂石骨料164.5万吨，</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用于本项目施工建设使用，</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原料均来自后方土地平整开挖砂石，主要设备为给料机、圆锥机、鄂破机、振动筛、冲击破碎机及洗脱水回收一体机等</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p>
          <w:p>
            <w:pPr>
              <w:pageBreakBefore w:val="0"/>
              <w:kinsoku/>
              <w:bidi w:val="0"/>
              <w:spacing w:beforeAutospacing="0" w:afterAutospacing="0" w:line="360" w:lineRule="auto"/>
              <w:ind w:firstLine="480" w:firstLineChars="200"/>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①</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喂料</w:t>
            </w:r>
            <w:r>
              <w:rPr>
                <w:rFonts w:hint="default" w:ascii="Times New Roman" w:hAnsi="Times New Roman" w:eastAsia="宋体" w:cs="Times New Roman"/>
                <w:bCs/>
                <w:color w:val="000000" w:themeColor="text1"/>
                <w:sz w:val="24"/>
                <w:szCs w:val="24"/>
                <w:highlight w:val="none"/>
                <w14:textFill>
                  <w14:solidFill>
                    <w14:schemeClr w14:val="tx1"/>
                  </w14:solidFill>
                </w14:textFill>
              </w:rPr>
              <w:t>：项目原料由</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场地平整区</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运至</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配套加工生产区</w:t>
            </w:r>
            <w:r>
              <w:rPr>
                <w:rFonts w:hint="default" w:ascii="Times New Roman" w:hAnsi="Times New Roman" w:eastAsia="宋体" w:cs="Times New Roman"/>
                <w:bCs/>
                <w:color w:val="000000" w:themeColor="text1"/>
                <w:sz w:val="24"/>
                <w:szCs w:val="24"/>
                <w:highlight w:val="none"/>
                <w14:textFill>
                  <w14:solidFill>
                    <w14:schemeClr w14:val="tx1"/>
                  </w14:solidFill>
                </w14:textFill>
              </w:rPr>
              <w:t>喂料斗，本工序会产生粉尘和噪声</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w:t>
            </w:r>
          </w:p>
          <w:p>
            <w:pPr>
              <w:pStyle w:val="112"/>
              <w:pageBreakBefore w:val="0"/>
              <w:kinsoku/>
              <w:bidi w:val="0"/>
              <w:adjustRightInd/>
              <w:spacing w:beforeAutospacing="0" w:afterAutospacing="0" w:line="360" w:lineRule="auto"/>
              <w:ind w:left="0" w:firstLine="480" w:firstLineChars="200"/>
              <w:jc w:val="both"/>
              <w:rPr>
                <w:rFonts w:hint="default" w:ascii="Times New Roman" w:hAnsi="Times New Roman" w:eastAsia="宋体" w:cs="Times New Roman"/>
                <w:b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color w:val="000000" w:themeColor="text1"/>
                <w:sz w:val="24"/>
                <w:szCs w:val="24"/>
                <w:highlight w:val="none"/>
                <w14:textFill>
                  <w14:solidFill>
                    <w14:schemeClr w14:val="tx1"/>
                  </w14:solidFill>
                </w14:textFill>
              </w:rPr>
              <w:t>②</w:t>
            </w: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粗</w:t>
            </w:r>
            <w:r>
              <w:rPr>
                <w:rFonts w:hint="default" w:ascii="Times New Roman" w:hAnsi="Times New Roman" w:eastAsia="宋体" w:cs="Times New Roman"/>
                <w:b w:val="0"/>
                <w:color w:val="000000" w:themeColor="text1"/>
                <w:sz w:val="24"/>
                <w:szCs w:val="24"/>
                <w:highlight w:val="none"/>
                <w14:textFill>
                  <w14:solidFill>
                    <w14:schemeClr w14:val="tx1"/>
                  </w14:solidFill>
                </w14:textFill>
              </w:rPr>
              <w:t>破碎：喂料斗内的原料进入</w:t>
            </w: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鄂破机将砂石料初步破碎</w:t>
            </w:r>
            <w:r>
              <w:rPr>
                <w:rFonts w:hint="default" w:ascii="Times New Roman" w:hAnsi="Times New Roman" w:eastAsia="宋体" w:cs="Times New Roman"/>
                <w:b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破碎过程中针对破碎机产尘点采取喷雾洒水喷头洒水抑尘，在此过程中会产生一定量的粉尘及噪声；</w:t>
            </w:r>
          </w:p>
          <w:p>
            <w:pPr>
              <w:pStyle w:val="112"/>
              <w:pageBreakBefore w:val="0"/>
              <w:kinsoku/>
              <w:bidi w:val="0"/>
              <w:adjustRightInd/>
              <w:spacing w:beforeAutospacing="0" w:afterAutospacing="0" w:line="360" w:lineRule="auto"/>
              <w:ind w:left="0" w:firstLine="480" w:firstLineChars="200"/>
              <w:jc w:val="both"/>
              <w:rPr>
                <w:rFonts w:hint="default" w:ascii="Times New Roman" w:hAnsi="Times New Roman" w:eastAsia="宋体" w:cs="Times New Roman"/>
                <w:b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③中转：经粗破碎后的石料由输送皮带进行车间内部中转，此过程中会产生一定量的粉尘及噪声；</w:t>
            </w:r>
          </w:p>
          <w:p>
            <w:pPr>
              <w:pStyle w:val="112"/>
              <w:pageBreakBefore w:val="0"/>
              <w:kinsoku/>
              <w:bidi w:val="0"/>
              <w:adjustRightInd/>
              <w:spacing w:beforeAutospacing="0" w:afterAutospacing="0" w:line="360" w:lineRule="auto"/>
              <w:ind w:left="0" w:firstLine="480" w:firstLineChars="200"/>
              <w:jc w:val="both"/>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④中细破碎：中转石料由输送皮带送入各破碎机进行中细破碎</w:t>
            </w:r>
            <w:r>
              <w:rPr>
                <w:rFonts w:hint="default" w:ascii="Times New Roman" w:hAnsi="Times New Roman" w:eastAsia="宋体" w:cs="Times New Roman"/>
                <w:b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破碎过程中针对破碎机产尘点</w:t>
            </w:r>
            <w:r>
              <w:rPr>
                <w:rFonts w:hint="default" w:ascii="Times New Roman" w:hAnsi="Times New Roman" w:eastAsia="宋体" w:cs="Times New Roman"/>
                <w:b w:val="0"/>
                <w:color w:val="000000" w:themeColor="text1"/>
                <w:sz w:val="24"/>
                <w:szCs w:val="24"/>
                <w:highlight w:val="none"/>
                <w14:textFill>
                  <w14:solidFill>
                    <w14:schemeClr w14:val="tx1"/>
                  </w14:solidFill>
                </w14:textFill>
              </w:rPr>
              <w:t>采</w:t>
            </w: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取</w:t>
            </w:r>
            <w:r>
              <w:rPr>
                <w:rFonts w:hint="default" w:ascii="Times New Roman" w:hAnsi="Times New Roman" w:eastAsia="宋体" w:cs="Times New Roman"/>
                <w:b w:val="0"/>
                <w:color w:val="000000" w:themeColor="text1"/>
                <w:sz w:val="24"/>
                <w:szCs w:val="24"/>
                <w:highlight w:val="none"/>
                <w14:textFill>
                  <w14:solidFill>
                    <w14:schemeClr w14:val="tx1"/>
                  </w14:solidFill>
                </w14:textFill>
              </w:rPr>
              <w:t>喷雾洒水喷头洒水抑尘</w:t>
            </w: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，其中60%石料进入粗破碎机主要制造碎石、40%石料进入细破碎机主要制造</w:t>
            </w:r>
            <w:r>
              <w:rPr>
                <w:rFonts w:hint="eastAsia" w:ascii="Times New Roman" w:hAnsi="Times New Roman" w:eastAsia="宋体" w:cs="Times New Roman"/>
                <w:b w:val="0"/>
                <w:color w:val="000000" w:themeColor="text1"/>
                <w:sz w:val="24"/>
                <w:szCs w:val="24"/>
                <w:highlight w:val="none"/>
                <w:lang w:val="en-US" w:eastAsia="zh-CN"/>
                <w14:textFill>
                  <w14:solidFill>
                    <w14:schemeClr w14:val="tx1"/>
                  </w14:solidFill>
                </w14:textFill>
              </w:rPr>
              <w:t>建筑石料</w:t>
            </w: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，此过程中会产生一定量的粉尘及噪声；</w:t>
            </w:r>
          </w:p>
          <w:p>
            <w:pPr>
              <w:pageBreakBefore w:val="0"/>
              <w:kinsoku/>
              <w:bidi w:val="0"/>
              <w:spacing w:beforeAutospacing="0" w:afterAutospacing="0" w:line="360" w:lineRule="auto"/>
              <w:ind w:firstLine="480" w:firstLineChars="200"/>
              <w:rPr>
                <w:rFonts w:hint="eastAsia" w:ascii="Times New Roman" w:hAnsi="Times New Roman" w:eastAsia="宋体" w:cs="Times New Roman"/>
                <w:bCs/>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⑤筛分</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清洗</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中细破后的石料由输送皮带送入筛分机，同时在筛分机顶部喷淋水，在筛分的同时对石料清洗。筛分出粒径大于31.5mm的碎石（不合格品）回细破再次破碎，通过不同型号筛分机分别筛分出5-10mm、10-20mm、16-31.5mm的建筑石料由输送皮带送入成品堆场，小于5mm的</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建筑石料</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进底仓至细砂回收系统。此过程中会产生废水、噪声及少量粉尘；</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产生的碎石清洗</w:t>
            </w:r>
            <w:r>
              <w:rPr>
                <w:rFonts w:hint="default" w:ascii="Times New Roman" w:hAnsi="Times New Roman" w:eastAsia="宋体" w:cs="Times New Roman"/>
                <w:color w:val="000000" w:themeColor="text1"/>
                <w:sz w:val="24"/>
                <w:szCs w:val="24"/>
                <w:highlight w:val="none"/>
                <w14:textFill>
                  <w14:solidFill>
                    <w14:schemeClr w14:val="tx1"/>
                  </w14:solidFill>
                </w14:textFill>
              </w:rPr>
              <w:t>废水经</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沉淀池</w:t>
            </w:r>
            <w:r>
              <w:rPr>
                <w:rFonts w:hint="default" w:ascii="Times New Roman" w:hAnsi="Times New Roman" w:eastAsia="宋体" w:cs="Times New Roman"/>
                <w:color w:val="000000" w:themeColor="text1"/>
                <w:sz w:val="24"/>
                <w:szCs w:val="24"/>
                <w:highlight w:val="none"/>
                <w14:textFill>
                  <w14:solidFill>
                    <w14:schemeClr w14:val="tx1"/>
                  </w14:solidFill>
                </w14:textFill>
              </w:rPr>
              <w:t>处理后回用，不外排</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不合格品重复利用加工</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p>
          <w:p>
            <w:pPr>
              <w:pageBreakBefore w:val="0"/>
              <w:kinsoku/>
              <w:bidi w:val="0"/>
              <w:spacing w:beforeAutospacing="0" w:afterAutospacing="0" w:line="360" w:lineRule="auto"/>
              <w:ind w:firstLine="480" w:firstLineChars="200"/>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⑥</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脱水</w:t>
            </w:r>
            <w:r>
              <w:rPr>
                <w:rFonts w:hint="default" w:ascii="Times New Roman" w:hAnsi="Times New Roman" w:eastAsia="宋体" w:cs="Times New Roman"/>
                <w:bCs/>
                <w:color w:val="000000" w:themeColor="text1"/>
                <w:sz w:val="24"/>
                <w:szCs w:val="24"/>
                <w:highlight w:val="none"/>
                <w14:textFill>
                  <w14:solidFill>
                    <w14:schemeClr w14:val="tx1"/>
                  </w14:solidFill>
                </w14:textFill>
              </w:rPr>
              <w:t>：因筛分、</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清洗</w:t>
            </w:r>
            <w:r>
              <w:rPr>
                <w:rFonts w:hint="default" w:ascii="Times New Roman" w:hAnsi="Times New Roman" w:eastAsia="宋体" w:cs="Times New Roman"/>
                <w:bCs/>
                <w:color w:val="000000" w:themeColor="text1"/>
                <w:sz w:val="24"/>
                <w:szCs w:val="24"/>
                <w:highlight w:val="none"/>
                <w14:textFill>
                  <w14:solidFill>
                    <w14:schemeClr w14:val="tx1"/>
                  </w14:solidFill>
                </w14:textFill>
              </w:rPr>
              <w:t>工序均加水进行生产，故原料需利用</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清洗</w:t>
            </w: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脱水回收一体机处理</w:t>
            </w:r>
            <w:r>
              <w:rPr>
                <w:rFonts w:hint="default" w:ascii="Times New Roman" w:hAnsi="Times New Roman" w:eastAsia="宋体" w:cs="Times New Roman"/>
                <w:bCs/>
                <w:color w:val="000000" w:themeColor="text1"/>
                <w:sz w:val="24"/>
                <w:szCs w:val="24"/>
                <w:highlight w:val="none"/>
                <w14:textFill>
                  <w14:solidFill>
                    <w14:schemeClr w14:val="tx1"/>
                  </w14:solidFill>
                </w14:textFill>
              </w:rPr>
              <w:t>进行脱水。</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脱水</w:t>
            </w:r>
            <w:r>
              <w:rPr>
                <w:rFonts w:hint="default" w:ascii="Times New Roman" w:hAnsi="Times New Roman" w:eastAsia="宋体" w:cs="Times New Roman"/>
                <w:bCs/>
                <w:color w:val="000000" w:themeColor="text1"/>
                <w:sz w:val="24"/>
                <w:szCs w:val="24"/>
                <w:highlight w:val="none"/>
                <w14:textFill>
                  <w14:solidFill>
                    <w14:schemeClr w14:val="tx1"/>
                  </w14:solidFill>
                </w14:textFill>
              </w:rPr>
              <w:t>后的产品含水率约为</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highlight w:val="none"/>
                <w14:textFill>
                  <w14:solidFill>
                    <w14:schemeClr w14:val="tx1"/>
                  </w14:solidFill>
                </w14:textFill>
              </w:rPr>
              <w:t>%。该工序会产生废水和噪声。</w:t>
            </w: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污泥经脱水回收一体机处理后</w:t>
            </w:r>
            <w:r>
              <w:rPr>
                <w:rFonts w:hint="eastAsia" w:ascii="Times New Roman" w:hAnsi="Times New Roman" w:eastAsia="宋体" w:cs="Times New Roman"/>
                <w:b w:val="0"/>
                <w:color w:val="000000" w:themeColor="text1"/>
                <w:sz w:val="24"/>
                <w:szCs w:val="24"/>
                <w:highlight w:val="none"/>
                <w:lang w:val="en-US" w:eastAsia="zh-CN"/>
                <w14:textFill>
                  <w14:solidFill>
                    <w14:schemeClr w14:val="tx1"/>
                  </w14:solidFill>
                </w14:textFill>
              </w:rPr>
              <w:t>，收集后</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外售</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综合利用</w:t>
            </w: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，滤液排回流至沉淀池重新处理；</w:t>
            </w:r>
          </w:p>
          <w:p>
            <w:pPr>
              <w:pStyle w:val="133"/>
              <w:keepNext w:val="0"/>
              <w:keepLines w:val="0"/>
              <w:pageBreakBefore w:val="0"/>
              <w:widowControl w:val="0"/>
              <w:kinsoku/>
              <w:wordWrap/>
              <w:overflowPunct/>
              <w:topLinePunct w:val="0"/>
              <w:autoSpaceDE/>
              <w:autoSpaceDN/>
              <w:bidi w:val="0"/>
              <w:adjustRightInd/>
              <w:snapToGrid/>
              <w:spacing w:beforeAutospacing="0" w:afterAutospacing="0"/>
              <w:ind w:left="0" w:leftChars="0" w:firstLine="480" w:firstLineChars="200"/>
              <w:textAlignment w:val="auto"/>
              <w:outlineLvl w:val="9"/>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⑦运输：最后产品于厂内</w:t>
            </w:r>
            <w:r>
              <w:rPr>
                <w:rFonts w:hint="default" w:ascii="Times New Roman" w:hAnsi="Times New Roman" w:eastAsia="宋体" w:cs="Times New Roman"/>
                <w:bCs/>
                <w:color w:val="000000" w:themeColor="text1"/>
                <w:sz w:val="24"/>
                <w:szCs w:val="24"/>
                <w:highlight w:val="none"/>
                <w:lang w:eastAsia="zh-CN"/>
                <w14:textFill>
                  <w14:solidFill>
                    <w14:schemeClr w14:val="tx1"/>
                  </w14:solidFill>
                </w14:textFill>
              </w:rPr>
              <w:t>料仓</w:t>
            </w:r>
            <w:r>
              <w:rPr>
                <w:rFonts w:hint="default" w:ascii="Times New Roman" w:hAnsi="Times New Roman" w:eastAsia="宋体" w:cs="Times New Roman"/>
                <w:bCs/>
                <w:color w:val="000000" w:themeColor="text1"/>
                <w:sz w:val="24"/>
                <w:szCs w:val="24"/>
                <w:highlight w:val="none"/>
                <w14:textFill>
                  <w14:solidFill>
                    <w14:schemeClr w14:val="tx1"/>
                  </w14:solidFill>
                </w14:textFill>
              </w:rPr>
              <w:t>暂存。</w:t>
            </w:r>
          </w:p>
          <w:p>
            <w:pPr>
              <w:pStyle w:val="133"/>
              <w:keepNext w:val="0"/>
              <w:keepLines w:val="0"/>
              <w:pageBreakBefore w:val="0"/>
              <w:widowControl w:val="0"/>
              <w:kinsoku/>
              <w:wordWrap/>
              <w:overflowPunct/>
              <w:topLinePunct w:val="0"/>
              <w:autoSpaceDE/>
              <w:autoSpaceDN/>
              <w:bidi w:val="0"/>
              <w:adjustRightInd/>
              <w:snapToGrid/>
              <w:spacing w:beforeAutospacing="0" w:afterAutospacing="0"/>
              <w:ind w:left="0" w:leftChars="0" w:firstLine="482" w:firstLineChars="200"/>
              <w:jc w:val="center"/>
              <w:textAlignment w:val="auto"/>
              <w:outlineLvl w:val="9"/>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object>
                <v:shape id="_x0000_i1026" o:spt="75" type="#_x0000_t75" style="height:303pt;width:311.5pt;" o:ole="t" filled="f" o:preferrelative="t" stroked="f" coordsize="21600,21600">
                  <v:path/>
                  <v:fill on="f" focussize="0,0"/>
                  <v:stroke on="f"/>
                  <v:imagedata r:id="rId16" o:title=""/>
                  <o:lock v:ext="edit" aspectratio="f"/>
                  <w10:wrap type="none"/>
                  <w10:anchorlock/>
                </v:shape>
                <o:OLEObject Type="Embed" ProgID="Visio.Drawing.11" ShapeID="_x0000_i1026" DrawAspect="Content" ObjectID="_1468075726" r:id="rId15">
                  <o:LockedField>false</o:LockedField>
                </o:OLEObject>
              </w:object>
            </w:r>
          </w:p>
          <w:p>
            <w:pPr>
              <w:pageBreakBefore w:val="0"/>
              <w:kinsoku/>
              <w:bidi w:val="0"/>
              <w:spacing w:beforeAutospacing="0" w:afterAutospacing="0" w:line="360" w:lineRule="auto"/>
              <w:jc w:val="center"/>
              <w:rPr>
                <w:rFonts w:ascii="Times New Roman" w:hAnsi="Times New Roman" w:eastAsia="宋体"/>
                <w:color w:val="000000" w:themeColor="text1"/>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图</w:t>
            </w: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2.8-1</w:t>
            </w:r>
            <w:r>
              <w:rPr>
                <w:rFonts w:hint="default" w:ascii="Times New Roman" w:hAnsi="Times New Roman" w:eastAsia="宋体" w:cs="Times New Roman"/>
                <w:b/>
                <w:color w:val="000000" w:themeColor="text1"/>
                <w:sz w:val="24"/>
                <w:szCs w:val="24"/>
                <w:highlight w:val="none"/>
                <w14:textFill>
                  <w14:solidFill>
                    <w14:schemeClr w14:val="tx1"/>
                  </w14:solidFill>
                </w14:textFill>
              </w:rPr>
              <w:t xml:space="preserve"> </w:t>
            </w: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加工</w:t>
            </w:r>
            <w:r>
              <w:rPr>
                <w:rFonts w:hint="default" w:ascii="Times New Roman" w:hAnsi="Times New Roman" w:eastAsia="宋体" w:cs="Times New Roman"/>
                <w:b/>
                <w:color w:val="000000" w:themeColor="text1"/>
                <w:sz w:val="24"/>
                <w:szCs w:val="24"/>
                <w:highlight w:val="none"/>
                <w14:textFill>
                  <w14:solidFill>
                    <w14:schemeClr w14:val="tx1"/>
                  </w14:solidFill>
                </w14:textFill>
              </w:rPr>
              <w:t>工艺流程图</w:t>
            </w:r>
          </w:p>
          <w:p>
            <w:pPr>
              <w:pStyle w:val="133"/>
              <w:keepNext w:val="0"/>
              <w:keepLines w:val="0"/>
              <w:pageBreakBefore w:val="0"/>
              <w:widowControl w:val="0"/>
              <w:kinsoku/>
              <w:wordWrap/>
              <w:overflowPunct/>
              <w:topLinePunct w:val="0"/>
              <w:autoSpaceDE/>
              <w:autoSpaceDN/>
              <w:bidi w:val="0"/>
              <w:adjustRightInd/>
              <w:snapToGrid/>
              <w:spacing w:beforeAutospacing="0" w:afterAutospacing="0"/>
              <w:ind w:left="0" w:leftChars="0" w:firstLine="482" w:firstLineChars="200"/>
              <w:textAlignment w:val="auto"/>
              <w:outlineLvl w:val="9"/>
              <w:rPr>
                <w:rFonts w:hint="eastAsia" w:ascii="Times New Roman" w:hAnsi="Times New Roman" w:eastAsia="宋体" w:cs="Times New Roman"/>
                <w:b/>
                <w:bCs/>
                <w:color w:val="000000" w:themeColor="text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highlight w:val="none"/>
                <w:lang w:val="en-US" w:eastAsia="zh-CN"/>
                <w14:textFill>
                  <w14:solidFill>
                    <w14:schemeClr w14:val="tx1"/>
                  </w14:solidFill>
                </w14:textFill>
              </w:rPr>
              <w:t>3、配套加工设施加工工艺（搅拌站）</w:t>
            </w:r>
          </w:p>
          <w:p>
            <w:pPr>
              <w:pageBreakBefore w:val="0"/>
              <w:kinsoku/>
              <w:bidi w:val="0"/>
              <w:spacing w:beforeAutospacing="0" w:afterAutospacing="0" w:line="360" w:lineRule="auto"/>
              <w:ind w:firstLine="480" w:firstLineChars="200"/>
              <w:rPr>
                <w:rFonts w:hint="default" w:ascii="Times New Roman" w:hAnsi="Times New Roman" w:eastAsia="宋体"/>
                <w:color w:val="000000" w:themeColor="text1"/>
                <w:sz w:val="24"/>
                <w:vertAlign w:val="baseline"/>
                <w:lang w:val="en-US" w:eastAsia="zh-CN"/>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本项目采用HZS180</w:t>
            </w:r>
            <w:r>
              <w:rPr>
                <w:rFonts w:hint="eastAsia" w:ascii="Times New Roman" w:hAnsi="Times New Roman" w:eastAsia="宋体"/>
                <w:color w:val="000000" w:themeColor="text1"/>
                <w:sz w:val="24"/>
                <w:lang w:val="en-US" w:eastAsia="zh-CN"/>
                <w14:textFill>
                  <w14:solidFill>
                    <w14:schemeClr w14:val="tx1"/>
                  </w14:solidFill>
                </w14:textFill>
              </w:rPr>
              <w:t>V</w:t>
            </w:r>
            <w:r>
              <w:rPr>
                <w:rFonts w:hint="eastAsia" w:ascii="Times New Roman" w:hAnsi="Times New Roman" w:eastAsia="宋体"/>
                <w:color w:val="000000" w:themeColor="text1"/>
                <w:sz w:val="24"/>
                <w14:textFill>
                  <w14:solidFill>
                    <w14:schemeClr w14:val="tx1"/>
                  </w14:solidFill>
                </w14:textFill>
              </w:rPr>
              <w:t>型混凝土搅拌站成套专用设备，其功能是水泥混凝土的原材料——水泥、水、砂、石料和附加剂等，按预先设定的配料比，分别进行输送、上料、储存、称量、搅拌和出料，生产出符合质量要求的成品混凝土。</w:t>
            </w:r>
            <w:r>
              <w:rPr>
                <w:rFonts w:hint="eastAsia" w:ascii="Times New Roman" w:hAnsi="Times New Roman" w:eastAsia="宋体"/>
                <w:color w:val="000000" w:themeColor="text1"/>
                <w:sz w:val="24"/>
                <w:lang w:val="en-US" w:eastAsia="zh-CN"/>
                <w14:textFill>
                  <w14:solidFill>
                    <w14:schemeClr w14:val="tx1"/>
                  </w14:solidFill>
                </w14:textFill>
              </w:rPr>
              <w:t>配套搅拌站</w:t>
            </w:r>
            <w:r>
              <w:rPr>
                <w:rFonts w:hint="eastAsia" w:ascii="Times New Roman" w:hAnsi="Times New Roman" w:eastAsia="宋体"/>
                <w:color w:val="000000" w:themeColor="text1"/>
                <w:sz w:val="24"/>
                <w14:textFill>
                  <w14:solidFill>
                    <w14:schemeClr w14:val="tx1"/>
                  </w14:solidFill>
                </w14:textFill>
              </w:rPr>
              <w:t>年产混凝土5000m</w:t>
            </w:r>
            <w:r>
              <w:rPr>
                <w:rFonts w:hint="eastAsia" w:ascii="Times New Roman" w:hAnsi="Times New Roman" w:eastAsia="宋体"/>
                <w:color w:val="000000" w:themeColor="text1"/>
                <w:sz w:val="24"/>
                <w:vertAlign w:val="superscript"/>
                <w14:textFill>
                  <w14:solidFill>
                    <w14:schemeClr w14:val="tx1"/>
                  </w14:solidFill>
                </w14:textFill>
              </w:rPr>
              <w:t>3</w:t>
            </w:r>
            <w:r>
              <w:rPr>
                <w:rFonts w:hint="eastAsia" w:ascii="Times New Roman" w:hAnsi="Times New Roman" w:eastAsia="宋体"/>
                <w:color w:val="000000" w:themeColor="text1"/>
                <w:sz w:val="24"/>
                <w:vertAlign w:val="baseline"/>
                <w:lang w:eastAsia="zh-CN"/>
                <w14:textFill>
                  <w14:solidFill>
                    <w14:schemeClr w14:val="tx1"/>
                  </w14:solidFill>
                </w14:textFill>
              </w:rPr>
              <w:t>，</w:t>
            </w:r>
            <w:r>
              <w:rPr>
                <w:rFonts w:hint="eastAsia" w:ascii="Times New Roman" w:hAnsi="Times New Roman" w:eastAsia="宋体"/>
                <w:color w:val="000000" w:themeColor="text1"/>
                <w:sz w:val="24"/>
                <w:vertAlign w:val="baseline"/>
                <w:lang w:val="en-US" w:eastAsia="zh-CN"/>
                <w14:textFill>
                  <w14:solidFill>
                    <w14:schemeClr w14:val="tx1"/>
                  </w14:solidFill>
                </w14:textFill>
              </w:rPr>
              <w:t>用于本项目施工建设，</w:t>
            </w:r>
            <w:r>
              <w:rPr>
                <w:rFonts w:hint="eastAsia" w:ascii="Times New Roman" w:hAnsi="Times New Roman" w:eastAsia="宋体"/>
                <w:color w:val="000000" w:themeColor="text1"/>
                <w:sz w:val="24"/>
                <w:vertAlign w:val="baseline"/>
                <w:lang w:val="en-US" w:eastAsia="zh-CN"/>
                <w14:textFill>
                  <w14:solidFill>
                    <w14:schemeClr w14:val="tx1"/>
                  </w14:solidFill>
                </w14:textFill>
              </w:rPr>
              <w:t>主要设备为配料仓、输送机、搅拌机等。</w:t>
            </w:r>
          </w:p>
          <w:p>
            <w:pPr>
              <w:pageBreakBefore w:val="0"/>
              <w:kinsoku/>
              <w:bidi w:val="0"/>
              <w:spacing w:beforeAutospacing="0" w:afterAutospacing="0" w:line="360" w:lineRule="auto"/>
              <w:ind w:firstLine="480" w:firstLineChars="200"/>
              <w:rPr>
                <w:rFonts w:hint="eastAsia"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①贮料：项目原材料通过运输车辆从厂商运输至本厂，碎石从碎石加工生产线生产通过</w:t>
            </w:r>
            <w:r>
              <w:rPr>
                <w:rFonts w:hint="eastAsia" w:ascii="Times New Roman" w:hAnsi="Times New Roman" w:eastAsia="宋体"/>
                <w:color w:val="000000" w:themeColor="text1"/>
                <w:sz w:val="24"/>
                <w:lang w:val="en-US" w:eastAsia="zh-CN"/>
                <w14:textFill>
                  <w14:solidFill>
                    <w14:schemeClr w14:val="tx1"/>
                  </w14:solidFill>
                </w14:textFill>
              </w:rPr>
              <w:t>车辆</w:t>
            </w:r>
            <w:r>
              <w:rPr>
                <w:rFonts w:hint="eastAsia" w:ascii="Times New Roman" w:hAnsi="Times New Roman" w:eastAsia="宋体"/>
                <w:color w:val="000000" w:themeColor="text1"/>
                <w:sz w:val="24"/>
                <w14:textFill>
                  <w14:solidFill>
                    <w14:schemeClr w14:val="tx1"/>
                  </w14:solidFill>
                </w14:textFill>
              </w:rPr>
              <w:t>传输，分区储存于不同类别、标号的料仓；水泥使用专用的散装水泥罐车外运至本厂，通过泵抽入各自相应品号储料罐仓，仓顶废气通过袋式除尘器除尘后排放。本项目生产所用原辅材料均由供应商运输。</w:t>
            </w:r>
          </w:p>
          <w:p>
            <w:pPr>
              <w:pageBreakBefore w:val="0"/>
              <w:kinsoku/>
              <w:bidi w:val="0"/>
              <w:spacing w:beforeAutospacing="0" w:afterAutospacing="0" w:line="360" w:lineRule="auto"/>
              <w:ind w:firstLine="480" w:firstLineChars="200"/>
              <w:rPr>
                <w:rFonts w:hint="eastAsia"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②料、计量：整个生产过程由电脑控制，按照不同型号混凝土的原料配比，进行正确称量。骨料经铲车从料场将其推进至各个料斗，骨料落入各骨料称量斗，分别对各种骨料按配比重量称量，称好的骨料再由称量斗下的螺旋输送机输送到搅拌机内；</w:t>
            </w:r>
          </w:p>
          <w:p>
            <w:pPr>
              <w:pageBreakBefore w:val="0"/>
              <w:kinsoku/>
              <w:bidi w:val="0"/>
              <w:spacing w:beforeAutospacing="0" w:afterAutospacing="0" w:line="360" w:lineRule="auto"/>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水泥在筒仓内经螺旋输送机通过计量后送至搅拌机；水和外加剂（如早强剂、膨胀剂、减水剂、泵送剂等，添加剂的加入量根据要求定，具有不确定性，其量较少）按量经过泵喷入搅拌机。</w:t>
            </w:r>
          </w:p>
          <w:p>
            <w:pPr>
              <w:pageBreakBefore w:val="0"/>
              <w:kinsoku/>
              <w:bidi w:val="0"/>
              <w:spacing w:beforeAutospacing="0" w:afterAutospacing="0"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③搅拌：已经按一定比例配比好的碎石、砂、水泥、粉煤灰、外加剂和水等在搅拌机搅拌混匀后产出产品，</w:t>
            </w:r>
            <w:r>
              <w:rPr>
                <w:rFonts w:hint="eastAsia" w:ascii="Times New Roman" w:hAnsi="Times New Roman" w:eastAsia="宋体"/>
                <w:color w:val="000000" w:themeColor="text1"/>
                <w:sz w:val="24"/>
                <w:lang w:val="en-US" w:eastAsia="zh-CN"/>
                <w14:textFill>
                  <w14:solidFill>
                    <w14:schemeClr w14:val="tx1"/>
                  </w14:solidFill>
                </w14:textFill>
              </w:rPr>
              <w:t>用于现场建设施工</w:t>
            </w:r>
            <w:r>
              <w:rPr>
                <w:rFonts w:hint="eastAsia" w:ascii="Times New Roman" w:hAnsi="Times New Roman" w:eastAsia="宋体"/>
                <w:color w:val="000000" w:themeColor="text1"/>
                <w:sz w:val="24"/>
                <w14:textFill>
                  <w14:solidFill>
                    <w14:schemeClr w14:val="tx1"/>
                  </w14:solidFill>
                </w14:textFill>
              </w:rPr>
              <w:t>。</w:t>
            </w:r>
          </w:p>
          <w:p>
            <w:pPr>
              <w:pageBreakBefore w:val="0"/>
              <w:kinsoku/>
              <w:bidi w:val="0"/>
              <w:spacing w:beforeAutospacing="0" w:afterAutospacing="0" w:line="360" w:lineRule="auto"/>
              <w:ind w:firstLine="480" w:firstLineChars="200"/>
              <w:rPr>
                <w:rFonts w:hint="eastAsia"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具体生产工艺流程详见图</w:t>
            </w:r>
            <w:r>
              <w:rPr>
                <w:rFonts w:hint="eastAsia" w:ascii="Times New Roman" w:hAnsi="Times New Roman" w:eastAsia="宋体"/>
                <w:color w:val="000000" w:themeColor="text1"/>
                <w:sz w:val="24"/>
                <w:lang w:val="en-US" w:eastAsia="zh-CN"/>
                <w14:textFill>
                  <w14:solidFill>
                    <w14:schemeClr w14:val="tx1"/>
                  </w14:solidFill>
                </w14:textFill>
              </w:rPr>
              <w:t>2.8-2</w:t>
            </w:r>
            <w:r>
              <w:rPr>
                <w:rFonts w:hint="eastAsia" w:ascii="Times New Roman" w:hAnsi="Times New Roman" w:eastAsia="宋体"/>
                <w:color w:val="000000" w:themeColor="text1"/>
                <w:sz w:val="24"/>
                <w14:textFill>
                  <w14:solidFill>
                    <w14:schemeClr w14:val="tx1"/>
                  </w14:solidFill>
                </w14:textFill>
              </w:rPr>
              <w:t>。</w:t>
            </w:r>
          </w:p>
          <w:p>
            <w:pPr>
              <w:pStyle w:val="15"/>
              <w:pageBreakBefore w:val="0"/>
              <w:kinsoku/>
              <w:bidi w:val="0"/>
              <w:spacing w:beforeAutospacing="0" w:afterAutospacing="0"/>
              <w:rPr>
                <w:rFonts w:ascii="Times New Roman" w:hAnsi="Times New Roman" w:eastAsia="宋体"/>
                <w:color w:val="000000" w:themeColor="text1"/>
                <w:sz w:val="24"/>
                <w14:textFill>
                  <w14:solidFill>
                    <w14:schemeClr w14:val="tx1"/>
                  </w14:solidFill>
                </w14:textFill>
              </w:rPr>
            </w:pPr>
            <w:r>
              <w:rPr>
                <w:rFonts w:ascii="Times New Roman" w:hAnsi="Times New Roman" w:eastAsia="宋体"/>
                <w:color w:val="000000" w:themeColor="text1"/>
                <w:sz w:val="24"/>
                <w14:textFill>
                  <w14:solidFill>
                    <w14:schemeClr w14:val="tx1"/>
                  </w14:solidFill>
                </w14:textFill>
              </w:rPr>
              <mc:AlternateContent>
                <mc:Choice Requires="wpc">
                  <w:drawing>
                    <wp:inline distT="0" distB="0" distL="114300" distR="114300">
                      <wp:extent cx="5218430" cy="4046855"/>
                      <wp:effectExtent l="4445" t="0" r="0" b="0"/>
                      <wp:docPr id="201" name="画布 2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7" name="矩形 57"/>
                              <wps:cNvSpPr/>
                              <wps:spPr>
                                <a:xfrm>
                                  <a:off x="228600" y="990600"/>
                                  <a:ext cx="457200" cy="297180"/>
                                </a:xfrm>
                                <a:prstGeom prst="rect">
                                  <a:avLst/>
                                </a:prstGeom>
                                <a:solidFill>
                                  <a:srgbClr val="FFFFFF"/>
                                </a:solidFill>
                                <a:ln>
                                  <a:noFill/>
                                </a:ln>
                              </wps:spPr>
                              <wps:txbx>
                                <w:txbxContent>
                                  <w:p>
                                    <w:pPr>
                                      <w:rPr>
                                        <w:rFonts w:hint="eastAsia"/>
                                      </w:rPr>
                                    </w:pPr>
                                    <w:r>
                                      <w:rPr>
                                        <w:rFonts w:hint="eastAsia"/>
                                      </w:rPr>
                                      <w:t>Q</w:t>
                                    </w:r>
                                  </w:p>
                                </w:txbxContent>
                              </wps:txbx>
                              <wps:bodyPr upright="1"/>
                            </wps:wsp>
                            <wps:wsp>
                              <wps:cNvPr id="59" name="矩形 59"/>
                              <wps:cNvSpPr/>
                              <wps:spPr>
                                <a:xfrm>
                                  <a:off x="3429000" y="1708785"/>
                                  <a:ext cx="914400" cy="297180"/>
                                </a:xfrm>
                                <a:prstGeom prst="rect">
                                  <a:avLst/>
                                </a:prstGeom>
                                <a:solidFill>
                                  <a:srgbClr val="FFFFFF"/>
                                </a:solidFill>
                                <a:ln>
                                  <a:noFill/>
                                </a:ln>
                              </wps:spPr>
                              <wps:txbx>
                                <w:txbxContent>
                                  <w:p>
                                    <w:pPr>
                                      <w:rPr>
                                        <w:rFonts w:hint="eastAsia"/>
                                      </w:rPr>
                                    </w:pPr>
                                    <w:r>
                                      <w:rPr>
                                        <w:rFonts w:hint="eastAsia"/>
                                      </w:rPr>
                                      <w:t>8.2</w:t>
                                    </w:r>
                                  </w:p>
                                  <w:p/>
                                </w:txbxContent>
                              </wps:txbx>
                              <wps:bodyPr upright="1"/>
                            </wps:wsp>
                            <wps:wsp>
                              <wps:cNvPr id="61" name="矩形 61"/>
                              <wps:cNvSpPr/>
                              <wps:spPr>
                                <a:xfrm>
                                  <a:off x="0" y="598805"/>
                                  <a:ext cx="575945"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rPr>
                                    </w:pPr>
                                    <w:r>
                                      <w:rPr>
                                        <w:rFonts w:hint="eastAsia"/>
                                      </w:rPr>
                                      <w:t>石子</w:t>
                                    </w:r>
                                  </w:p>
                                </w:txbxContent>
                              </wps:txbx>
                              <wps:bodyPr upright="1"/>
                            </wps:wsp>
                            <wps:wsp>
                              <wps:cNvPr id="64" name="矩形 64"/>
                              <wps:cNvSpPr/>
                              <wps:spPr>
                                <a:xfrm>
                                  <a:off x="0" y="1296670"/>
                                  <a:ext cx="575945" cy="2978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rPr>
                                    </w:pPr>
                                    <w:r>
                                      <w:rPr>
                                        <w:rFonts w:hint="eastAsia"/>
                                      </w:rPr>
                                      <w:t>砂子</w:t>
                                    </w:r>
                                  </w:p>
                                </w:txbxContent>
                              </wps:txbx>
                              <wps:bodyPr upright="1"/>
                            </wps:wsp>
                            <wps:wsp>
                              <wps:cNvPr id="65" name="矩形 65"/>
                              <wps:cNvSpPr/>
                              <wps:spPr>
                                <a:xfrm>
                                  <a:off x="0" y="1895475"/>
                                  <a:ext cx="575945" cy="2990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rPr>
                                    </w:pPr>
                                    <w:r>
                                      <w:rPr>
                                        <w:rFonts w:hint="eastAsia"/>
                                      </w:rPr>
                                      <w:t>水泥</w:t>
                                    </w:r>
                                  </w:p>
                                </w:txbxContent>
                              </wps:txbx>
                              <wps:bodyPr upright="1"/>
                            </wps:wsp>
                            <wps:wsp>
                              <wps:cNvPr id="72" name="矩形 72"/>
                              <wps:cNvSpPr/>
                              <wps:spPr>
                                <a:xfrm>
                                  <a:off x="0" y="2849245"/>
                                  <a:ext cx="690880" cy="298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rPr>
                                    </w:pPr>
                                    <w:r>
                                      <w:rPr>
                                        <w:rFonts w:hint="eastAsia"/>
                                      </w:rPr>
                                      <w:t>添加剂</w:t>
                                    </w:r>
                                  </w:p>
                                </w:txbxContent>
                              </wps:txbx>
                              <wps:bodyPr upright="1"/>
                            </wps:wsp>
                            <wps:wsp>
                              <wps:cNvPr id="75" name="矩形 75"/>
                              <wps:cNvSpPr/>
                              <wps:spPr>
                                <a:xfrm>
                                  <a:off x="28575" y="3419475"/>
                                  <a:ext cx="690880" cy="298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rPr>
                                    </w:pPr>
                                    <w:r>
                                      <w:rPr>
                                        <w:rFonts w:hint="eastAsia"/>
                                      </w:rPr>
                                      <w:t>清水</w:t>
                                    </w:r>
                                  </w:p>
                                </w:txbxContent>
                              </wps:txbx>
                              <wps:bodyPr upright="1"/>
                            </wps:wsp>
                            <wps:wsp>
                              <wps:cNvPr id="132" name="直接连接符 132"/>
                              <wps:cNvCnPr/>
                              <wps:spPr>
                                <a:xfrm>
                                  <a:off x="575945" y="735965"/>
                                  <a:ext cx="341630" cy="635"/>
                                </a:xfrm>
                                <a:prstGeom prst="line">
                                  <a:avLst/>
                                </a:prstGeom>
                                <a:ln w="9525" cap="flat" cmpd="sng">
                                  <a:solidFill>
                                    <a:srgbClr val="000000"/>
                                  </a:solidFill>
                                  <a:prstDash val="solid"/>
                                  <a:headEnd type="none" w="med" len="med"/>
                                  <a:tailEnd type="triangle" w="med" len="med"/>
                                </a:ln>
                              </wps:spPr>
                              <wps:bodyPr upright="1"/>
                            </wps:wsp>
                            <wps:wsp>
                              <wps:cNvPr id="133" name="直接连接符 133"/>
                              <wps:cNvCnPr/>
                              <wps:spPr>
                                <a:xfrm>
                                  <a:off x="575945" y="1435100"/>
                                  <a:ext cx="341630" cy="635"/>
                                </a:xfrm>
                                <a:prstGeom prst="line">
                                  <a:avLst/>
                                </a:prstGeom>
                                <a:ln w="9525" cap="flat" cmpd="sng">
                                  <a:solidFill>
                                    <a:srgbClr val="000000"/>
                                  </a:solidFill>
                                  <a:prstDash val="solid"/>
                                  <a:headEnd type="none" w="med" len="med"/>
                                  <a:tailEnd type="triangle" w="med" len="med"/>
                                </a:ln>
                              </wps:spPr>
                              <wps:bodyPr upright="1"/>
                            </wps:wsp>
                            <wps:wsp>
                              <wps:cNvPr id="134" name="矩形 134"/>
                              <wps:cNvSpPr/>
                              <wps:spPr>
                                <a:xfrm>
                                  <a:off x="920750" y="498475"/>
                                  <a:ext cx="345440" cy="11976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p>
                                  <w:p>
                                    <w:pPr>
                                      <w:rPr>
                                        <w:rFonts w:hint="eastAsia"/>
                                      </w:rPr>
                                    </w:pPr>
                                    <w:r>
                                      <w:rPr>
                                        <w:rFonts w:hint="eastAsia"/>
                                      </w:rPr>
                                      <w:t>配料仓</w:t>
                                    </w:r>
                                  </w:p>
                                </w:txbxContent>
                              </wps:txbx>
                              <wps:bodyPr upright="1"/>
                            </wps:wsp>
                            <wps:wsp>
                              <wps:cNvPr id="135" name="直接连接符 135"/>
                              <wps:cNvCnPr/>
                              <wps:spPr>
                                <a:xfrm>
                                  <a:off x="1266190" y="997585"/>
                                  <a:ext cx="1705610" cy="635"/>
                                </a:xfrm>
                                <a:prstGeom prst="line">
                                  <a:avLst/>
                                </a:prstGeom>
                                <a:ln w="9525" cap="flat" cmpd="sng">
                                  <a:solidFill>
                                    <a:srgbClr val="000000"/>
                                  </a:solidFill>
                                  <a:prstDash val="solid"/>
                                  <a:headEnd type="none" w="med" len="med"/>
                                  <a:tailEnd type="triangle" w="med" len="med"/>
                                </a:ln>
                              </wps:spPr>
                              <wps:bodyPr upright="1"/>
                            </wps:wsp>
                            <wps:wsp>
                              <wps:cNvPr id="136" name="直接连接符 136"/>
                              <wps:cNvCnPr/>
                              <wps:spPr>
                                <a:xfrm>
                                  <a:off x="719455" y="3547110"/>
                                  <a:ext cx="467995" cy="635"/>
                                </a:xfrm>
                                <a:prstGeom prst="line">
                                  <a:avLst/>
                                </a:prstGeom>
                                <a:ln w="9525" cap="flat" cmpd="sng">
                                  <a:solidFill>
                                    <a:srgbClr val="000000"/>
                                  </a:solidFill>
                                  <a:prstDash val="solid"/>
                                  <a:headEnd type="none" w="med" len="med"/>
                                  <a:tailEnd type="triangle" w="med" len="med"/>
                                </a:ln>
                              </wps:spPr>
                              <wps:bodyPr upright="1"/>
                            </wps:wsp>
                            <wps:wsp>
                              <wps:cNvPr id="137" name="直接连接符 137"/>
                              <wps:cNvCnPr/>
                              <wps:spPr>
                                <a:xfrm>
                                  <a:off x="2933065" y="997585"/>
                                  <a:ext cx="19685" cy="2552065"/>
                                </a:xfrm>
                                <a:prstGeom prst="line">
                                  <a:avLst/>
                                </a:prstGeom>
                                <a:ln w="9525" cap="flat" cmpd="sng">
                                  <a:solidFill>
                                    <a:srgbClr val="000000"/>
                                  </a:solidFill>
                                  <a:prstDash val="solid"/>
                                  <a:headEnd type="none" w="med" len="med"/>
                                  <a:tailEnd type="none" w="med" len="med"/>
                                </a:ln>
                              </wps:spPr>
                              <wps:bodyPr upright="1"/>
                            </wps:wsp>
                            <wps:wsp>
                              <wps:cNvPr id="138" name="直接连接符 138"/>
                              <wps:cNvCnPr/>
                              <wps:spPr>
                                <a:xfrm>
                                  <a:off x="2971165" y="2294255"/>
                                  <a:ext cx="229870" cy="635"/>
                                </a:xfrm>
                                <a:prstGeom prst="line">
                                  <a:avLst/>
                                </a:prstGeom>
                                <a:ln w="9525" cap="flat" cmpd="sng">
                                  <a:solidFill>
                                    <a:srgbClr val="000000"/>
                                  </a:solidFill>
                                  <a:prstDash val="solid"/>
                                  <a:headEnd type="none" w="med" len="med"/>
                                  <a:tailEnd type="triangle" w="med" len="med"/>
                                </a:ln>
                              </wps:spPr>
                              <wps:bodyPr upright="1"/>
                            </wps:wsp>
                            <wps:wsp>
                              <wps:cNvPr id="139" name="矩形 139"/>
                              <wps:cNvSpPr/>
                              <wps:spPr>
                                <a:xfrm>
                                  <a:off x="3210560" y="1981200"/>
                                  <a:ext cx="34544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搅拌机</w:t>
                                    </w:r>
                                  </w:p>
                                </w:txbxContent>
                              </wps:txbx>
                              <wps:bodyPr upright="1"/>
                            </wps:wsp>
                            <wps:wsp>
                              <wps:cNvPr id="140" name="直接连接符 140"/>
                              <wps:cNvCnPr/>
                              <wps:spPr>
                                <a:xfrm>
                                  <a:off x="3556000" y="2294255"/>
                                  <a:ext cx="229870" cy="635"/>
                                </a:xfrm>
                                <a:prstGeom prst="line">
                                  <a:avLst/>
                                </a:prstGeom>
                                <a:ln w="9525" cap="flat" cmpd="sng">
                                  <a:solidFill>
                                    <a:srgbClr val="000000"/>
                                  </a:solidFill>
                                  <a:prstDash val="solid"/>
                                  <a:headEnd type="none" w="med" len="med"/>
                                  <a:tailEnd type="triangle" w="med" len="med"/>
                                </a:ln>
                              </wps:spPr>
                              <wps:bodyPr upright="1"/>
                            </wps:wsp>
                            <wps:wsp>
                              <wps:cNvPr id="141" name="矩形 141"/>
                              <wps:cNvSpPr/>
                              <wps:spPr>
                                <a:xfrm>
                                  <a:off x="3785870" y="1981200"/>
                                  <a:ext cx="346075"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运输车</w:t>
                                    </w:r>
                                  </w:p>
                                </w:txbxContent>
                              </wps:txbx>
                              <wps:bodyPr upright="1"/>
                            </wps:wsp>
                            <wps:wsp>
                              <wps:cNvPr id="142" name="直接连接符 142"/>
                              <wps:cNvCnPr/>
                              <wps:spPr>
                                <a:xfrm>
                                  <a:off x="4131945" y="2292985"/>
                                  <a:ext cx="228600" cy="1270"/>
                                </a:xfrm>
                                <a:prstGeom prst="line">
                                  <a:avLst/>
                                </a:prstGeom>
                                <a:ln w="9525" cap="flat" cmpd="sng">
                                  <a:solidFill>
                                    <a:srgbClr val="000000"/>
                                  </a:solidFill>
                                  <a:prstDash val="solid"/>
                                  <a:headEnd type="none" w="med" len="med"/>
                                  <a:tailEnd type="triangle" w="med" len="med"/>
                                </a:ln>
                              </wps:spPr>
                              <wps:bodyPr upright="1"/>
                            </wps:wsp>
                            <wps:wsp>
                              <wps:cNvPr id="143" name="矩形 143"/>
                              <wps:cNvSpPr/>
                              <wps:spPr>
                                <a:xfrm>
                                  <a:off x="4361180" y="1882140"/>
                                  <a:ext cx="345440" cy="8915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施工现场</w:t>
                                    </w:r>
                                  </w:p>
                                </w:txbxContent>
                              </wps:txbx>
                              <wps:bodyPr upright="1"/>
                            </wps:wsp>
                            <wps:wsp>
                              <wps:cNvPr id="144" name="直接连接符 144"/>
                              <wps:cNvCnPr/>
                              <wps:spPr>
                                <a:xfrm>
                                  <a:off x="575945" y="2023745"/>
                                  <a:ext cx="573405" cy="1270"/>
                                </a:xfrm>
                                <a:prstGeom prst="line">
                                  <a:avLst/>
                                </a:prstGeom>
                                <a:ln w="9525" cap="flat" cmpd="sng">
                                  <a:solidFill>
                                    <a:srgbClr val="000000"/>
                                  </a:solidFill>
                                  <a:prstDash val="solid"/>
                                  <a:headEnd type="none" w="med" len="med"/>
                                  <a:tailEnd type="triangle" w="med" len="med"/>
                                </a:ln>
                              </wps:spPr>
                              <wps:bodyPr upright="1"/>
                            </wps:wsp>
                            <wps:wsp>
                              <wps:cNvPr id="145" name="矩形 145"/>
                              <wps:cNvSpPr/>
                              <wps:spPr>
                                <a:xfrm>
                                  <a:off x="1149350" y="1896745"/>
                                  <a:ext cx="561340" cy="2997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rPr>
                                    </w:pPr>
                                    <w:r>
                                      <w:rPr>
                                        <w:rFonts w:hint="eastAsia"/>
                                      </w:rPr>
                                      <w:t>料仓</w:t>
                                    </w:r>
                                  </w:p>
                                </w:txbxContent>
                              </wps:txbx>
                              <wps:bodyPr upright="1"/>
                            </wps:wsp>
                            <wps:wsp>
                              <wps:cNvPr id="148" name="直接连接符 148"/>
                              <wps:cNvCnPr/>
                              <wps:spPr>
                                <a:xfrm>
                                  <a:off x="682625" y="2977515"/>
                                  <a:ext cx="467995" cy="635"/>
                                </a:xfrm>
                                <a:prstGeom prst="line">
                                  <a:avLst/>
                                </a:prstGeom>
                                <a:ln w="9525" cap="flat" cmpd="sng">
                                  <a:solidFill>
                                    <a:srgbClr val="000000"/>
                                  </a:solidFill>
                                  <a:prstDash val="solid"/>
                                  <a:headEnd type="none" w="med" len="med"/>
                                  <a:tailEnd type="triangle" w="med" len="med"/>
                                </a:ln>
                              </wps:spPr>
                              <wps:bodyPr upright="1"/>
                            </wps:wsp>
                            <wps:wsp>
                              <wps:cNvPr id="149" name="矩形 149"/>
                              <wps:cNvSpPr/>
                              <wps:spPr>
                                <a:xfrm>
                                  <a:off x="1139825" y="2817495"/>
                                  <a:ext cx="685800" cy="300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储存罐</w:t>
                                    </w:r>
                                  </w:p>
                                </w:txbxContent>
                              </wps:txbx>
                              <wps:bodyPr upright="1"/>
                            </wps:wsp>
                            <wps:wsp>
                              <wps:cNvPr id="172" name="矩形 172"/>
                              <wps:cNvSpPr/>
                              <wps:spPr>
                                <a:xfrm>
                                  <a:off x="1171575" y="3417570"/>
                                  <a:ext cx="685800" cy="300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蓄水池</w:t>
                                    </w:r>
                                  </w:p>
                                </w:txbxContent>
                              </wps:txbx>
                              <wps:bodyPr upright="1"/>
                            </wps:wsp>
                            <wps:wsp>
                              <wps:cNvPr id="173" name="矩形 173"/>
                              <wps:cNvSpPr/>
                              <wps:spPr>
                                <a:xfrm>
                                  <a:off x="224790" y="99060"/>
                                  <a:ext cx="455930"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sz w:val="24"/>
                                      </w:rPr>
                                    </w:pPr>
                                    <w:r>
                                      <w:rPr>
                                        <w:rFonts w:hint="eastAsia"/>
                                        <w:szCs w:val="21"/>
                                      </w:rPr>
                                      <w:t>Q</w:t>
                                    </w:r>
                                  </w:p>
                                </w:txbxContent>
                              </wps:txbx>
                              <wps:bodyPr upright="1"/>
                            </wps:wsp>
                            <wps:wsp>
                              <wps:cNvPr id="174" name="直接连接符 174"/>
                              <wps:cNvCnPr/>
                              <wps:spPr>
                                <a:xfrm>
                                  <a:off x="1857375" y="3550920"/>
                                  <a:ext cx="1108710" cy="1270"/>
                                </a:xfrm>
                                <a:prstGeom prst="line">
                                  <a:avLst/>
                                </a:prstGeom>
                                <a:ln w="9525" cap="flat" cmpd="sng">
                                  <a:solidFill>
                                    <a:srgbClr val="000000"/>
                                  </a:solidFill>
                                  <a:prstDash val="solid"/>
                                  <a:headEnd type="none" w="med" len="med"/>
                                  <a:tailEnd type="triangle" w="med" len="med"/>
                                </a:ln>
                              </wps:spPr>
                              <wps:bodyPr upright="1"/>
                            </wps:wsp>
                            <wps:wsp>
                              <wps:cNvPr id="175" name="直接连接符 175"/>
                              <wps:cNvCnPr/>
                              <wps:spPr>
                                <a:xfrm>
                                  <a:off x="1828800" y="2964180"/>
                                  <a:ext cx="1141095" cy="1270"/>
                                </a:xfrm>
                                <a:prstGeom prst="line">
                                  <a:avLst/>
                                </a:prstGeom>
                                <a:ln w="9525" cap="flat" cmpd="sng">
                                  <a:solidFill>
                                    <a:srgbClr val="000000"/>
                                  </a:solidFill>
                                  <a:prstDash val="solid"/>
                                  <a:headEnd type="none" w="med" len="med"/>
                                  <a:tailEnd type="triangle" w="med" len="med"/>
                                </a:ln>
                              </wps:spPr>
                              <wps:bodyPr upright="1"/>
                            </wps:wsp>
                            <wps:wsp>
                              <wps:cNvPr id="177" name="直接连接符 177"/>
                              <wps:cNvCnPr/>
                              <wps:spPr>
                                <a:xfrm flipV="1">
                                  <a:off x="273050" y="990600"/>
                                  <a:ext cx="635" cy="289560"/>
                                </a:xfrm>
                                <a:prstGeom prst="line">
                                  <a:avLst/>
                                </a:prstGeom>
                                <a:ln w="9525" cap="flat" cmpd="sng">
                                  <a:solidFill>
                                    <a:srgbClr val="000000"/>
                                  </a:solidFill>
                                  <a:prstDash val="dash"/>
                                  <a:headEnd type="none" w="med" len="med"/>
                                  <a:tailEnd type="triangle" w="med" len="med"/>
                                </a:ln>
                              </wps:spPr>
                              <wps:bodyPr upright="1"/>
                            </wps:wsp>
                            <wps:wsp>
                              <wps:cNvPr id="178" name="直接连接符 178"/>
                              <wps:cNvCnPr/>
                              <wps:spPr>
                                <a:xfrm flipV="1">
                                  <a:off x="1073150" y="198120"/>
                                  <a:ext cx="635" cy="289560"/>
                                </a:xfrm>
                                <a:prstGeom prst="line">
                                  <a:avLst/>
                                </a:prstGeom>
                                <a:ln w="9525" cap="flat" cmpd="sng">
                                  <a:solidFill>
                                    <a:srgbClr val="000000"/>
                                  </a:solidFill>
                                  <a:prstDash val="dash"/>
                                  <a:headEnd type="none" w="med" len="med"/>
                                  <a:tailEnd type="triangle" w="med" len="med"/>
                                </a:ln>
                              </wps:spPr>
                              <wps:bodyPr upright="1"/>
                            </wps:wsp>
                            <wps:wsp>
                              <wps:cNvPr id="179" name="直接连接符 179"/>
                              <wps:cNvCnPr/>
                              <wps:spPr>
                                <a:xfrm flipV="1">
                                  <a:off x="1435100" y="1584960"/>
                                  <a:ext cx="635" cy="289560"/>
                                </a:xfrm>
                                <a:prstGeom prst="line">
                                  <a:avLst/>
                                </a:prstGeom>
                                <a:ln w="9525" cap="flat" cmpd="sng">
                                  <a:solidFill>
                                    <a:srgbClr val="000000"/>
                                  </a:solidFill>
                                  <a:prstDash val="dash"/>
                                  <a:headEnd type="none" w="med" len="med"/>
                                  <a:tailEnd type="triangle" w="med" len="med"/>
                                </a:ln>
                              </wps:spPr>
                              <wps:bodyPr upright="1"/>
                            </wps:wsp>
                            <wps:wsp>
                              <wps:cNvPr id="181" name="直接连接符 181"/>
                              <wps:cNvCnPr/>
                              <wps:spPr>
                                <a:xfrm flipV="1">
                                  <a:off x="263525" y="297180"/>
                                  <a:ext cx="635" cy="289560"/>
                                </a:xfrm>
                                <a:prstGeom prst="line">
                                  <a:avLst/>
                                </a:prstGeom>
                                <a:ln w="9525" cap="flat" cmpd="sng">
                                  <a:solidFill>
                                    <a:srgbClr val="000000"/>
                                  </a:solidFill>
                                  <a:prstDash val="dash"/>
                                  <a:headEnd type="none" w="med" len="med"/>
                                  <a:tailEnd type="triangle" w="med" len="med"/>
                                </a:ln>
                              </wps:spPr>
                              <wps:bodyPr upright="1"/>
                            </wps:wsp>
                            <wps:wsp>
                              <wps:cNvPr id="182" name="直接连接符 182"/>
                              <wps:cNvCnPr/>
                              <wps:spPr>
                                <a:xfrm flipV="1">
                                  <a:off x="3387725" y="1684020"/>
                                  <a:ext cx="635" cy="289560"/>
                                </a:xfrm>
                                <a:prstGeom prst="line">
                                  <a:avLst/>
                                </a:prstGeom>
                                <a:ln w="9525" cap="flat" cmpd="sng">
                                  <a:solidFill>
                                    <a:srgbClr val="000000"/>
                                  </a:solidFill>
                                  <a:prstDash val="dash"/>
                                  <a:headEnd type="none" w="med" len="med"/>
                                  <a:tailEnd type="triangle" w="med" len="med"/>
                                </a:ln>
                              </wps:spPr>
                              <wps:bodyPr upright="1"/>
                            </wps:wsp>
                            <wps:wsp>
                              <wps:cNvPr id="183" name="矩形 183"/>
                              <wps:cNvSpPr/>
                              <wps:spPr>
                                <a:xfrm>
                                  <a:off x="1714500" y="736600"/>
                                  <a:ext cx="914400" cy="325755"/>
                                </a:xfrm>
                                <a:prstGeom prst="rect">
                                  <a:avLst/>
                                </a:prstGeom>
                                <a:noFill/>
                                <a:ln>
                                  <a:noFill/>
                                </a:ln>
                              </wps:spPr>
                              <wps:txbx>
                                <w:txbxContent>
                                  <w:p>
                                    <w:pPr>
                                      <w:rPr>
                                        <w:rFonts w:hint="eastAsia"/>
                                      </w:rPr>
                                    </w:pPr>
                                    <w:r>
                                      <w:rPr>
                                        <w:rFonts w:hint="eastAsia"/>
                                      </w:rPr>
                                      <w:t>封闭皮带</w:t>
                                    </w:r>
                                  </w:p>
                                </w:txbxContent>
                              </wps:txbx>
                              <wps:bodyPr upright="1"/>
                            </wps:wsp>
                            <wps:wsp>
                              <wps:cNvPr id="184" name="矩形 184"/>
                              <wps:cNvSpPr/>
                              <wps:spPr>
                                <a:xfrm>
                                  <a:off x="1139825" y="198120"/>
                                  <a:ext cx="571500" cy="297180"/>
                                </a:xfrm>
                                <a:prstGeom prst="rect">
                                  <a:avLst/>
                                </a:prstGeom>
                                <a:solidFill>
                                  <a:srgbClr val="FFFFFF"/>
                                </a:solidFill>
                                <a:ln>
                                  <a:noFill/>
                                </a:ln>
                              </wps:spPr>
                              <wps:txbx>
                                <w:txbxContent>
                                  <w:p>
                                    <w:pPr>
                                      <w:rPr>
                                        <w:rFonts w:hint="eastAsia"/>
                                      </w:rPr>
                                    </w:pPr>
                                    <w:r>
                                      <w:rPr>
                                        <w:rFonts w:hint="eastAsia"/>
                                      </w:rPr>
                                      <w:t>Q、N</w:t>
                                    </w:r>
                                  </w:p>
                                </w:txbxContent>
                              </wps:txbx>
                              <wps:bodyPr upright="1"/>
                            </wps:wsp>
                            <wps:wsp>
                              <wps:cNvPr id="185" name="矩形 185"/>
                              <wps:cNvSpPr/>
                              <wps:spPr>
                                <a:xfrm>
                                  <a:off x="1482725" y="1584960"/>
                                  <a:ext cx="571500" cy="297180"/>
                                </a:xfrm>
                                <a:prstGeom prst="rect">
                                  <a:avLst/>
                                </a:prstGeom>
                                <a:solidFill>
                                  <a:srgbClr val="FFFFFF"/>
                                </a:solidFill>
                                <a:ln>
                                  <a:noFill/>
                                </a:ln>
                              </wps:spPr>
                              <wps:txbx>
                                <w:txbxContent>
                                  <w:p>
                                    <w:pPr>
                                      <w:rPr>
                                        <w:rFonts w:hint="eastAsia"/>
                                      </w:rPr>
                                    </w:pPr>
                                    <w:r>
                                      <w:rPr>
                                        <w:rFonts w:hint="eastAsia"/>
                                      </w:rPr>
                                      <w:t>Q、S</w:t>
                                    </w:r>
                                  </w:p>
                                </w:txbxContent>
                              </wps:txbx>
                              <wps:bodyPr upright="1"/>
                            </wps:wsp>
                            <wps:wsp>
                              <wps:cNvPr id="186" name="矩形 186"/>
                              <wps:cNvSpPr/>
                              <wps:spPr>
                                <a:xfrm>
                                  <a:off x="2057400" y="1722120"/>
                                  <a:ext cx="800100" cy="297180"/>
                                </a:xfrm>
                                <a:prstGeom prst="rect">
                                  <a:avLst/>
                                </a:prstGeom>
                                <a:solidFill>
                                  <a:srgbClr val="FFFFFF"/>
                                </a:solidFill>
                                <a:ln>
                                  <a:noFill/>
                                </a:ln>
                              </wps:spPr>
                              <wps:txbx>
                                <w:txbxContent>
                                  <w:p>
                                    <w:pPr>
                                      <w:rPr>
                                        <w:rFonts w:hint="eastAsia"/>
                                      </w:rPr>
                                    </w:pPr>
                                    <w:r>
                                      <w:rPr>
                                        <w:rFonts w:hint="eastAsia"/>
                                      </w:rPr>
                                      <w:t>螺旋输送</w:t>
                                    </w:r>
                                  </w:p>
                                </w:txbxContent>
                              </wps:txbx>
                              <wps:bodyPr upright="1"/>
                            </wps:wsp>
                            <wps:wsp>
                              <wps:cNvPr id="187" name="直接连接符 187"/>
                              <wps:cNvCnPr/>
                              <wps:spPr>
                                <a:xfrm flipV="1">
                                  <a:off x="2400300" y="1485900"/>
                                  <a:ext cx="635" cy="289560"/>
                                </a:xfrm>
                                <a:prstGeom prst="line">
                                  <a:avLst/>
                                </a:prstGeom>
                                <a:ln w="9525" cap="flat" cmpd="sng">
                                  <a:solidFill>
                                    <a:srgbClr val="000000"/>
                                  </a:solidFill>
                                  <a:prstDash val="dash"/>
                                  <a:headEnd type="none" w="med" len="med"/>
                                  <a:tailEnd type="triangle" w="med" len="med"/>
                                </a:ln>
                              </wps:spPr>
                              <wps:bodyPr upright="1"/>
                            </wps:wsp>
                            <wps:wsp>
                              <wps:cNvPr id="188" name="矩形 188"/>
                              <wps:cNvSpPr/>
                              <wps:spPr>
                                <a:xfrm>
                                  <a:off x="2466975" y="1485900"/>
                                  <a:ext cx="276225" cy="274320"/>
                                </a:xfrm>
                                <a:prstGeom prst="rect">
                                  <a:avLst/>
                                </a:prstGeom>
                                <a:solidFill>
                                  <a:srgbClr val="FFFFFF"/>
                                </a:solidFill>
                                <a:ln>
                                  <a:noFill/>
                                </a:ln>
                              </wps:spPr>
                              <wps:txbx>
                                <w:txbxContent>
                                  <w:p>
                                    <w:pPr>
                                      <w:rPr>
                                        <w:rFonts w:hint="eastAsia"/>
                                      </w:rPr>
                                    </w:pPr>
                                    <w:r>
                                      <w:rPr>
                                        <w:rFonts w:hint="eastAsia"/>
                                      </w:rPr>
                                      <w:t>N</w:t>
                                    </w:r>
                                  </w:p>
                                </w:txbxContent>
                              </wps:txbx>
                              <wps:bodyPr upright="1"/>
                            </wps:wsp>
                            <wps:wsp>
                              <wps:cNvPr id="191" name="直接连接符 191"/>
                              <wps:cNvCnPr/>
                              <wps:spPr>
                                <a:xfrm>
                                  <a:off x="1714500" y="2032635"/>
                                  <a:ext cx="1224280" cy="1270"/>
                                </a:xfrm>
                                <a:prstGeom prst="line">
                                  <a:avLst/>
                                </a:prstGeom>
                                <a:ln w="9525" cap="flat" cmpd="sng">
                                  <a:solidFill>
                                    <a:srgbClr val="000000"/>
                                  </a:solidFill>
                                  <a:prstDash val="solid"/>
                                  <a:headEnd type="none" w="med" len="med"/>
                                  <a:tailEnd type="triangle" w="med" len="med"/>
                                </a:ln>
                              </wps:spPr>
                              <wps:bodyPr upright="1"/>
                            </wps:wsp>
                            <wps:wsp>
                              <wps:cNvPr id="192" name="矩形 192"/>
                              <wps:cNvSpPr/>
                              <wps:spPr>
                                <a:xfrm>
                                  <a:off x="3375025" y="2917190"/>
                                  <a:ext cx="1371600" cy="891540"/>
                                </a:xfrm>
                                <a:prstGeom prst="rect">
                                  <a:avLst/>
                                </a:prstGeom>
                                <a:solidFill>
                                  <a:srgbClr val="FFFFFF"/>
                                </a:solidFill>
                                <a:ln>
                                  <a:noFill/>
                                </a:ln>
                              </wps:spPr>
                              <wps:txbx>
                                <w:txbxContent>
                                  <w:p>
                                    <w:pPr>
                                      <w:ind w:firstLine="105" w:firstLineChars="50"/>
                                      <w:rPr>
                                        <w:rFonts w:hint="eastAsia"/>
                                      </w:rPr>
                                    </w:pPr>
                                    <w:r>
                                      <w:rPr>
                                        <w:rFonts w:hint="eastAsia"/>
                                      </w:rPr>
                                      <w:t>Q：废水</w:t>
                                    </w:r>
                                  </w:p>
                                  <w:p>
                                    <w:pPr>
                                      <w:ind w:firstLine="105" w:firstLineChars="50"/>
                                      <w:rPr>
                                        <w:rFonts w:hint="eastAsia"/>
                                      </w:rPr>
                                    </w:pPr>
                                    <w:r>
                                      <w:rPr>
                                        <w:rFonts w:hint="eastAsia"/>
                                      </w:rPr>
                                      <w:t>Q：粉尘</w:t>
                                    </w:r>
                                  </w:p>
                                  <w:p>
                                    <w:pPr>
                                      <w:ind w:firstLine="105" w:firstLineChars="50"/>
                                      <w:rPr>
                                        <w:rFonts w:hint="eastAsia"/>
                                      </w:rPr>
                                    </w:pPr>
                                    <w:r>
                                      <w:rPr>
                                        <w:rFonts w:hint="eastAsia"/>
                                      </w:rPr>
                                      <w:t>N：噪声</w:t>
                                    </w:r>
                                  </w:p>
                                  <w:p>
                                    <w:r>
                                      <w:rPr>
                                        <w:rFonts w:hint="eastAsia"/>
                                      </w:rPr>
                                      <w:t xml:space="preserve"> S：固体废弃物</w:t>
                                    </w:r>
                                  </w:p>
                                </w:txbxContent>
                              </wps:txbx>
                              <wps:bodyPr upright="1"/>
                            </wps:wsp>
                            <wps:wsp>
                              <wps:cNvPr id="193" name="矩形 193"/>
                              <wps:cNvSpPr/>
                              <wps:spPr>
                                <a:xfrm>
                                  <a:off x="3429000" y="1613535"/>
                                  <a:ext cx="1028700" cy="297180"/>
                                </a:xfrm>
                                <a:prstGeom prst="rect">
                                  <a:avLst/>
                                </a:prstGeom>
                                <a:solidFill>
                                  <a:srgbClr val="FFFFFF"/>
                                </a:solidFill>
                                <a:ln>
                                  <a:noFill/>
                                </a:ln>
                              </wps:spPr>
                              <wps:txbx>
                                <w:txbxContent>
                                  <w:p>
                                    <w:r>
                                      <w:rPr>
                                        <w:rFonts w:hint="eastAsia"/>
                                      </w:rPr>
                                      <w:t>W、Q、N 、S</w:t>
                                    </w:r>
                                  </w:p>
                                </w:txbxContent>
                              </wps:txbx>
                              <wps:bodyPr upright="1"/>
                            </wps:wsp>
                          </wpc:wpc>
                        </a:graphicData>
                      </a:graphic>
                    </wp:inline>
                  </w:drawing>
                </mc:Choice>
                <mc:Fallback>
                  <w:pict>
                    <v:group id="_x0000_s1026" o:spid="_x0000_s1026" o:spt="203" style="height:318.65pt;width:410.9pt;" coordsize="5218430,4046855" editas="canvas" o:gfxdata="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">
                      <o:lock v:ext="edit" aspectratio="f"/>
                      <v:shape id="_x0000_s1026" o:spid="_x0000_s1026" style="position:absolute;left:0;top:0;height:4046855;width:5218430;" filled="f" stroked="f" coordsize="21600,21600" o:gfxdata="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">
                        <v:fill on="f" focussize="0,0"/>
                        <v:stroke on="f"/>
                        <v:imagedata o:title=""/>
                        <o:lock v:ext="edit" aspectratio="t"/>
                      </v:shape>
                      <v:rect id="_x0000_s1026" o:spid="_x0000_s1026" o:spt="1" style="position:absolute;left:228600;top:990600;height:297180;width:457200;" fillcolor="#FFFFFF" filled="t" stroked="f" coordsize="21600,21600" o:gfxdata="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8KrbjVAAAABQEAAA8AAAAAAAAAAQAgAAAAIgAAAGRycy9kb3ducmV2Lnht&#10;bFBLAQIUABQAAAAIAIdO4kABv0dQwwEAAHUDAAAOAAAAAAAAAAEAIAAAACQBAABkcnMvZTJvRG9j&#10;LnhtbFBLBQYAAAAABgAGAFkBAABZBQAAAAA=&#10;">
                        <v:fill on="t" focussize="0,0"/>
                        <v:stroke on="f"/>
                        <v:imagedata o:title=""/>
                        <o:lock v:ext="edit" aspectratio="f"/>
                        <v:textbox>
                          <w:txbxContent>
                            <w:p>
                              <w:pPr>
                                <w:rPr>
                                  <w:rFonts w:hint="eastAsia"/>
                                </w:rPr>
                              </w:pPr>
                              <w:r>
                                <w:rPr>
                                  <w:rFonts w:hint="eastAsia"/>
                                </w:rPr>
                                <w:t>Q</w:t>
                              </w:r>
                            </w:p>
                          </w:txbxContent>
                        </v:textbox>
                      </v:rect>
                      <v:rect id="_x0000_s1026" o:spid="_x0000_s1026" o:spt="1" style="position:absolute;left:3429000;top:1708785;height:297180;width:914400;" fillcolor="#FFFFFF" filled="t" stroked="f" coordsize="21600,21600" o:gfxdata="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XwqtuNUAAAAFAQAADwAAAAAAAAABACAAAAAiAAAAZHJzL2Rvd25yZXYu&#10;eG1sUEsBAhQAFAAAAAgAh07iQGo2HTvFAQAAdwMAAA4AAAAAAAAAAQAgAAAAJAEAAGRycy9lMm9E&#10;b2MueG1sUEsFBgAAAAAGAAYAWQEAAFsFAAAAAA==&#10;">
                        <v:fill on="t" focussize="0,0"/>
                        <v:stroke on="f"/>
                        <v:imagedata o:title=""/>
                        <o:lock v:ext="edit" aspectratio="f"/>
                        <v:textbox>
                          <w:txbxContent>
                            <w:p>
                              <w:pPr>
                                <w:rPr>
                                  <w:rFonts w:hint="eastAsia"/>
                                </w:rPr>
                              </w:pPr>
                              <w:r>
                                <w:rPr>
                                  <w:rFonts w:hint="eastAsia"/>
                                </w:rPr>
                                <w:t>8.2</w:t>
                              </w:r>
                            </w:p>
                            <w:p/>
                          </w:txbxContent>
                        </v:textbox>
                      </v:rect>
                      <v:rect id="_x0000_s1026" o:spid="_x0000_s1026" o:spt="1" style="position:absolute;left:0;top:598805;height:299085;width:575945;" fillcolor="#FFFFFF" filled="t" stroked="t" coordsize="21600,21600" o:gfxdata="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&#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XzYubVAAAABQEAAA8AAAAAAAAAAQAgAAAAIgAAAGRy&#10;cy9kb3ducmV2LnhtbFBLAQIUABQAAAAIAIdO4kAWUpU3CAIAAC8EAAAOAAAAAAAAAAEAIAAAACQB&#10;AABkcnMvZTJvRG9jLnhtbFBLBQYAAAAABgAGAFkBAACeBQAAAAA=&#10;">
                        <v:fill on="t" focussize="0,0"/>
                        <v:stroke color="#000000" joinstyle="miter"/>
                        <v:imagedata o:title=""/>
                        <o:lock v:ext="edit" aspectratio="f"/>
                        <v:textbox>
                          <w:txbxContent>
                            <w:p>
                              <w:pPr>
                                <w:ind w:firstLine="105" w:firstLineChars="50"/>
                                <w:rPr>
                                  <w:rFonts w:hint="eastAsia"/>
                                </w:rPr>
                              </w:pPr>
                              <w:r>
                                <w:rPr>
                                  <w:rFonts w:hint="eastAsia"/>
                                </w:rPr>
                                <w:t>石子</w:t>
                              </w:r>
                            </w:p>
                          </w:txbxContent>
                        </v:textbox>
                      </v:rect>
                      <v:rect id="_x0000_s1026" o:spid="_x0000_s1026" o:spt="1" style="position:absolute;left:0;top:1296670;height:297815;width:575945;" fillcolor="#FFFFFF" filled="t" stroked="t" coordsize="21600,21600" o:gfxdata="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fNi5tUAAAAFAQAADwAAAAAAAAABACAAAAAiAAAAZHJz&#10;L2Rvd25yZXYueG1sUEsBAhQAFAAAAAgAh07iQDLM1lMHAgAAMAQAAA4AAAAAAAAAAQAgAAAAJAEA&#10;AGRycy9lMm9Eb2MueG1sUEsFBgAAAAAGAAYAWQEAAJ0FAAAAAA==&#10;">
                        <v:fill on="t" focussize="0,0"/>
                        <v:stroke color="#000000" joinstyle="miter"/>
                        <v:imagedata o:title=""/>
                        <o:lock v:ext="edit" aspectratio="f"/>
                        <v:textbox>
                          <w:txbxContent>
                            <w:p>
                              <w:pPr>
                                <w:ind w:firstLine="105" w:firstLineChars="50"/>
                                <w:rPr>
                                  <w:rFonts w:hint="eastAsia"/>
                                </w:rPr>
                              </w:pPr>
                              <w:r>
                                <w:rPr>
                                  <w:rFonts w:hint="eastAsia"/>
                                </w:rPr>
                                <w:t>砂子</w:t>
                              </w:r>
                            </w:p>
                          </w:txbxContent>
                        </v:textbox>
                      </v:rect>
                      <v:rect id="_x0000_s1026" o:spid="_x0000_s1026" o:spt="1" style="position:absolute;left:0;top:1895475;height:299085;width:575945;" fillcolor="#FFFFFF" filled="t" stroked="t" coordsize="21600,21600" o:gfxdata="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fNi5tUAAAAFAQAADwAAAAAAAAABACAAAAAiAAAA&#10;ZHJzL2Rvd25yZXYueG1sUEsBAhQAFAAAAAgAh07iQA0UU9gKAgAAMAQAAA4AAAAAAAAAAQAgAAAA&#10;JAEAAGRycy9lMm9Eb2MueG1sUEsFBgAAAAAGAAYAWQEAAKAFAAAAAA==&#10;">
                        <v:fill on="t" focussize="0,0"/>
                        <v:stroke color="#000000" joinstyle="miter"/>
                        <v:imagedata o:title=""/>
                        <o:lock v:ext="edit" aspectratio="f"/>
                        <v:textbox>
                          <w:txbxContent>
                            <w:p>
                              <w:pPr>
                                <w:ind w:firstLine="105" w:firstLineChars="50"/>
                                <w:rPr>
                                  <w:rFonts w:hint="eastAsia"/>
                                </w:rPr>
                              </w:pPr>
                              <w:r>
                                <w:rPr>
                                  <w:rFonts w:hint="eastAsia"/>
                                </w:rPr>
                                <w:t>水泥</w:t>
                              </w:r>
                            </w:p>
                          </w:txbxContent>
                        </v:textbox>
                      </v:rect>
                      <v:rect id="_x0000_s1026" o:spid="_x0000_s1026" o:spt="1" style="position:absolute;left:0;top:2849245;height:298450;width:690880;" fillcolor="#FFFFFF" filled="t" stroked="t" coordsize="21600,21600" o:gfxdata="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VfNi5tUAAAAFAQAADwAAAAAAAAABACAAAAAiAAAA&#10;ZHJzL2Rvd25yZXYueG1sUEsBAhQAFAAAAAgAh07iQIS/knsKAgAAMAQAAA4AAAAAAAAAAQAgAAAA&#10;JAEAAGRycy9lMm9Eb2MueG1sUEsFBgAAAAAGAAYAWQEAAKAFAAAAAA==&#10;">
                        <v:fill on="t" focussize="0,0"/>
                        <v:stroke color="#000000" joinstyle="miter"/>
                        <v:imagedata o:title=""/>
                        <o:lock v:ext="edit" aspectratio="f"/>
                        <v:textbox>
                          <w:txbxContent>
                            <w:p>
                              <w:pPr>
                                <w:ind w:firstLine="105" w:firstLineChars="50"/>
                                <w:rPr>
                                  <w:rFonts w:hint="eastAsia"/>
                                </w:rPr>
                              </w:pPr>
                              <w:r>
                                <w:rPr>
                                  <w:rFonts w:hint="eastAsia"/>
                                </w:rPr>
                                <w:t>添加剂</w:t>
                              </w:r>
                            </w:p>
                          </w:txbxContent>
                        </v:textbox>
                      </v:rect>
                      <v:rect id="_x0000_s1026" o:spid="_x0000_s1026" o:spt="1" style="position:absolute;left:28575;top:3419475;height:298450;width:690880;" fillcolor="#FFFFFF" filled="t" stroked="t" coordsize="21600,21600" o:gfxdata="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V82Lm1QAAAAUBAAAPAAAAAAAAAAEAIAAA&#10;ACIAAABkcnMvZG93bnJldi54bWxQSwECFAAUAAAACACHTuJAVse6Cw8CAAA0BAAADgAAAAAAAAAB&#10;ACAAAAAkAQAAZHJzL2Uyb0RvYy54bWxQSwUGAAAAAAYABgBZAQAApQUAAAAA&#10;">
                        <v:fill on="t" focussize="0,0"/>
                        <v:stroke color="#000000" joinstyle="miter"/>
                        <v:imagedata o:title=""/>
                        <o:lock v:ext="edit" aspectratio="f"/>
                        <v:textbox>
                          <w:txbxContent>
                            <w:p>
                              <w:pPr>
                                <w:ind w:firstLine="105" w:firstLineChars="50"/>
                                <w:rPr>
                                  <w:rFonts w:hint="eastAsia"/>
                                </w:rPr>
                              </w:pPr>
                              <w:r>
                                <w:rPr>
                                  <w:rFonts w:hint="eastAsia"/>
                                </w:rPr>
                                <w:t>清水</w:t>
                              </w:r>
                            </w:p>
                          </w:txbxContent>
                        </v:textbox>
                      </v:rect>
                      <v:line id="_x0000_s1026" o:spid="_x0000_s1026" o:spt="20" style="position:absolute;left:575945;top:735965;height:635;width:341630;" filled="f" stroked="t" coordsize="21600,21600" o:gfxdata="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ePlLNcAAAAFAQAADwAAAAAAAAABACAA&#10;AAAiAAAAZHJzL2Rvd25yZXYueG1sUEsBAhQAFAAAAAgAh07iQFPfI+0OAgAA9wMAAA4AAAAAAAAA&#10;AQAgAAAAJgEAAGRycy9lMm9Eb2MueG1sUEsFBgAAAAAGAAYAWQEAAKYFAAAAAA==&#10;">
                        <v:fill on="f" focussize="0,0"/>
                        <v:stroke color="#000000" joinstyle="round" endarrow="block"/>
                        <v:imagedata o:title=""/>
                        <o:lock v:ext="edit" aspectratio="f"/>
                      </v:line>
                      <v:line id="_x0000_s1026" o:spid="_x0000_s1026" o:spt="20" style="position:absolute;left:575945;top:1435100;height:635;width:341630;" filled="f" stroked="t" coordsize="21600,21600" o:gfxdata="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ePlLNcAAAAFAQAADwAAAAAAAAABACAAAAAi&#10;AAAAZHJzL2Rvd25yZXYueG1sUEsBAhQAFAAAAAgAh07iQPj+A9kLAgAA+AMAAA4AAAAAAAAAAQAg&#10;AAAAJgEAAGRycy9lMm9Eb2MueG1sUEsFBgAAAAAGAAYAWQEAAKMFAAAAAA==&#10;">
                        <v:fill on="f" focussize="0,0"/>
                        <v:stroke color="#000000" joinstyle="round" endarrow="block"/>
                        <v:imagedata o:title=""/>
                        <o:lock v:ext="edit" aspectratio="f"/>
                      </v:line>
                      <v:rect id="_x0000_s1026" o:spid="_x0000_s1026" o:spt="1" style="position:absolute;left:920750;top:498475;height:1197610;width:345440;" fillcolor="#FFFFFF" filled="t" stroked="t" coordsize="21600,21600" o:gfxdata="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XzYubVAAAABQEAAA8AAAAAAAAAAQAg&#10;AAAAIgAAAGRycy9kb3ducmV2LnhtbFBLAQIUABQAAAAIAIdO4kCWbw8VEQIAADcEAAAOAAAAAAAA&#10;AAEAIAAAACQBAABkcnMvZTJvRG9jLnhtbFBLBQYAAAAABgAGAFkBAACnBQAAAAA=&#10;">
                        <v:fill on="t" focussize="0,0"/>
                        <v:stroke color="#000000" joinstyle="miter"/>
                        <v:imagedata o:title=""/>
                        <o:lock v:ext="edit" aspectratio="f"/>
                        <v:textbox>
                          <w:txbxContent>
                            <w:p>
                              <w:pPr>
                                <w:rPr>
                                  <w:rFonts w:hint="eastAsia"/>
                                </w:rPr>
                              </w:pPr>
                            </w:p>
                            <w:p>
                              <w:pPr>
                                <w:rPr>
                                  <w:rFonts w:hint="eastAsia"/>
                                </w:rPr>
                              </w:pPr>
                              <w:r>
                                <w:rPr>
                                  <w:rFonts w:hint="eastAsia"/>
                                </w:rPr>
                                <w:t>配料仓</w:t>
                              </w:r>
                            </w:p>
                          </w:txbxContent>
                        </v:textbox>
                      </v:rect>
                      <v:line id="_x0000_s1026" o:spid="_x0000_s1026" o:spt="20" style="position:absolute;left:1266190;top:997585;height:635;width:1705610;" filled="f" stroked="t" coordsize="21600,21600" o:gfxdata="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B3j5SzXAAAABQEAAA8AAAAAAAAAAQAgAAAA&#10;IgAAAGRycy9kb3ducmV2LnhtbFBLAQIUABQAAAAIAIdO4kAo6zIgDAIAAPkDAAAOAAAAAAAAAAEA&#10;IAAAACYBAABkcnMvZTJvRG9jLnhtbFBLBQYAAAAABgAGAFkBAACkBQAAAAA=&#10;">
                        <v:fill on="f" focussize="0,0"/>
                        <v:stroke color="#000000" joinstyle="round" endarrow="block"/>
                        <v:imagedata o:title=""/>
                        <o:lock v:ext="edit" aspectratio="f"/>
                      </v:line>
                      <v:line id="_x0000_s1026" o:spid="_x0000_s1026" o:spt="20" style="position:absolute;left:719455;top:3547110;height:635;width:467995;" filled="f" stroked="t" coordsize="21600,21600" o:gfxdata="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d4+Us1wAAAAUBAAAPAAAAAAAAAAEAIAAAACIA&#10;AABkcnMvZG93bnJldi54bWxQSwECFAAUAAAACACHTuJANScalAoCAAD4AwAADgAAAAAAAAABACAA&#10;AAAmAQAAZHJzL2Uyb0RvYy54bWxQSwUGAAAAAAYABgBZAQAAogUAAAAA&#10;">
                        <v:fill on="f" focussize="0,0"/>
                        <v:stroke color="#000000" joinstyle="round" endarrow="block"/>
                        <v:imagedata o:title=""/>
                        <o:lock v:ext="edit" aspectratio="f"/>
                      </v:line>
                      <v:line id="_x0000_s1026" o:spid="_x0000_s1026" o:spt="20" style="position:absolute;left:2933065;top:997585;height:2552065;width:19685;" filled="f" stroked="t" coordsize="21600,21600" o:gfxdata="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C6XRkzVAAAABQEAAA8AAAAAAAAAAQAgAAAAIgAAAGRycy9k&#10;b3ducmV2LnhtbFBLAQIUABQAAAAIAIdO4kD8ipN6BQIAAPcDAAAOAAAAAAAAAAEAIAAAACQBAABk&#10;cnMvZTJvRG9jLnhtbFBLBQYAAAAABgAGAFkBAACbBQAAAAA=&#10;">
                        <v:fill on="f" focussize="0,0"/>
                        <v:stroke color="#000000" joinstyle="round"/>
                        <v:imagedata o:title=""/>
                        <o:lock v:ext="edit" aspectratio="f"/>
                      </v:line>
                      <v:line id="_x0000_s1026" o:spid="_x0000_s1026" o:spt="20" style="position:absolute;left:2971165;top:2294255;height:635;width:229870;" filled="f" stroked="t" coordsize="21600,21600" o:gfxdata="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HePlLNcAAAAFAQAADwAAAAAAAAABACAA&#10;AAAiAAAAZHJzL2Rvd25yZXYueG1sUEsBAhQAFAAAAAgAh07iQCnTw3MOAgAA+QMAAA4AAAAAAAAA&#10;AQAgAAAAJgEAAGRycy9lMm9Eb2MueG1sUEsFBgAAAAAGAAYAWQEAAKYFAAAAAA==&#10;">
                        <v:fill on="f" focussize="0,0"/>
                        <v:stroke color="#000000" joinstyle="round" endarrow="block"/>
                        <v:imagedata o:title=""/>
                        <o:lock v:ext="edit" aspectratio="f"/>
                      </v:line>
                      <v:rect id="_x0000_s1026" o:spid="_x0000_s1026" o:spt="1" style="position:absolute;left:3210560;top:1981200;height:693420;width:345440;" fillcolor="#FFFFFF" filled="t" stroked="t" coordsize="21600,21600" o:gfxdata="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XzYubVAAAABQEAAA8AAAAAAAAAAQAgAAAA&#10;IgAAAGRycy9kb3ducmV2LnhtbFBLAQIUABQAAAAIAIdO4kDVmPUpDgIAADgEAAAOAAAAAAAAAAEA&#10;IAAAACQBAABkcnMvZTJvRG9jLnhtbFBLBQYAAAAABgAGAFkBAACkBQAAAAA=&#10;">
                        <v:fill on="t" focussize="0,0"/>
                        <v:stroke color="#000000" joinstyle="miter"/>
                        <v:imagedata o:title=""/>
                        <o:lock v:ext="edit" aspectratio="f"/>
                        <v:textbox>
                          <w:txbxContent>
                            <w:p>
                              <w:pPr>
                                <w:rPr>
                                  <w:rFonts w:hint="eastAsia"/>
                                </w:rPr>
                              </w:pPr>
                              <w:r>
                                <w:rPr>
                                  <w:rFonts w:hint="eastAsia"/>
                                </w:rPr>
                                <w:t>搅拌机</w:t>
                              </w:r>
                            </w:p>
                          </w:txbxContent>
                        </v:textbox>
                      </v:rect>
                      <v:line id="_x0000_s1026" o:spid="_x0000_s1026" o:spt="20" style="position:absolute;left:3556000;top:2294255;height:635;width:229870;" filled="f" stroked="t" coordsize="21600,21600" o:gfxdata="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d4+Us1wAAAAUBAAAPAAAAAAAAAAEAIAAA&#10;ACIAAABkcnMvZG93bnJldi54bWxQSwECFAAUAAAACACHTuJAZ3wLKA0CAAD5AwAADgAAAAAAAAAB&#10;ACAAAAAmAQAAZHJzL2Uyb0RvYy54bWxQSwUGAAAAAAYABgBZAQAApQUAAAAA&#10;">
                        <v:fill on="f" focussize="0,0"/>
                        <v:stroke color="#000000" joinstyle="round" endarrow="block"/>
                        <v:imagedata o:title=""/>
                        <o:lock v:ext="edit" aspectratio="f"/>
                      </v:line>
                      <v:rect id="_x0000_s1026" o:spid="_x0000_s1026" o:spt="1" style="position:absolute;left:3785870;top:1981200;height:693420;width:346075;" fillcolor="#FFFFFF" filled="t" stroked="t" coordsize="21600,21600" o:gfxdata="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XzYubVAAAABQEAAA8AAAAAAAAAAQAgAAAA&#10;IgAAAGRycy9kb3ducmV2LnhtbFBLAQIUABQAAAAIAIdO4kB0njYjDgIAADgEAAAOAAAAAAAAAAEA&#10;IAAAACQBAABkcnMvZTJvRG9jLnhtbFBLBQYAAAAABgAGAFkBAACkBQAAAAA=&#10;">
                        <v:fill on="t" focussize="0,0"/>
                        <v:stroke color="#000000" joinstyle="miter"/>
                        <v:imagedata o:title=""/>
                        <o:lock v:ext="edit" aspectratio="f"/>
                        <v:textbox>
                          <w:txbxContent>
                            <w:p>
                              <w:pPr>
                                <w:rPr>
                                  <w:rFonts w:hint="eastAsia"/>
                                </w:rPr>
                              </w:pPr>
                              <w:r>
                                <w:rPr>
                                  <w:rFonts w:hint="eastAsia"/>
                                </w:rPr>
                                <w:t>运输车</w:t>
                              </w:r>
                            </w:p>
                          </w:txbxContent>
                        </v:textbox>
                      </v:rect>
                      <v:line id="_x0000_s1026" o:spid="_x0000_s1026" o:spt="20" style="position:absolute;left:4131945;top:2292985;height:1270;width:228600;" filled="f" stroked="t" coordsize="21600,21600" o:gfxdata="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d4+Us1wAAAAUBAAAPAAAAAAAAAAEA&#10;IAAAACIAAABkcnMvZG93bnJldi54bWxQSwECFAAUAAAACACHTuJAay8KFxACAAD6AwAADgAAAAAA&#10;AAABACAAAAAmAQAAZHJzL2Uyb0RvYy54bWxQSwUGAAAAAAYABgBZAQAAqAUAAAAA&#10;">
                        <v:fill on="f" focussize="0,0"/>
                        <v:stroke color="#000000" joinstyle="round" endarrow="block"/>
                        <v:imagedata o:title=""/>
                        <o:lock v:ext="edit" aspectratio="f"/>
                      </v:line>
                      <v:rect id="_x0000_s1026" o:spid="_x0000_s1026" o:spt="1" style="position:absolute;left:4361180;top:1882140;height:891540;width:345440;" fillcolor="#FFFFFF" filled="t" stroked="t" coordsize="21600,21600" o:gfxdata="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VfNi5tUAAAAFAQAADwAAAAAAAAABACAA&#10;AAAiAAAAZHJzL2Rvd25yZXYueG1sUEsBAhQAFAAAAAgAh07iQJguNSUQAgAAOAQAAA4AAAAAAAAA&#10;AQAgAAAAJAEAAGRycy9lMm9Eb2MueG1sUEsFBgAAAAAGAAYAWQEAAKYFAAAAAA==&#10;">
                        <v:fill on="t" focussize="0,0"/>
                        <v:stroke color="#000000" joinstyle="miter"/>
                        <v:imagedata o:title=""/>
                        <o:lock v:ext="edit" aspectratio="f"/>
                        <v:textbox>
                          <w:txbxContent>
                            <w:p>
                              <w:pPr>
                                <w:rPr>
                                  <w:rFonts w:hint="eastAsia"/>
                                </w:rPr>
                              </w:pPr>
                              <w:r>
                                <w:rPr>
                                  <w:rFonts w:hint="eastAsia"/>
                                </w:rPr>
                                <w:t>施工现场</w:t>
                              </w:r>
                            </w:p>
                          </w:txbxContent>
                        </v:textbox>
                      </v:rect>
                      <v:line id="_x0000_s1026" o:spid="_x0000_s1026" o:spt="20" style="position:absolute;left:575945;top:2023745;height:1270;width:573405;" filled="f" stroked="t" coordsize="21600,21600" o:gfxdata="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HePlLNcAAAAFAQAADwAAAAAAAAABACAAAAAi&#10;AAAAZHJzL2Rvd25yZXYueG1sUEsBAhQAFAAAAAgAh07iQAeSfbYLAgAA+QMAAA4AAAAAAAAAAQAg&#10;AAAAJgEAAGRycy9lMm9Eb2MueG1sUEsFBgAAAAAGAAYAWQEAAKMFAAAAAA==&#10;">
                        <v:fill on="f" focussize="0,0"/>
                        <v:stroke color="#000000" joinstyle="round" endarrow="block"/>
                        <v:imagedata o:title=""/>
                        <o:lock v:ext="edit" aspectratio="f"/>
                      </v:line>
                      <v:rect id="_x0000_s1026" o:spid="_x0000_s1026" o:spt="1" style="position:absolute;left:1149350;top:1896745;height:299720;width:561340;" fillcolor="#FFFFFF" filled="t" stroked="t" coordsize="21600,21600" o:gfxdata="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XzYubVAAAABQEAAA8AAAAAAAAAAQAg&#10;AAAAIgAAAGRycy9kb3ducmV2LnhtbFBLAQIUABQAAAAIAIdO4kDw3xnREQIAADgEAAAOAAAAAAAA&#10;AAEAIAAAACQBAABkcnMvZTJvRG9jLnhtbFBLBQYAAAAABgAGAFkBAACnBQAAAAA=&#10;">
                        <v:fill on="t" focussize="0,0"/>
                        <v:stroke color="#000000" joinstyle="miter"/>
                        <v:imagedata o:title=""/>
                        <o:lock v:ext="edit" aspectratio="f"/>
                        <v:textbox>
                          <w:txbxContent>
                            <w:p>
                              <w:pPr>
                                <w:ind w:firstLine="105" w:firstLineChars="50"/>
                                <w:rPr>
                                  <w:rFonts w:hint="eastAsia"/>
                                </w:rPr>
                              </w:pPr>
                              <w:r>
                                <w:rPr>
                                  <w:rFonts w:hint="eastAsia"/>
                                </w:rPr>
                                <w:t>料仓</w:t>
                              </w:r>
                            </w:p>
                          </w:txbxContent>
                        </v:textbox>
                      </v:rect>
                      <v:line id="_x0000_s1026" o:spid="_x0000_s1026" o:spt="20" style="position:absolute;left:682625;top:2977515;height:635;width:467995;" filled="f" stroked="t" coordsize="21600,21600" o:gfxdata="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d4+Us1wAAAAUBAAAPAAAAAAAAAAEAIAAA&#10;ACIAAABkcnMvZG93bnJldi54bWxQSwECFAAUAAAACACHTuJAdR0pOw0CAAD4AwAADgAAAAAAAAAB&#10;ACAAAAAmAQAAZHJzL2Uyb0RvYy54bWxQSwUGAAAAAAYABgBZAQAApQUAAAAA&#10;">
                        <v:fill on="f" focussize="0,0"/>
                        <v:stroke color="#000000" joinstyle="round" endarrow="block"/>
                        <v:imagedata o:title=""/>
                        <o:lock v:ext="edit" aspectratio="f"/>
                      </v:line>
                      <v:rect id="_x0000_s1026" o:spid="_x0000_s1026" o:spt="1" style="position:absolute;left:1139825;top:2817495;height:300355;width:685800;" fillcolor="#FFFFFF" filled="t" stroked="t" coordsize="21600,21600" o:gfxdata="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FXzYubVAAAABQEAAA8AAAAAAAAAAQAg&#10;AAAAIgAAAGRycy9kb3ducmV2LnhtbFBLAQIUABQAAAAIAIdO4kAhMnMkEQIAADgEAAAOAAAAAAAA&#10;AAEAIAAAACQBAABkcnMvZTJvRG9jLnhtbFBLBQYAAAAABgAGAFkBAACnBQAAAAA=&#10;">
                        <v:fill on="t" focussize="0,0"/>
                        <v:stroke color="#000000" joinstyle="miter"/>
                        <v:imagedata o:title=""/>
                        <o:lock v:ext="edit" aspectratio="f"/>
                        <v:textbox>
                          <w:txbxContent>
                            <w:p>
                              <w:pPr>
                                <w:rPr>
                                  <w:rFonts w:hint="eastAsia"/>
                                </w:rPr>
                              </w:pPr>
                              <w:r>
                                <w:rPr>
                                  <w:rFonts w:hint="eastAsia"/>
                                </w:rPr>
                                <w:t>储存罐</w:t>
                              </w:r>
                            </w:p>
                          </w:txbxContent>
                        </v:textbox>
                      </v:rect>
                      <v:rect id="_x0000_s1026" o:spid="_x0000_s1026" o:spt="1" style="position:absolute;left:1171575;top:3417570;height:300355;width:685800;" fillcolor="#FFFFFF" filled="t" stroked="t" coordsize="21600,21600" o:gfxdata="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fNi5tUAAAAFAQAADwAAAAAAAAABACAAAAAi&#10;AAAAZHJzL2Rvd25yZXYueG1sUEsBAhQAFAAAAAgAh07iQBxXGH0NAgAAOAQAAA4AAAAAAAAAAQAg&#10;AAAAJAEAAGRycy9lMm9Eb2MueG1sUEsFBgAAAAAGAAYAWQEAAKMFAAAAAA==&#10;">
                        <v:fill on="t" focussize="0,0"/>
                        <v:stroke color="#000000" joinstyle="miter"/>
                        <v:imagedata o:title=""/>
                        <o:lock v:ext="edit" aspectratio="f"/>
                        <v:textbox>
                          <w:txbxContent>
                            <w:p>
                              <w:pPr>
                                <w:rPr>
                                  <w:rFonts w:hint="eastAsia"/>
                                </w:rPr>
                              </w:pPr>
                              <w:r>
                                <w:rPr>
                                  <w:rFonts w:hint="eastAsia"/>
                                </w:rPr>
                                <w:t>蓄水池</w:t>
                              </w:r>
                            </w:p>
                          </w:txbxContent>
                        </v:textbox>
                      </v:rect>
                      <v:rect id="_x0000_s1026" o:spid="_x0000_s1026" o:spt="1" style="position:absolute;left:224790;top:99060;height:297180;width:455930;" fillcolor="#FFFFFF" filled="t" stroked="t" coordsize="21600,21600" o:gfxdata="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I6LeV1AAAAAUBAAAPAAAAAAAAAAEAIAAAACIAAABk&#10;cnMvZG93bnJldi54bWxQSwECFAAUAAAACACHTuJAOq4KIwoCAAA1BAAADgAAAAAAAAABACAAAAAj&#10;AQAAZHJzL2Uyb0RvYy54bWxQSwUGAAAAAAYABgBZAQAAnwUAAAAA&#10;">
                        <v:fill on="t" focussize="0,0"/>
                        <v:stroke color="#FFFFFF" joinstyle="miter"/>
                        <v:imagedata o:title=""/>
                        <o:lock v:ext="edit" aspectratio="f"/>
                        <v:textbox>
                          <w:txbxContent>
                            <w:p>
                              <w:pPr>
                                <w:rPr>
                                  <w:rFonts w:hint="eastAsia"/>
                                  <w:sz w:val="24"/>
                                </w:rPr>
                              </w:pPr>
                              <w:r>
                                <w:rPr>
                                  <w:rFonts w:hint="eastAsia"/>
                                  <w:szCs w:val="21"/>
                                </w:rPr>
                                <w:t>Q</w:t>
                              </w:r>
                            </w:p>
                          </w:txbxContent>
                        </v:textbox>
                      </v:rect>
                      <v:line id="_x0000_s1026" o:spid="_x0000_s1026" o:spt="20" style="position:absolute;left:1857375;top:3550920;height:1270;width:1108710;" filled="f" stroked="t" coordsize="21600,21600" o:gfxdata="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3j5SzXAAAABQEAAA8AAAAAAAAAAQAg&#10;AAAAIgAAAGRycy9kb3ducmV2LnhtbFBLAQIUABQAAAAIAIdO4kDL1e3PDwIAAPsDAAAOAAAAAAAA&#10;AAEAIAAAACYBAABkcnMvZTJvRG9jLnhtbFBLBQYAAAAABgAGAFkBAACnBQAAAAA=&#10;">
                        <v:fill on="f" focussize="0,0"/>
                        <v:stroke color="#000000" joinstyle="round" endarrow="block"/>
                        <v:imagedata o:title=""/>
                        <o:lock v:ext="edit" aspectratio="f"/>
                      </v:line>
                      <v:line id="_x0000_s1026" o:spid="_x0000_s1026" o:spt="20" style="position:absolute;left:1828800;top:2964180;height:1270;width:1141095;" filled="f" stroked="t" coordsize="21600,21600" o:gfxdata="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d4+Us1wAAAAUBAAAPAAAAAAAAAAEAIAAA&#10;ACIAAABkcnMvZG93bnJldi54bWxQSwECFAAUAAAACACHTuJAep/GEw0CAAD7AwAADgAAAAAAAAAB&#10;ACAAAAAmAQAAZHJzL2Uyb0RvYy54bWxQSwUGAAAAAAYABgBZAQAApQUAAAAA&#10;">
                        <v:fill on="f" focussize="0,0"/>
                        <v:stroke color="#000000" joinstyle="round" endarrow="block"/>
                        <v:imagedata o:title=""/>
                        <o:lock v:ext="edit" aspectratio="f"/>
                      </v:line>
                      <v:line id="_x0000_s1026" o:spid="_x0000_s1026" o:spt="20" style="position:absolute;left:273050;top:990600;flip:y;height:289560;width:635;" filled="f" stroked="t" coordsize="21600,21600" o:gfxdata="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FnR+tUAAAAFAQAADwAAAAAAAAAB&#10;ACAAAAAiAAAAZHJzL2Rvd25yZXYueG1sUEsBAhQAFAAAAAgAh07iQHhtyjYTAgAAAAQAAA4AAAAA&#10;AAAAAQAgAAAAJAEAAGRycy9lMm9Eb2MueG1sUEsFBgAAAAAGAAYAWQEAAKkFAAAAAA==&#10;">
                        <v:fill on="f" focussize="0,0"/>
                        <v:stroke color="#000000" joinstyle="round" dashstyle="dash" endarrow="block"/>
                        <v:imagedata o:title=""/>
                        <o:lock v:ext="edit" aspectratio="f"/>
                      </v:line>
                      <v:line id="_x0000_s1026" o:spid="_x0000_s1026" o:spt="20" style="position:absolute;left:1073150;top:198120;flip:y;height:289560;width:635;" filled="f" stroked="t" coordsize="21600,21600" o:gfxdata="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BFnR+tUAAAAFAQAADwAAAAAAAAAB&#10;ACAAAAAiAAAAZHJzL2Rvd25yZXYueG1sUEsBAhQAFAAAAAgAh07iQEU3cSATAgAAAQQAAA4AAAAA&#10;AAAAAQAgAAAAJAEAAGRycy9lMm9Eb2MueG1sUEsFBgAAAAAGAAYAWQEAAKkFAAAAAA==&#10;">
                        <v:fill on="f" focussize="0,0"/>
                        <v:stroke color="#000000" joinstyle="round" dashstyle="dash" endarrow="block"/>
                        <v:imagedata o:title=""/>
                        <o:lock v:ext="edit" aspectratio="f"/>
                      </v:line>
                      <v:line id="_x0000_s1026" o:spid="_x0000_s1026" o:spt="20" style="position:absolute;left:1435100;top:1584960;flip:y;height:289560;width:635;" filled="f" stroked="t" coordsize="21600,21600" o:gfxdata="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RZ0frVAAAABQEAAA8AAAAAAAAA&#10;AQAgAAAAIgAAAGRycy9kb3ducmV2LnhtbFBLAQIUABQAAAAIAIdO4kCONAhtFAIAAAIEAAAOAAAA&#10;AAAAAAEAIAAAACQBAABkcnMvZTJvRG9jLnhtbFBLBQYAAAAABgAGAFkBAACqBQAAAAA=&#10;">
                        <v:fill on="f" focussize="0,0"/>
                        <v:stroke color="#000000" joinstyle="round" dashstyle="dash" endarrow="block"/>
                        <v:imagedata o:title=""/>
                        <o:lock v:ext="edit" aspectratio="f"/>
                      </v:line>
                      <v:line id="_x0000_s1026" o:spid="_x0000_s1026" o:spt="20" style="position:absolute;left:263525;top:297180;flip:y;height:289560;width:635;" filled="f" stroked="t" coordsize="21600,21600" o:gfxdata="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EWdH61QAAAAUBAAAPAAAAAAAAAAEAIAAA&#10;ACIAAABkcnMvZG93bnJldi54bWxQSwECFAAUAAAACACHTuJA0rFx6g8CAAAABAAADgAAAAAAAAAB&#10;ACAAAAAkAQAAZHJzL2Uyb0RvYy54bWxQSwUGAAAAAAYABgBZAQAApQUAAAAA&#10;">
                        <v:fill on="f" focussize="0,0"/>
                        <v:stroke color="#000000" joinstyle="round" dashstyle="dash" endarrow="block"/>
                        <v:imagedata o:title=""/>
                        <o:lock v:ext="edit" aspectratio="f"/>
                      </v:line>
                      <v:line id="_x0000_s1026" o:spid="_x0000_s1026" o:spt="20" style="position:absolute;left:3387725;top:1684020;flip:y;height:289560;width:635;" filled="f" stroked="t" coordsize="21600,21600" o:gfxdata="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EWdH61QAAAAUBAAAPAAAAAAAA&#10;AAEAIAAAACIAAABkcnMvZG93bnJldi54bWxQSwECFAAUAAAACACHTuJAcVogthUCAAACBAAADgAA&#10;AAAAAAABACAAAAAkAQAAZHJzL2Uyb0RvYy54bWxQSwUGAAAAAAYABgBZAQAAqwUAAAAA&#10;">
                        <v:fill on="f" focussize="0,0"/>
                        <v:stroke color="#000000" joinstyle="round" dashstyle="dash" endarrow="block"/>
                        <v:imagedata o:title=""/>
                        <o:lock v:ext="edit" aspectratio="f"/>
                      </v:line>
                      <v:rect id="_x0000_s1026" o:spid="_x0000_s1026" o:spt="1" style="position:absolute;left:1714500;top:736600;height:325755;width:914400;" filled="f" stroked="f" coordsize="21600,21600" o:gfxdata="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Qk3gz1wAA&#10;AAUBAAAPAAAAAAAAAAEAIAAAACIAAABkcnMvZG93bnJldi54bWxQSwECFAAUAAAACACHTuJAYqYD&#10;NK0BAABPAwAADgAAAAAAAAABACAAAAAmAQAAZHJzL2Uyb0RvYy54bWxQSwUGAAAAAAYABgBZAQAA&#10;RQUAAAAA&#10;">
                        <v:fill on="f" focussize="0,0"/>
                        <v:stroke on="f"/>
                        <v:imagedata o:title=""/>
                        <o:lock v:ext="edit" aspectratio="f"/>
                        <v:textbox>
                          <w:txbxContent>
                            <w:p>
                              <w:pPr>
                                <w:rPr>
                                  <w:rFonts w:hint="eastAsia"/>
                                </w:rPr>
                              </w:pPr>
                              <w:r>
                                <w:rPr>
                                  <w:rFonts w:hint="eastAsia"/>
                                </w:rPr>
                                <w:t>封闭皮带</w:t>
                              </w:r>
                            </w:p>
                          </w:txbxContent>
                        </v:textbox>
                      </v:rect>
                      <v:rect id="_x0000_s1026" o:spid="_x0000_s1026" o:spt="1" style="position:absolute;left:1139825;top:198120;height:297180;width:571500;" fillcolor="#FFFFFF" filled="t" stroked="f" coordsize="21600,21600" o:gfxdata="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fCq241QAAAAUBAAAPAAAAAAAAAAEAIAAAACIAAABkcnMvZG93bnJldi54&#10;bWxQSwECFAAUAAAACACHTuJAi6E/CMQBAAB4AwAADgAAAAAAAAABACAAAAAkAQAAZHJzL2Uyb0Rv&#10;Yy54bWxQSwUGAAAAAAYABgBZAQAAWgUAAAAA&#10;">
                        <v:fill on="t" focussize="0,0"/>
                        <v:stroke on="f"/>
                        <v:imagedata o:title=""/>
                        <o:lock v:ext="edit" aspectratio="f"/>
                        <v:textbox>
                          <w:txbxContent>
                            <w:p>
                              <w:pPr>
                                <w:rPr>
                                  <w:rFonts w:hint="eastAsia"/>
                                </w:rPr>
                              </w:pPr>
                              <w:r>
                                <w:rPr>
                                  <w:rFonts w:hint="eastAsia"/>
                                </w:rPr>
                                <w:t>Q、N</w:t>
                              </w:r>
                            </w:p>
                          </w:txbxContent>
                        </v:textbox>
                      </v:rect>
                      <v:rect id="_x0000_s1026" o:spid="_x0000_s1026" o:spt="1" style="position:absolute;left:1482725;top:1584960;height:297180;width:571500;" fillcolor="#FFFFFF" filled="t" stroked="f" coordsize="21600,21600" o:gfxdata="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XwqtuNUAAAAFAQAADwAAAAAAAAABACAAAAAiAAAAZHJzL2Rvd25yZXYu&#10;eG1sUEsBAhQAFAAAAAgAh07iQNmWYrLFAQAAeQMAAA4AAAAAAAAAAQAgAAAAJAEAAGRycy9lMm9E&#10;b2MueG1sUEsFBgAAAAAGAAYAWQEAAFsFAAAAAA==&#10;">
                        <v:fill on="t" focussize="0,0"/>
                        <v:stroke on="f"/>
                        <v:imagedata o:title=""/>
                        <o:lock v:ext="edit" aspectratio="f"/>
                        <v:textbox>
                          <w:txbxContent>
                            <w:p>
                              <w:pPr>
                                <w:rPr>
                                  <w:rFonts w:hint="eastAsia"/>
                                </w:rPr>
                              </w:pPr>
                              <w:r>
                                <w:rPr>
                                  <w:rFonts w:hint="eastAsia"/>
                                </w:rPr>
                                <w:t>Q、S</w:t>
                              </w:r>
                            </w:p>
                          </w:txbxContent>
                        </v:textbox>
                      </v:rect>
                      <v:rect id="_x0000_s1026" o:spid="_x0000_s1026" o:spt="1" style="position:absolute;left:2057400;top:1722120;height:297180;width:800100;" fillcolor="#FFFFFF" filled="t" stroked="f" coordsize="21600,21600" o:gfxdata="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fCq241QAAAAUBAAAPAAAAAAAAAAEAIAAAACIAAABkcnMvZG93bnJldi54&#10;bWxQSwECFAAUAAAACACHTuJASwKCFMQBAAB5AwAADgAAAAAAAAABACAAAAAkAQAAZHJzL2Uyb0Rv&#10;Yy54bWxQSwUGAAAAAAYABgBZAQAAWgUAAAAA&#10;">
                        <v:fill on="t" focussize="0,0"/>
                        <v:stroke on="f"/>
                        <v:imagedata o:title=""/>
                        <o:lock v:ext="edit" aspectratio="f"/>
                        <v:textbox>
                          <w:txbxContent>
                            <w:p>
                              <w:pPr>
                                <w:rPr>
                                  <w:rFonts w:hint="eastAsia"/>
                                </w:rPr>
                              </w:pPr>
                              <w:r>
                                <w:rPr>
                                  <w:rFonts w:hint="eastAsia"/>
                                </w:rPr>
                                <w:t>螺旋输送</w:t>
                              </w:r>
                            </w:p>
                          </w:txbxContent>
                        </v:textbox>
                      </v:rect>
                      <v:line id="_x0000_s1026" o:spid="_x0000_s1026" o:spt="20" style="position:absolute;left:2400300;top:1485900;flip:y;height:289560;width:635;" filled="f" stroked="t" coordsize="21600,21600" o:gfxdata="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ARZ0frVAAAABQEAAA8AAAAAAAAA&#10;AQAgAAAAIgAAAGRycy9kb3ducmV2LnhtbFBLAQIUABQAAAAIAIdO4kBTCFT7FAIAAAIEAAAOAAAA&#10;AAAAAAEAIAAAACQBAABkcnMvZTJvRG9jLnhtbFBLBQYAAAAABgAGAFkBAACqBQAAAAA=&#10;">
                        <v:fill on="f" focussize="0,0"/>
                        <v:stroke color="#000000" joinstyle="round" dashstyle="dash" endarrow="block"/>
                        <v:imagedata o:title=""/>
                        <o:lock v:ext="edit" aspectratio="f"/>
                      </v:line>
                      <v:rect id="_x0000_s1026" o:spid="_x0000_s1026" o:spt="1" style="position:absolute;left:2466975;top:1485900;height:274320;width:276225;" fillcolor="#FFFFFF" filled="t" stroked="f" coordsize="21600,21600" o:gfxdata="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XwqtuNUAAAAFAQAADwAAAAAAAAABACAAAAAiAAAAZHJzL2Rvd25yZXYu&#10;eG1sUEsBAhQAFAAAAAgAh07iQOeTdVHFAQAAeQMAAA4AAAAAAAAAAQAgAAAAJAEAAGRycy9lMm9E&#10;b2MueG1sUEsFBgAAAAAGAAYAWQEAAFsFAAAAAA==&#10;">
                        <v:fill on="t" focussize="0,0"/>
                        <v:stroke on="f"/>
                        <v:imagedata o:title=""/>
                        <o:lock v:ext="edit" aspectratio="f"/>
                        <v:textbox>
                          <w:txbxContent>
                            <w:p>
                              <w:pPr>
                                <w:rPr>
                                  <w:rFonts w:hint="eastAsia"/>
                                </w:rPr>
                              </w:pPr>
                              <w:r>
                                <w:rPr>
                                  <w:rFonts w:hint="eastAsia"/>
                                </w:rPr>
                                <w:t>N</w:t>
                              </w:r>
                            </w:p>
                          </w:txbxContent>
                        </v:textbox>
                      </v:rect>
                      <v:line id="_x0000_s1026" o:spid="_x0000_s1026" o:spt="20" style="position:absolute;left:1714500;top:2032635;height:1270;width:1224280;" filled="f" stroked="t" coordsize="21600,21600" o:gfxdata="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3j5SzXAAAABQEAAA8AAAAAAAAAAQAg&#10;AAAAIgAAAGRycy9kb3ducmV2LnhtbFBLAQIUABQAAAAIAIdO4kBRqWu9DwIAAPsDAAAOAAAAAAAA&#10;AAEAIAAAACYBAABkcnMvZTJvRG9jLnhtbFBLBQYAAAAABgAGAFkBAACnBQAAAAA=&#10;">
                        <v:fill on="f" focussize="0,0"/>
                        <v:stroke color="#000000" joinstyle="round" endarrow="block"/>
                        <v:imagedata o:title=""/>
                        <o:lock v:ext="edit" aspectratio="f"/>
                      </v:line>
                      <v:rect id="_x0000_s1026" o:spid="_x0000_s1026" o:spt="1" style="position:absolute;left:3375025;top:2917190;height:891540;width:1371600;" fillcolor="#FFFFFF" filled="t" stroked="f" coordsize="21600,21600" o:gfxdata="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XwqtuNUAAAAFAQAADwAAAAAAAAABACAAAAAiAAAAZHJzL2Rvd25y&#10;ZXYueG1sUEsBAhQAFAAAAAgAh07iQA5JeszIAQAAegMAAA4AAAAAAAAAAQAgAAAAJAEAAGRycy9l&#10;Mm9Eb2MueG1sUEsFBgAAAAAGAAYAWQEAAF4FAAAAAA==&#10;">
                        <v:fill on="t" focussize="0,0"/>
                        <v:stroke on="f"/>
                        <v:imagedata o:title=""/>
                        <o:lock v:ext="edit" aspectratio="f"/>
                        <v:textbox>
                          <w:txbxContent>
                            <w:p>
                              <w:pPr>
                                <w:ind w:firstLine="105" w:firstLineChars="50"/>
                                <w:rPr>
                                  <w:rFonts w:hint="eastAsia"/>
                                </w:rPr>
                              </w:pPr>
                              <w:r>
                                <w:rPr>
                                  <w:rFonts w:hint="eastAsia"/>
                                </w:rPr>
                                <w:t>Q：废水</w:t>
                              </w:r>
                            </w:p>
                            <w:p>
                              <w:pPr>
                                <w:ind w:firstLine="105" w:firstLineChars="50"/>
                                <w:rPr>
                                  <w:rFonts w:hint="eastAsia"/>
                                </w:rPr>
                              </w:pPr>
                              <w:r>
                                <w:rPr>
                                  <w:rFonts w:hint="eastAsia"/>
                                </w:rPr>
                                <w:t>Q：粉尘</w:t>
                              </w:r>
                            </w:p>
                            <w:p>
                              <w:pPr>
                                <w:ind w:firstLine="105" w:firstLineChars="50"/>
                                <w:rPr>
                                  <w:rFonts w:hint="eastAsia"/>
                                </w:rPr>
                              </w:pPr>
                              <w:r>
                                <w:rPr>
                                  <w:rFonts w:hint="eastAsia"/>
                                </w:rPr>
                                <w:t>N：噪声</w:t>
                              </w:r>
                            </w:p>
                            <w:p>
                              <w:r>
                                <w:rPr>
                                  <w:rFonts w:hint="eastAsia"/>
                                </w:rPr>
                                <w:t xml:space="preserve"> S：固体废弃物</w:t>
                              </w:r>
                            </w:p>
                          </w:txbxContent>
                        </v:textbox>
                      </v:rect>
                      <v:rect id="_x0000_s1026" o:spid="_x0000_s1026" o:spt="1" style="position:absolute;left:3429000;top:1613535;height:297180;width:1028700;" fillcolor="#FFFFFF" filled="t" stroked="f" coordsize="21600,21600" o:gfxdata="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fCq241QAAAAUBAAAPAAAAAAAAAAEAIAAAACIAAABkcnMvZG93bnJl&#10;di54bWxQSwECFAAUAAAACACHTuJA+DMvN8cBAAB6AwAADgAAAAAAAAABACAAAAAkAQAAZHJzL2Uy&#10;b0RvYy54bWxQSwUGAAAAAAYABgBZAQAAXQUAAAAA&#10;">
                        <v:fill on="t" focussize="0,0"/>
                        <v:stroke on="f"/>
                        <v:imagedata o:title=""/>
                        <o:lock v:ext="edit" aspectratio="f"/>
                        <v:textbox>
                          <w:txbxContent>
                            <w:p>
                              <w:r>
                                <w:rPr>
                                  <w:rFonts w:hint="eastAsia"/>
                                </w:rPr>
                                <w:t>W、Q、N 、S</w:t>
                              </w:r>
                            </w:p>
                          </w:txbxContent>
                        </v:textbox>
                      </v:rect>
                      <w10:wrap type="none"/>
                      <w10:anchorlock/>
                    </v:group>
                  </w:pict>
                </mc:Fallback>
              </mc:AlternateContent>
            </w:r>
          </w:p>
          <w:p>
            <w:pPr>
              <w:pageBreakBefore w:val="0"/>
              <w:kinsoku/>
              <w:bidi w:val="0"/>
              <w:spacing w:beforeAutospacing="0" w:afterAutospacing="0" w:line="360" w:lineRule="auto"/>
              <w:jc w:val="center"/>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图</w:t>
            </w: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2.8-2</w:t>
            </w:r>
            <w:r>
              <w:rPr>
                <w:rFonts w:hint="default" w:ascii="Times New Roman" w:hAnsi="Times New Roman" w:eastAsia="宋体" w:cs="Times New Roman"/>
                <w:b/>
                <w:color w:val="000000" w:themeColor="text1"/>
                <w:sz w:val="24"/>
                <w:szCs w:val="24"/>
                <w:highlight w:val="none"/>
                <w14:textFill>
                  <w14:solidFill>
                    <w14:schemeClr w14:val="tx1"/>
                  </w14:solidFill>
                </w14:textFill>
              </w:rPr>
              <w:t xml:space="preserve">  </w:t>
            </w: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搅拌</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生产</w:t>
            </w:r>
            <w:r>
              <w:rPr>
                <w:rFonts w:hint="default" w:ascii="Times New Roman" w:hAnsi="Times New Roman" w:eastAsia="宋体" w:cs="Times New Roman"/>
                <w:b/>
                <w:color w:val="000000" w:themeColor="text1"/>
                <w:sz w:val="24"/>
                <w:szCs w:val="24"/>
                <w:highlight w:val="none"/>
                <w14:textFill>
                  <w14:solidFill>
                    <w14:schemeClr w14:val="tx1"/>
                  </w14:solidFill>
                </w14:textFill>
              </w:rPr>
              <w:t>工艺流程图</w:t>
            </w:r>
          </w:p>
          <w:p>
            <w:pPr>
              <w:pStyle w:val="112"/>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jc w:val="both"/>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color w:val="000000" w:themeColor="text1"/>
                <w:kern w:val="2"/>
                <w:sz w:val="30"/>
                <w:szCs w:val="30"/>
                <w:highlight w:val="none"/>
                <w:lang w:val="en-US" w:eastAsia="zh-CN" w:bidi="ar-SA"/>
                <w14:textFill>
                  <w14:solidFill>
                    <w14:schemeClr w14:val="tx1"/>
                  </w14:solidFill>
                </w14:textFill>
              </w:rPr>
              <w:t>2.8.2</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码头建设</w:t>
            </w:r>
          </w:p>
          <w:p>
            <w:pPr>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预制沉箱、基槽挖泥及基床施工，护岸施工，陆域形成同步进行，互相协调以加快施工进度。其中基槽挖泥及抛石基床施工应分段施工，以避免产生基槽回淤，影响工程质量。</w:t>
            </w:r>
          </w:p>
          <w:p>
            <w:pPr>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本工程基槽开挖施工中可用6~13m</w:t>
            </w:r>
            <w:r>
              <w:rPr>
                <w:rFonts w:hint="default" w:ascii="Times New Roman" w:hAnsi="Times New Roman" w:eastAsia="宋体" w:cs="Times New Roman"/>
                <w:color w:val="000000" w:themeColor="text1"/>
                <w:kern w:val="0"/>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抓斗式挖泥船进行开挖，因本工程场地所限，所挖材料如淤泥、淤泥混砂、卵石等全部外抛。由于基槽施工是本工程的先行工序，施工时应投入足够的施工力量，在较短的时间内完成部分基槽，为抛石基床施工创造开工条件。本工程基础持力层为卵石岩层，无需炸礁。</w:t>
            </w:r>
          </w:p>
          <w:p>
            <w:pPr>
              <w:pageBreakBefore w:val="0"/>
              <w:kinsoku/>
              <w:bidi w:val="0"/>
              <w:spacing w:beforeAutospacing="0" w:afterAutospacing="0" w:line="360" w:lineRule="auto"/>
              <w:ind w:firstLine="480" w:firstLineChars="200"/>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码头主体工程是沉箱的预制、安装、现浇砼胸墙。本工程沉箱在附近的预制场预制，砼达到设计强度后方可采用200t起重船直接吊运安装。沉箱安装前应对基床进行检查，基床顶面不得有回淤物。沉箱就位后，应及时进行箱内回填中粗砂，以保证沉箱稳定。同时在沉箱四角设置沉降位移观测点，测量初始值，后续时间按规范规定时间进行沉降和位移观测</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现有1条道路通往本工程施工区，可以满足施工机械、车辆进出要求。生产区主要包括钢筋、模板车间、材料堆场、仓库、试验室等。考虑现场用地紧张，为便于现场管理，项目部办公设施布置在后方陆域(设计生活辅助区内)，为配合本工程施工，需新建项目经理部。</w:t>
            </w:r>
          </w:p>
          <w:p>
            <w:pPr>
              <w:pageBreakBefore w:val="0"/>
              <w:kinsoku/>
              <w:bidi w:val="0"/>
              <w:spacing w:beforeAutospacing="0" w:afterAutospacing="0" w:line="360" w:lineRule="auto"/>
              <w:ind w:firstLine="480" w:firstLineChars="200"/>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现场生活设施：为施工方便，在施工现场布置生活用房，供加班工人休息。</w:t>
            </w:r>
          </w:p>
          <w:p>
            <w:pPr>
              <w:pageBreakBefore w:val="0"/>
              <w:kinsoku/>
              <w:bidi w:val="0"/>
              <w:spacing w:beforeAutospacing="0" w:afterAutospacing="0" w:line="360" w:lineRule="auto"/>
              <w:ind w:firstLine="480" w:firstLineChars="200"/>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施工水域范围：西侧方向距码头端部50m，东侧方向距码头端部50m。靠海侧：从拟建码头前沿线往海侧100m。</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施工前应按相关部门的要求申请施工许可，取得海洋行政主管部门的同意后方可动工</w:t>
            </w:r>
            <w:r>
              <w:rPr>
                <w:rFonts w:hint="eastAsia" w:ascii="Times New Roman" w:hAnsi="Times New Roman" w:eastAsia="宋体"/>
                <w:color w:val="000000" w:themeColor="text1"/>
                <w:lang w:eastAsia="zh-CN"/>
                <w14:textFill>
                  <w14:solidFill>
                    <w14:schemeClr w14:val="tx1"/>
                  </w14:solidFill>
                </w14:textFill>
              </w:rPr>
              <w:t>。</w:t>
            </w:r>
          </w:p>
          <w:p>
            <w:pPr>
              <w:pageBreakBefore w:val="0"/>
              <w:kinsoku/>
              <w:bidi w:val="0"/>
              <w:spacing w:beforeAutospacing="0" w:afterAutospacing="0" w:line="360" w:lineRule="auto"/>
              <w:ind w:firstLine="480" w:firstLineChars="200"/>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指示标志：施工范围西北与东南向外侧设置航标，指示过往船舶注意安全，防止发生安全事故。</w:t>
            </w:r>
          </w:p>
          <w:p>
            <w:pPr>
              <w:pageBreakBefore w:val="0"/>
              <w:kinsoku/>
              <w:bidi w:val="0"/>
              <w:spacing w:beforeAutospacing="0" w:afterAutospacing="0" w:line="360" w:lineRule="auto"/>
              <w:ind w:firstLine="480" w:firstLineChars="200"/>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施工区布置2条相互垂直的基线，在两条基线上布置若干控制点，进行施工测量控制。</w:t>
            </w:r>
          </w:p>
          <w:p>
            <w:pPr>
              <w:pageBreakBefore w:val="0"/>
              <w:kinsoku/>
              <w:bidi w:val="0"/>
              <w:spacing w:beforeAutospacing="0" w:afterAutospacing="0" w:line="360" w:lineRule="auto"/>
              <w:ind w:firstLine="480" w:firstLineChars="200"/>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供电系统：施工现场用电由业主的临时用电接口位置接进场。为保证施工用电和防止停电，现场配备2台300kW备用发电机。</w:t>
            </w:r>
          </w:p>
          <w:p>
            <w:pPr>
              <w:pageBreakBefore w:val="0"/>
              <w:kinsoku/>
              <w:bidi w:val="0"/>
              <w:spacing w:beforeAutospacing="0" w:afterAutospacing="0" w:line="360" w:lineRule="auto"/>
              <w:ind w:firstLine="480" w:firstLineChars="200"/>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施工用水：本项目的施工用水、生活用水从业主提供的自来水接口接入。</w:t>
            </w:r>
          </w:p>
          <w:p>
            <w:pPr>
              <w:pageBreakBefore w:val="0"/>
              <w:kinsoku/>
              <w:bidi w:val="0"/>
              <w:spacing w:beforeAutospacing="0" w:afterAutospacing="0" w:line="360" w:lineRule="auto"/>
              <w:ind w:firstLine="480" w:firstLineChars="200"/>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通讯：对外通讯拟配置3部程控电话对外进行业务联系，项目部主要人员均配备手机。场内通讯根据生产调度需要配备若干台无线对讲机进行相互联系。</w:t>
            </w:r>
          </w:p>
          <w:p>
            <w:pPr>
              <w:pageBreakBefore w:val="0"/>
              <w:kinsoku/>
              <w:bidi w:val="0"/>
              <w:spacing w:beforeAutospacing="0" w:afterAutospacing="0" w:line="360" w:lineRule="auto"/>
              <w:ind w:firstLine="482" w:firstLineChars="200"/>
              <w:rPr>
                <w:rFonts w:hint="eastAsia"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施工平台、栈桥</w:t>
            </w:r>
          </w:p>
          <w:p>
            <w:pPr>
              <w:pageBreakBefore w:val="0"/>
              <w:kinsoku/>
              <w:bidi w:val="0"/>
              <w:spacing w:beforeAutospacing="0" w:afterAutospacing="0" w:line="360" w:lineRule="auto"/>
              <w:ind w:firstLine="480" w:firstLineChars="200"/>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施工栈桥桩基采用吊车配合液压振动锤施工插打钢管桩。吊机由岸上向水上 逐跨推进，吊机停放在已施工完好的栈桥桥面上，吊装导向支架，利用导向支架精确打入栈桥基础钢管桩。测量放样桩位与桩的垂直度满足要求后，开动振动锤插打钢管桩， 下沉过程中途不可有较长时间的停顿，以免造成沉桩困难。桩顶铺设好分配梁、贝雷梁及桥面板后，吊机前移，进行下一跨钢管桩插打。</w:t>
            </w:r>
          </w:p>
          <w:p>
            <w:pPr>
              <w:pageBreakBefore w:val="0"/>
              <w:kinsoku/>
              <w:bidi w:val="0"/>
              <w:spacing w:beforeAutospacing="0" w:afterAutospacing="0" w:line="360" w:lineRule="auto"/>
              <w:ind w:firstLine="480" w:firstLineChars="200"/>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附属结构包括桥面栏杆及照明、消防设施，架设限速标志等。主体结构施工完成后，用相反的工序拆除栈桥，恢复海域用地范围。钻孔灌注桩平台施工工艺与栈桥相同。栈桥施工流程见图2-8-3。</w:t>
            </w:r>
          </w:p>
          <w:p>
            <w:pPr>
              <w:pageBreakBefore w:val="0"/>
              <w:kinsoku/>
              <w:bidi w:val="0"/>
              <w:spacing w:beforeAutospacing="0" w:afterAutospacing="0" w:line="360" w:lineRule="auto"/>
              <w:ind w:firstLine="420" w:firstLineChars="200"/>
              <w:jc w:val="cente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drawing>
                <wp:inline distT="0" distB="0" distL="114300" distR="114300">
                  <wp:extent cx="3198495" cy="4039235"/>
                  <wp:effectExtent l="0" t="0" r="1905" b="18415"/>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7"/>
                          <a:stretch>
                            <a:fillRect/>
                          </a:stretch>
                        </pic:blipFill>
                        <pic:spPr>
                          <a:xfrm>
                            <a:off x="0" y="0"/>
                            <a:ext cx="3198495" cy="4039235"/>
                          </a:xfrm>
                          <a:prstGeom prst="rect">
                            <a:avLst/>
                          </a:prstGeom>
                          <a:noFill/>
                          <a:ln>
                            <a:noFill/>
                          </a:ln>
                        </pic:spPr>
                      </pic:pic>
                    </a:graphicData>
                  </a:graphic>
                </wp:inline>
              </w:drawing>
            </w:r>
          </w:p>
          <w:p>
            <w:pPr>
              <w:pageBreakBefore w:val="0"/>
              <w:kinsoku/>
              <w:bidi w:val="0"/>
              <w:spacing w:beforeAutospacing="0" w:afterAutospacing="0" w:line="360" w:lineRule="auto"/>
              <w:jc w:val="center"/>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图</w:t>
            </w: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2.8-3</w:t>
            </w:r>
            <w:r>
              <w:rPr>
                <w:rFonts w:hint="default" w:ascii="Times New Roman" w:hAnsi="Times New Roman" w:eastAsia="宋体"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施工流程图</w:t>
            </w:r>
          </w:p>
          <w:p>
            <w:pPr>
              <w:pageBreakBefore w:val="0"/>
              <w:kinsoku/>
              <w:bidi w:val="0"/>
              <w:spacing w:beforeAutospacing="0" w:afterAutospacing="0" w:line="360" w:lineRule="auto"/>
              <w:ind w:firstLine="482" w:firstLineChars="200"/>
              <w:rPr>
                <w:rFonts w:hint="eastAsia"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2、码头、引桥</w:t>
            </w:r>
          </w:p>
          <w:p>
            <w:pPr>
              <w:keepNext w:val="0"/>
              <w:keepLines w:val="0"/>
              <w:pageBreakBefore w:val="0"/>
              <w:widowControl w:val="0"/>
              <w:kinsoku/>
              <w:wordWrap/>
              <w:overflowPunct/>
              <w:autoSpaceDE/>
              <w:autoSpaceDN/>
              <w:bidi w:val="0"/>
              <w:adjustRightInd w:val="0"/>
              <w:spacing w:beforeAutospacing="0" w:afterAutospacing="0" w:line="360" w:lineRule="auto"/>
              <w:ind w:firstLine="480" w:firstLineChars="200"/>
              <w:jc w:val="both"/>
              <w:textAlignment w:val="baseline"/>
              <w:outlineLvl w:val="9"/>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高桩梁板式码头结构设计、施工经验成熟，本项目码头平台按常规施工方法进行。设计采用了大量预制构件，如预制纵梁、面板、预应力混凝土空心板等，可以更有效保证施工质量、加快施工进度。施工中需要配备浮吊、大型驳船。本项目的施工顺序可以采用先引桥、后码头，先水下、后水上的顺序进行施工。</w:t>
            </w:r>
          </w:p>
          <w:p>
            <w:pPr>
              <w:keepNext w:val="0"/>
              <w:keepLines w:val="0"/>
              <w:pageBreakBefore w:val="0"/>
              <w:widowControl w:val="0"/>
              <w:kinsoku/>
              <w:wordWrap/>
              <w:overflowPunct/>
              <w:autoSpaceDE/>
              <w:autoSpaceDN/>
              <w:bidi w:val="0"/>
              <w:adjustRightInd w:val="0"/>
              <w:spacing w:beforeAutospacing="0" w:afterAutospacing="0" w:line="360" w:lineRule="auto"/>
              <w:ind w:firstLine="480" w:firstLineChars="200"/>
              <w:jc w:val="both"/>
              <w:textAlignment w:val="baseline"/>
              <w:outlineLvl w:val="9"/>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码头平台：施工准备→灌注型嵌岩桩施工→夹围檩、安装消浪板及靠船构件、下层平台等预制→安装靠船构件、现浇下横梁→预制、吊运、安放预制纵向梁系→现浇部分上横梁→预制、吊运、安放面板→现浇叠合梁、板、面层→上部设施安装。码头平台施工工艺流程见图2-8-4。</w:t>
            </w:r>
          </w:p>
          <w:p>
            <w:pPr>
              <w:pageBreakBefore w:val="0"/>
              <w:kinsoku/>
              <w:bidi w:val="0"/>
              <w:spacing w:beforeAutospacing="0" w:afterAutospacing="0" w:line="360" w:lineRule="auto"/>
              <w:ind w:firstLine="420" w:firstLineChars="200"/>
              <w:jc w:val="cente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drawing>
                <wp:inline distT="0" distB="0" distL="114300" distR="114300">
                  <wp:extent cx="3590925" cy="5459730"/>
                  <wp:effectExtent l="0" t="0" r="9525" b="762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18"/>
                          <a:stretch>
                            <a:fillRect/>
                          </a:stretch>
                        </pic:blipFill>
                        <pic:spPr>
                          <a:xfrm>
                            <a:off x="0" y="0"/>
                            <a:ext cx="3590925" cy="5459730"/>
                          </a:xfrm>
                          <a:prstGeom prst="rect">
                            <a:avLst/>
                          </a:prstGeom>
                          <a:noFill/>
                          <a:ln>
                            <a:noFill/>
                          </a:ln>
                        </pic:spPr>
                      </pic:pic>
                    </a:graphicData>
                  </a:graphic>
                </wp:inline>
              </w:drawing>
            </w:r>
          </w:p>
          <w:p>
            <w:pPr>
              <w:pageBreakBefore w:val="0"/>
              <w:kinsoku/>
              <w:bidi w:val="0"/>
              <w:spacing w:beforeAutospacing="0" w:afterAutospacing="0" w:line="360" w:lineRule="auto"/>
              <w:jc w:val="center"/>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图</w:t>
            </w: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2.8-4</w:t>
            </w:r>
            <w:r>
              <w:rPr>
                <w:rFonts w:hint="default" w:ascii="Times New Roman" w:hAnsi="Times New Roman" w:eastAsia="宋体" w:cs="Times New Roman"/>
                <w:b/>
                <w:color w:val="000000" w:themeColor="text1"/>
                <w:sz w:val="24"/>
                <w:szCs w:val="24"/>
                <w:highlight w:val="none"/>
                <w14:textFill>
                  <w14:solidFill>
                    <w14:schemeClr w14:val="tx1"/>
                  </w14:solidFill>
                </w14:textFill>
              </w:rPr>
              <w:t xml:space="preserve">  </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码头平台施工流程图</w:t>
            </w:r>
          </w:p>
          <w:p>
            <w:pPr>
              <w:pageBreakBefore w:val="0"/>
              <w:kinsoku/>
              <w:bidi w:val="0"/>
              <w:spacing w:beforeAutospacing="0" w:afterAutospacing="0" w:line="360" w:lineRule="auto"/>
              <w:ind w:firstLine="482" w:firstLineChars="200"/>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（3）施工设备</w:t>
            </w:r>
          </w:p>
          <w:p>
            <w:pPr>
              <w:pageBreakBefore w:val="0"/>
              <w:kinsoku/>
              <w:bidi w:val="0"/>
              <w:spacing w:beforeAutospacing="0" w:afterAutospacing="0" w:line="360" w:lineRule="auto"/>
              <w:ind w:firstLine="480" w:firstLineChars="200"/>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项目施工机械设备配备见表2.8-2。</w:t>
            </w:r>
          </w:p>
          <w:p>
            <w:pPr>
              <w:pageBreakBefore w:val="0"/>
              <w:kinsoku/>
              <w:bidi w:val="0"/>
              <w:adjustRightInd w:val="0"/>
              <w:snapToGrid w:val="0"/>
              <w:spacing w:beforeAutospacing="0" w:afterAutospacing="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表</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2.8-2施工机械设备</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一览表</w:t>
            </w:r>
          </w:p>
          <w:tbl>
            <w:tblPr>
              <w:tblStyle w:val="128"/>
              <w:tblW w:w="8955" w:type="dxa"/>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884"/>
              <w:gridCol w:w="1763"/>
              <w:gridCol w:w="1616"/>
              <w:gridCol w:w="878"/>
              <w:gridCol w:w="3814"/>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2" w:hRule="atLeast"/>
              </w:trPr>
              <w:tc>
                <w:tcPr>
                  <w:tcW w:w="884"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序号</w:t>
                  </w:r>
                </w:p>
              </w:tc>
              <w:tc>
                <w:tcPr>
                  <w:tcW w:w="1763"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设备名称</w:t>
                  </w:r>
                </w:p>
              </w:tc>
              <w:tc>
                <w:tcPr>
                  <w:tcW w:w="1616"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规格型号</w:t>
                  </w:r>
                </w:p>
              </w:tc>
              <w:tc>
                <w:tcPr>
                  <w:tcW w:w="878"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数量</w:t>
                  </w:r>
                </w:p>
              </w:tc>
              <w:tc>
                <w:tcPr>
                  <w:tcW w:w="3814"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用途</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84"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w:t>
                  </w:r>
                </w:p>
              </w:tc>
              <w:tc>
                <w:tcPr>
                  <w:tcW w:w="1763"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履带吊</w:t>
                  </w:r>
                </w:p>
              </w:tc>
              <w:tc>
                <w:tcPr>
                  <w:tcW w:w="1616"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85吨</w:t>
                  </w:r>
                </w:p>
              </w:tc>
              <w:tc>
                <w:tcPr>
                  <w:tcW w:w="878"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w:t>
                  </w:r>
                </w:p>
              </w:tc>
              <w:tc>
                <w:tcPr>
                  <w:tcW w:w="3814"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钢管桩施工、上部结构施工</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84"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w:t>
                  </w:r>
                </w:p>
              </w:tc>
              <w:tc>
                <w:tcPr>
                  <w:tcW w:w="1763"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履带吊</w:t>
                  </w:r>
                </w:p>
              </w:tc>
              <w:tc>
                <w:tcPr>
                  <w:tcW w:w="1616"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50吨</w:t>
                  </w:r>
                </w:p>
              </w:tc>
              <w:tc>
                <w:tcPr>
                  <w:tcW w:w="878"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w:t>
                  </w:r>
                </w:p>
              </w:tc>
              <w:tc>
                <w:tcPr>
                  <w:tcW w:w="3814"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钢管桩施工、上部结构施工</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84"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3</w:t>
                  </w:r>
                </w:p>
              </w:tc>
              <w:tc>
                <w:tcPr>
                  <w:tcW w:w="1763"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冲击钻机</w:t>
                  </w:r>
                </w:p>
              </w:tc>
              <w:tc>
                <w:tcPr>
                  <w:tcW w:w="1616"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JKL-8型</w:t>
                  </w:r>
                </w:p>
              </w:tc>
              <w:tc>
                <w:tcPr>
                  <w:tcW w:w="878"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5</w:t>
                  </w:r>
                </w:p>
              </w:tc>
              <w:tc>
                <w:tcPr>
                  <w:tcW w:w="3814"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钢管桩施工</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84"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4</w:t>
                  </w:r>
                </w:p>
              </w:tc>
              <w:tc>
                <w:tcPr>
                  <w:tcW w:w="1763"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振动锤</w:t>
                  </w:r>
                </w:p>
              </w:tc>
              <w:tc>
                <w:tcPr>
                  <w:tcW w:w="1616"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DZ90</w:t>
                  </w:r>
                </w:p>
              </w:tc>
              <w:tc>
                <w:tcPr>
                  <w:tcW w:w="878"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w:t>
                  </w:r>
                </w:p>
              </w:tc>
              <w:tc>
                <w:tcPr>
                  <w:tcW w:w="3814"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钢管桩振沉、拆除</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84"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5</w:t>
                  </w:r>
                </w:p>
              </w:tc>
              <w:tc>
                <w:tcPr>
                  <w:tcW w:w="1763"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混凝土泵</w:t>
                  </w:r>
                </w:p>
              </w:tc>
              <w:tc>
                <w:tcPr>
                  <w:tcW w:w="1616"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80型</w:t>
                  </w:r>
                </w:p>
              </w:tc>
              <w:tc>
                <w:tcPr>
                  <w:tcW w:w="878"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w:t>
                  </w:r>
                </w:p>
              </w:tc>
              <w:tc>
                <w:tcPr>
                  <w:tcW w:w="3814"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钢管桩施工、上部结构施工</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84"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6</w:t>
                  </w:r>
                </w:p>
              </w:tc>
              <w:tc>
                <w:tcPr>
                  <w:tcW w:w="1763"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交流电焊机</w:t>
                  </w:r>
                </w:p>
              </w:tc>
              <w:tc>
                <w:tcPr>
                  <w:tcW w:w="1616"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BX-400</w:t>
                  </w:r>
                </w:p>
              </w:tc>
              <w:tc>
                <w:tcPr>
                  <w:tcW w:w="878"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6</w:t>
                  </w:r>
                </w:p>
              </w:tc>
              <w:tc>
                <w:tcPr>
                  <w:tcW w:w="3814"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构件加工</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884"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7</w:t>
                  </w:r>
                </w:p>
              </w:tc>
              <w:tc>
                <w:tcPr>
                  <w:tcW w:w="1763"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汽车吊</w:t>
                  </w:r>
                </w:p>
              </w:tc>
              <w:tc>
                <w:tcPr>
                  <w:tcW w:w="1616"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50吨</w:t>
                  </w:r>
                </w:p>
              </w:tc>
              <w:tc>
                <w:tcPr>
                  <w:tcW w:w="878"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w:t>
                  </w:r>
                </w:p>
              </w:tc>
              <w:tc>
                <w:tcPr>
                  <w:tcW w:w="3814"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后场加工、预拼</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84"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8</w:t>
                  </w:r>
                </w:p>
              </w:tc>
              <w:tc>
                <w:tcPr>
                  <w:tcW w:w="1763"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装载机</w:t>
                  </w:r>
                </w:p>
              </w:tc>
              <w:tc>
                <w:tcPr>
                  <w:tcW w:w="1616"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5吨</w:t>
                  </w:r>
                </w:p>
              </w:tc>
              <w:tc>
                <w:tcPr>
                  <w:tcW w:w="878"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w:t>
                  </w:r>
                </w:p>
              </w:tc>
              <w:tc>
                <w:tcPr>
                  <w:tcW w:w="3814"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材料装运</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84"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9</w:t>
                  </w:r>
                </w:p>
              </w:tc>
              <w:tc>
                <w:tcPr>
                  <w:tcW w:w="1763"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平板车</w:t>
                  </w:r>
                </w:p>
              </w:tc>
              <w:tc>
                <w:tcPr>
                  <w:tcW w:w="1616"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12米</w:t>
                  </w:r>
                </w:p>
              </w:tc>
              <w:tc>
                <w:tcPr>
                  <w:tcW w:w="878"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w:t>
                  </w:r>
                </w:p>
              </w:tc>
              <w:tc>
                <w:tcPr>
                  <w:tcW w:w="3814"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材料倒运</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77" w:hRule="atLeast"/>
              </w:trPr>
              <w:tc>
                <w:tcPr>
                  <w:tcW w:w="884"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10</w:t>
                  </w:r>
                </w:p>
              </w:tc>
              <w:tc>
                <w:tcPr>
                  <w:tcW w:w="1763"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手拉葫芦</w:t>
                  </w:r>
                </w:p>
              </w:tc>
              <w:tc>
                <w:tcPr>
                  <w:tcW w:w="1616"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5吨</w:t>
                  </w:r>
                </w:p>
              </w:tc>
              <w:tc>
                <w:tcPr>
                  <w:tcW w:w="878"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w:t>
                  </w:r>
                </w:p>
              </w:tc>
              <w:tc>
                <w:tcPr>
                  <w:tcW w:w="3814"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栈桥施工</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03" w:hRule="atLeast"/>
              </w:trPr>
              <w:tc>
                <w:tcPr>
                  <w:tcW w:w="884"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11</w:t>
                  </w:r>
                </w:p>
              </w:tc>
              <w:tc>
                <w:tcPr>
                  <w:tcW w:w="1763"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发电机组</w:t>
                  </w:r>
                </w:p>
              </w:tc>
              <w:tc>
                <w:tcPr>
                  <w:tcW w:w="1616"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300</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KW</w:t>
                  </w:r>
                </w:p>
              </w:tc>
              <w:tc>
                <w:tcPr>
                  <w:tcW w:w="878"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2</w:t>
                  </w:r>
                </w:p>
              </w:tc>
              <w:tc>
                <w:tcPr>
                  <w:tcW w:w="3814"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生产供电</w:t>
                  </w:r>
                </w:p>
              </w:tc>
            </w:tr>
          </w:tbl>
          <w:p>
            <w:pPr>
              <w:pStyle w:val="112"/>
              <w:keepNext w:val="0"/>
              <w:keepLines w:val="0"/>
              <w:pageBreakBefore w:val="0"/>
              <w:widowControl w:val="0"/>
              <w:numPr>
                <w:ilvl w:val="0"/>
                <w:numId w:val="3"/>
              </w:numPr>
              <w:kinsoku/>
              <w:wordWrap/>
              <w:overflowPunct/>
              <w:topLinePunct w:val="0"/>
              <w:autoSpaceDE/>
              <w:autoSpaceDN/>
              <w:bidi w:val="0"/>
              <w:adjustRightInd w:val="0"/>
              <w:snapToGrid w:val="0"/>
              <w:spacing w:beforeAutospacing="0" w:afterAutospacing="0" w:line="360" w:lineRule="auto"/>
              <w:ind w:left="0" w:firstLine="482" w:firstLineChars="200"/>
              <w:jc w:val="both"/>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土石方平衡</w:t>
            </w:r>
          </w:p>
          <w:p>
            <w:pPr>
              <w:keepNext w:val="0"/>
              <w:keepLines w:val="0"/>
              <w:pageBreakBefore w:val="0"/>
              <w:widowControl w:val="0"/>
              <w:kinsoku/>
              <w:wordWrap/>
              <w:overflowPunct/>
              <w:autoSpaceDE/>
              <w:autoSpaceDN/>
              <w:bidi w:val="0"/>
              <w:adjustRightInd w:val="0"/>
              <w:spacing w:beforeAutospacing="0" w:afterAutospacing="0" w:line="360" w:lineRule="auto"/>
              <w:ind w:firstLine="480" w:firstLineChars="200"/>
              <w:jc w:val="both"/>
              <w:textAlignment w:val="baseline"/>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陆域在原地面上铺设1m厚排水中粗砂垫层，而后施打塑料排水板，排水板按</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正方形</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布置，间距为1m，地基处理结束后，将陆域部分沿中间分为前半部和后半部两部分进行施工，先在陆域前半部回填开山石至标高4.42m，然后采用开山土石料4.0m厚进行堆载预压，分2次压载，第一次压载高度2m，第二次压载高度为2m，第一层压载天数为90天，第二层压载天数为90天，预压时间约200天。经计算沉降为1.0m，预压结束后，将卸载料作为陆域后半部的填料，卸载的标高定为4.5m。卸载后振动碾压法进行加固，采用40t振动压路机进行碾压处理，碾压8遍直至无轮迹为止，最后表层经补抛碾压整平至地基加固竣工标高4.42m；同样对陆域后半部亦是如此处理。土石方平衡表见表</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2.8-3</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p>
          <w:p>
            <w:pPr>
              <w:pageBreakBefore w:val="0"/>
              <w:kinsoku/>
              <w:bidi w:val="0"/>
              <w:adjustRightInd w:val="0"/>
              <w:snapToGrid w:val="0"/>
              <w:spacing w:beforeAutospacing="0" w:afterAutospacing="0"/>
              <w:jc w:val="cente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表</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2.8-3土石方平衡表 （单位：万m</w:t>
            </w:r>
            <w:r>
              <w:rPr>
                <w:rFonts w:hint="eastAsia" w:ascii="Times New Roman" w:hAnsi="Times New Roman" w:eastAsia="宋体" w:cs="Times New Roman"/>
                <w:b/>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w:t>
            </w:r>
          </w:p>
          <w:tbl>
            <w:tblPr>
              <w:tblStyle w:val="128"/>
              <w:tblW w:w="8955" w:type="dxa"/>
              <w:tblInd w:w="2"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372"/>
              <w:gridCol w:w="448"/>
              <w:gridCol w:w="846"/>
              <w:gridCol w:w="1915"/>
              <w:gridCol w:w="946"/>
              <w:gridCol w:w="790"/>
              <w:gridCol w:w="786"/>
              <w:gridCol w:w="790"/>
              <w:gridCol w:w="2062"/>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1127" w:hRule="atLeast"/>
              </w:trPr>
              <w:tc>
                <w:tcPr>
                  <w:tcW w:w="820" w:type="dxa"/>
                  <w:gridSpan w:val="2"/>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区号</w:t>
                  </w:r>
                </w:p>
              </w:tc>
              <w:tc>
                <w:tcPr>
                  <w:tcW w:w="84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面积</w:t>
                  </w:r>
                </w:p>
                <w:p>
                  <w:pPr>
                    <w:pageBreakBefore w:val="0"/>
                    <w:kinsoku/>
                    <w:bidi w:val="0"/>
                    <w:adjustRightInd w:val="0"/>
                    <w:snapToGrid w:val="0"/>
                    <w:spacing w:beforeAutospacing="0" w:afterAutospacing="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(m</w:t>
                  </w:r>
                  <w:r>
                    <w:rPr>
                      <w:rFonts w:hint="default" w:ascii="Times New Roman" w:hAnsi="Times New Roman" w:eastAsia="宋体" w:cs="Times New Roman"/>
                      <w:b w:val="0"/>
                      <w:bCs/>
                      <w:color w:val="000000" w:themeColor="text1"/>
                      <w:sz w:val="21"/>
                      <w:szCs w:val="21"/>
                      <w:highlight w:val="none"/>
                      <w:vertAlign w:val="superscript"/>
                      <w:lang w:eastAsia="zh-CN"/>
                      <w14:textFill>
                        <w14:solidFill>
                          <w14:schemeClr w14:val="tx1"/>
                        </w14:solidFill>
                      </w14:textFill>
                    </w:rPr>
                    <w:t>2</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w:t>
                  </w:r>
                </w:p>
              </w:tc>
              <w:tc>
                <w:tcPr>
                  <w:tcW w:w="191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地基处理方式</w:t>
                  </w:r>
                </w:p>
              </w:tc>
              <w:tc>
                <w:tcPr>
                  <w:tcW w:w="94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回填高程</w:t>
                  </w:r>
                </w:p>
                <w:p>
                  <w:pPr>
                    <w:pageBreakBefore w:val="0"/>
                    <w:kinsoku/>
                    <w:bidi w:val="0"/>
                    <w:adjustRightInd w:val="0"/>
                    <w:snapToGrid w:val="0"/>
                    <w:spacing w:beforeAutospacing="0" w:afterAutospacing="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至4.42m土方量(万m</w:t>
                  </w:r>
                  <w:r>
                    <w:rPr>
                      <w:rFonts w:hint="default" w:ascii="Times New Roman" w:hAnsi="Times New Roman" w:eastAsia="宋体" w:cs="Times New Roman"/>
                      <w:b w:val="0"/>
                      <w:bCs/>
                      <w:color w:val="000000" w:themeColor="text1"/>
                      <w:sz w:val="21"/>
                      <w:szCs w:val="21"/>
                      <w:highlight w:val="none"/>
                      <w:vertAlign w:val="superscript"/>
                      <w:lang w:eastAsia="zh-CN"/>
                      <w14:textFill>
                        <w14:solidFill>
                          <w14:schemeClr w14:val="tx1"/>
                        </w14:solidFill>
                      </w14:textFill>
                    </w:rPr>
                    <w:t>3</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w:t>
                  </w:r>
                </w:p>
              </w:tc>
              <w:tc>
                <w:tcPr>
                  <w:tcW w:w="79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堆载量(万m</w:t>
                  </w:r>
                  <w:r>
                    <w:rPr>
                      <w:rFonts w:hint="default" w:ascii="Times New Roman" w:hAnsi="Times New Roman" w:eastAsia="宋体" w:cs="Times New Roman"/>
                      <w:b w:val="0"/>
                      <w:bCs/>
                      <w:color w:val="000000" w:themeColor="text1"/>
                      <w:sz w:val="21"/>
                      <w:szCs w:val="21"/>
                      <w:highlight w:val="none"/>
                      <w:vertAlign w:val="superscript"/>
                      <w:lang w:eastAsia="zh-CN"/>
                      <w14:textFill>
                        <w14:solidFill>
                          <w14:schemeClr w14:val="tx1"/>
                        </w14:solidFill>
                      </w14:textFill>
                    </w:rPr>
                    <w:t>3</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w:t>
                  </w:r>
                </w:p>
              </w:tc>
              <w:tc>
                <w:tcPr>
                  <w:tcW w:w="78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沉降量(万m</w:t>
                  </w:r>
                  <w:r>
                    <w:rPr>
                      <w:rFonts w:hint="default" w:ascii="Times New Roman" w:hAnsi="Times New Roman" w:eastAsia="宋体" w:cs="Times New Roman"/>
                      <w:b w:val="0"/>
                      <w:bCs/>
                      <w:color w:val="000000" w:themeColor="text1"/>
                      <w:sz w:val="21"/>
                      <w:szCs w:val="21"/>
                      <w:highlight w:val="none"/>
                      <w:vertAlign w:val="superscript"/>
                      <w:lang w:eastAsia="zh-CN"/>
                      <w14:textFill>
                        <w14:solidFill>
                          <w14:schemeClr w14:val="tx1"/>
                        </w14:solidFill>
                      </w14:textFill>
                    </w:rPr>
                    <w:t>3</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w:t>
                  </w:r>
                </w:p>
              </w:tc>
              <w:tc>
                <w:tcPr>
                  <w:tcW w:w="79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卸料量(万m</w:t>
                  </w:r>
                  <w:r>
                    <w:rPr>
                      <w:rFonts w:hint="default" w:ascii="Times New Roman" w:hAnsi="Times New Roman" w:eastAsia="宋体" w:cs="Times New Roman"/>
                      <w:b w:val="0"/>
                      <w:bCs/>
                      <w:color w:val="000000" w:themeColor="text1"/>
                      <w:sz w:val="21"/>
                      <w:szCs w:val="21"/>
                      <w:highlight w:val="none"/>
                      <w:vertAlign w:val="superscript"/>
                      <w:lang w:eastAsia="zh-CN"/>
                      <w14:textFill>
                        <w14:solidFill>
                          <w14:schemeClr w14:val="tx1"/>
                        </w14:solidFill>
                      </w14:textFill>
                    </w:rPr>
                    <w:t>3</w:t>
                  </w: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w:t>
                  </w:r>
                </w:p>
              </w:tc>
              <w:tc>
                <w:tcPr>
                  <w:tcW w:w="2062"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lang w:eastAsia="zh-CN"/>
                      <w14:textFill>
                        <w14:solidFill>
                          <w14:schemeClr w14:val="tx1"/>
                        </w14:solidFill>
                      </w14:textFill>
                    </w:rPr>
                    <w:t>备注</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844" w:hRule="atLeast"/>
              </w:trPr>
              <w:tc>
                <w:tcPr>
                  <w:tcW w:w="372" w:type="dxa"/>
                  <w:vMerge w:val="restart"/>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A</w:t>
                  </w:r>
                </w:p>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区</w:t>
                  </w:r>
                </w:p>
              </w:tc>
              <w:tc>
                <w:tcPr>
                  <w:tcW w:w="448"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A1</w:t>
                  </w:r>
                </w:p>
              </w:tc>
              <w:tc>
                <w:tcPr>
                  <w:tcW w:w="84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81279</w:t>
                  </w:r>
                </w:p>
              </w:tc>
              <w:tc>
                <w:tcPr>
                  <w:tcW w:w="191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塑料排水板+堆载预压(开山土石)</w:t>
                  </w:r>
                </w:p>
              </w:tc>
              <w:tc>
                <w:tcPr>
                  <w:tcW w:w="94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36.58</w:t>
                  </w:r>
                </w:p>
              </w:tc>
              <w:tc>
                <w:tcPr>
                  <w:tcW w:w="79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32.51</w:t>
                  </w:r>
                </w:p>
              </w:tc>
              <w:tc>
                <w:tcPr>
                  <w:tcW w:w="78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8.53</w:t>
                  </w:r>
                </w:p>
              </w:tc>
              <w:tc>
                <w:tcPr>
                  <w:tcW w:w="79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23.98</w:t>
                  </w:r>
                </w:p>
              </w:tc>
              <w:tc>
                <w:tcPr>
                  <w:tcW w:w="2062"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卸料作为A2区的堆料和堆载料，卸载高程为4.42m</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65" w:hRule="atLeast"/>
              </w:trPr>
              <w:tc>
                <w:tcPr>
                  <w:tcW w:w="372" w:type="dxa"/>
                  <w:vMerge w:val="continue"/>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448"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A2</w:t>
                  </w:r>
                </w:p>
              </w:tc>
              <w:tc>
                <w:tcPr>
                  <w:tcW w:w="84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40073</w:t>
                  </w:r>
                </w:p>
              </w:tc>
              <w:tc>
                <w:tcPr>
                  <w:tcW w:w="191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塑料排水板+堆载预压(开山土石)</w:t>
                  </w:r>
                </w:p>
              </w:tc>
              <w:tc>
                <w:tcPr>
                  <w:tcW w:w="94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18.03</w:t>
                  </w:r>
                </w:p>
              </w:tc>
              <w:tc>
                <w:tcPr>
                  <w:tcW w:w="79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16.03</w:t>
                  </w:r>
                </w:p>
              </w:tc>
              <w:tc>
                <w:tcPr>
                  <w:tcW w:w="78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4.09</w:t>
                  </w:r>
                </w:p>
              </w:tc>
              <w:tc>
                <w:tcPr>
                  <w:tcW w:w="79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11.94</w:t>
                  </w:r>
                </w:p>
              </w:tc>
              <w:tc>
                <w:tcPr>
                  <w:tcW w:w="2062"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卸料作为B1区的填料</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372" w:type="dxa"/>
                  <w:vMerge w:val="continue"/>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448"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A3</w:t>
                  </w:r>
                </w:p>
              </w:tc>
              <w:tc>
                <w:tcPr>
                  <w:tcW w:w="84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33621</w:t>
                  </w:r>
                </w:p>
              </w:tc>
              <w:tc>
                <w:tcPr>
                  <w:tcW w:w="191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塑料排水板+堆载预压(开山土石)</w:t>
                  </w:r>
                </w:p>
              </w:tc>
              <w:tc>
                <w:tcPr>
                  <w:tcW w:w="94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13.78</w:t>
                  </w:r>
                </w:p>
              </w:tc>
              <w:tc>
                <w:tcPr>
                  <w:tcW w:w="79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13.45</w:t>
                  </w:r>
                </w:p>
              </w:tc>
              <w:tc>
                <w:tcPr>
                  <w:tcW w:w="78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3.03</w:t>
                  </w:r>
                </w:p>
              </w:tc>
              <w:tc>
                <w:tcPr>
                  <w:tcW w:w="79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10.42</w:t>
                  </w:r>
                </w:p>
              </w:tc>
              <w:tc>
                <w:tcPr>
                  <w:tcW w:w="2062"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卸料作为B2区的填料</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61" w:hRule="atLeast"/>
              </w:trPr>
              <w:tc>
                <w:tcPr>
                  <w:tcW w:w="372" w:type="dxa"/>
                  <w:vMerge w:val="restart"/>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B</w:t>
                  </w:r>
                </w:p>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区</w:t>
                  </w:r>
                </w:p>
              </w:tc>
              <w:tc>
                <w:tcPr>
                  <w:tcW w:w="448"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B1</w:t>
                  </w:r>
                </w:p>
              </w:tc>
              <w:tc>
                <w:tcPr>
                  <w:tcW w:w="84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36167</w:t>
                  </w:r>
                </w:p>
              </w:tc>
              <w:tc>
                <w:tcPr>
                  <w:tcW w:w="191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回填开山土石+分层碾压</w:t>
                  </w:r>
                </w:p>
              </w:tc>
              <w:tc>
                <w:tcPr>
                  <w:tcW w:w="94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10.13</w:t>
                  </w:r>
                </w:p>
              </w:tc>
              <w:tc>
                <w:tcPr>
                  <w:tcW w:w="79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p>
              </w:tc>
              <w:tc>
                <w:tcPr>
                  <w:tcW w:w="78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p>
              </w:tc>
              <w:tc>
                <w:tcPr>
                  <w:tcW w:w="79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p>
              </w:tc>
              <w:tc>
                <w:tcPr>
                  <w:tcW w:w="2062"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66" w:hRule="atLeast"/>
              </w:trPr>
              <w:tc>
                <w:tcPr>
                  <w:tcW w:w="372" w:type="dxa"/>
                  <w:vMerge w:val="continue"/>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448"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B2</w:t>
                  </w:r>
                </w:p>
              </w:tc>
              <w:tc>
                <w:tcPr>
                  <w:tcW w:w="84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24768</w:t>
                  </w:r>
                </w:p>
              </w:tc>
              <w:tc>
                <w:tcPr>
                  <w:tcW w:w="191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回填开山土石+分层碾压</w:t>
                  </w:r>
                </w:p>
              </w:tc>
              <w:tc>
                <w:tcPr>
                  <w:tcW w:w="94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6.94</w:t>
                  </w:r>
                </w:p>
              </w:tc>
              <w:tc>
                <w:tcPr>
                  <w:tcW w:w="79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p>
              </w:tc>
              <w:tc>
                <w:tcPr>
                  <w:tcW w:w="78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p>
              </w:tc>
              <w:tc>
                <w:tcPr>
                  <w:tcW w:w="79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p>
              </w:tc>
              <w:tc>
                <w:tcPr>
                  <w:tcW w:w="2062"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89" w:hRule="atLeast"/>
              </w:trPr>
              <w:tc>
                <w:tcPr>
                  <w:tcW w:w="820" w:type="dxa"/>
                  <w:gridSpan w:val="2"/>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C区</w:t>
                  </w:r>
                </w:p>
              </w:tc>
              <w:tc>
                <w:tcPr>
                  <w:tcW w:w="84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78138</w:t>
                  </w:r>
                </w:p>
              </w:tc>
              <w:tc>
                <w:tcPr>
                  <w:tcW w:w="191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地基不处理</w:t>
                  </w:r>
                </w:p>
              </w:tc>
              <w:tc>
                <w:tcPr>
                  <w:tcW w:w="94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p>
              </w:tc>
              <w:tc>
                <w:tcPr>
                  <w:tcW w:w="79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p>
              </w:tc>
              <w:tc>
                <w:tcPr>
                  <w:tcW w:w="78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p>
              </w:tc>
              <w:tc>
                <w:tcPr>
                  <w:tcW w:w="79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p>
              </w:tc>
              <w:tc>
                <w:tcPr>
                  <w:tcW w:w="2062" w:type="dxa"/>
                  <w:vMerge w:val="restart"/>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开采的土石方量约162万方(</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其中</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表</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土方约占15%)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484" w:hRule="atLeast"/>
              </w:trPr>
              <w:tc>
                <w:tcPr>
                  <w:tcW w:w="820" w:type="dxa"/>
                  <w:gridSpan w:val="2"/>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D区</w:t>
                  </w:r>
                </w:p>
              </w:tc>
              <w:tc>
                <w:tcPr>
                  <w:tcW w:w="84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35453</w:t>
                  </w:r>
                </w:p>
              </w:tc>
              <w:tc>
                <w:tcPr>
                  <w:tcW w:w="1915"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地基不处理</w:t>
                  </w:r>
                </w:p>
              </w:tc>
              <w:tc>
                <w:tcPr>
                  <w:tcW w:w="94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p>
              </w:tc>
              <w:tc>
                <w:tcPr>
                  <w:tcW w:w="79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p>
              </w:tc>
              <w:tc>
                <w:tcPr>
                  <w:tcW w:w="78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p>
              </w:tc>
              <w:tc>
                <w:tcPr>
                  <w:tcW w:w="790"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w:t>
                  </w:r>
                </w:p>
              </w:tc>
              <w:tc>
                <w:tcPr>
                  <w:tcW w:w="2062" w:type="dxa"/>
                  <w:vMerge w:val="continue"/>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20" w:type="dxa"/>
                  <w:gridSpan w:val="2"/>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合计</w:t>
                  </w:r>
                </w:p>
              </w:tc>
              <w:tc>
                <w:tcPr>
                  <w:tcW w:w="846" w:type="dxa"/>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329148</w:t>
                  </w:r>
                </w:p>
              </w:tc>
              <w:tc>
                <w:tcPr>
                  <w:tcW w:w="7289" w:type="dxa"/>
                  <w:gridSpan w:val="6"/>
                  <w:tcBorders>
                    <w:tl2br w:val="nil"/>
                    <w:tr2bl w:val="nil"/>
                  </w:tcBorders>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陆域可开采土石方量约162万方，</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其中表土量（山皮土方）为24.3万方，</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回填需要开山土石101.11万方，</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可加工量为60.89万方（约为</w:t>
                  </w:r>
                  <w:r>
                    <w:rPr>
                      <w:rFonts w:hint="eastAsia" w:ascii="Times New Roman" w:hAnsi="Times New Roman" w:eastAsia="宋体" w:cs="Times New Roman"/>
                      <w:color w:val="000000" w:themeColor="text1"/>
                      <w:spacing w:val="-7"/>
                      <w:sz w:val="21"/>
                      <w:szCs w:val="21"/>
                      <w:highlight w:val="none"/>
                      <w:lang w:val="en-US" w:eastAsia="zh-CN"/>
                      <w14:textFill>
                        <w14:solidFill>
                          <w14:schemeClr w14:val="tx1"/>
                        </w14:solidFill>
                      </w14:textFill>
                    </w:rPr>
                    <w:t>164.5万吨</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多余部分可用于驳岸处理和码头平台回填。</w:t>
                  </w:r>
                </w:p>
              </w:tc>
            </w:tr>
          </w:tbl>
          <w:p>
            <w:pPr>
              <w:pageBreakBefore w:val="0"/>
              <w:kinsoku/>
              <w:bidi w:val="0"/>
              <w:spacing w:beforeAutospacing="0" w:afterAutospacing="0" w:line="360" w:lineRule="auto"/>
              <w:ind w:firstLine="480" w:firstLineChars="200"/>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p>
          <w:p>
            <w:pPr>
              <w:pageBreakBefore w:val="0"/>
              <w:kinsoku/>
              <w:bidi w:val="0"/>
              <w:spacing w:beforeAutospacing="0" w:afterAutospacing="0" w:line="360" w:lineRule="auto"/>
              <w:ind w:firstLine="480" w:firstLineChars="200"/>
              <w:rPr>
                <w:rFonts w:hint="default" w:ascii="Times New Roman" w:hAnsi="Times New Roman" w:eastAsia="宋体" w:cs="Times New Roman"/>
                <w:b w:val="0"/>
                <w:bCs/>
                <w:color w:val="000000" w:themeColor="text1"/>
                <w:kern w:val="2"/>
                <w:sz w:val="24"/>
                <w:szCs w:val="24"/>
                <w:highlight w:val="none"/>
                <w:lang w:val="en-US" w:eastAsia="zh-CN" w:bidi="ar-SA"/>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3" w:type="dxa"/>
            <w:vAlign w:val="center"/>
          </w:tcPr>
          <w:p>
            <w:pPr>
              <w:pageBreakBefore w:val="0"/>
              <w:kinsoku/>
              <w:bidi w:val="0"/>
              <w:adjustRightInd w:val="0"/>
              <w:snapToGrid w:val="0"/>
              <w:spacing w:beforeAutospacing="0" w:afterAutospacing="0"/>
              <w:jc w:val="center"/>
              <w:rPr>
                <w:rFonts w:ascii="Times New Roman" w:hAnsi="Times New Roman" w:eastAsia="宋体" w:cs="宋体"/>
                <w:color w:val="000000" w:themeColor="text1"/>
                <w:kern w:val="0"/>
                <w:sz w:val="24"/>
                <w:szCs w:val="24"/>
                <w:highlight w:val="none"/>
                <w14:textFill>
                  <w14:solidFill>
                    <w14:schemeClr w14:val="tx1"/>
                  </w14:solidFill>
                </w14:textFill>
              </w:rPr>
            </w:pPr>
            <w:r>
              <w:rPr>
                <w:rFonts w:hint="eastAsia" w:ascii="Times New Roman" w:hAnsi="Times New Roman" w:eastAsia="宋体" w:cs="宋体"/>
                <w:color w:val="000000" w:themeColor="text1"/>
                <w:kern w:val="0"/>
                <w:sz w:val="24"/>
                <w:szCs w:val="24"/>
                <w:highlight w:val="none"/>
                <w14:textFill>
                  <w14:solidFill>
                    <w14:schemeClr w14:val="tx1"/>
                  </w14:solidFill>
                </w14:textFill>
              </w:rPr>
              <w:t>其他</w:t>
            </w:r>
          </w:p>
        </w:tc>
        <w:tc>
          <w:tcPr>
            <w:tcW w:w="9175" w:type="dxa"/>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jc w:val="both"/>
              <w:textAlignment w:val="auto"/>
              <w:rPr>
                <w:rFonts w:hint="default" w:ascii="Times New Roman" w:hAnsi="Times New Roman" w:eastAsia="宋体" w:cs="Times New Roman"/>
                <w:b/>
                <w:bCs/>
                <w:color w:val="000000" w:themeColor="text1"/>
                <w:kern w:val="0"/>
                <w:sz w:val="24"/>
                <w:szCs w:val="24"/>
                <w:vertAlign w:val="baseline"/>
                <w:lang w:val="en-US" w:eastAsia="zh-CN"/>
                <w14:textFill>
                  <w14:solidFill>
                    <w14:schemeClr w14:val="tx1"/>
                  </w14:solidFill>
                </w14:textFill>
              </w:rPr>
            </w:pPr>
            <w:r>
              <w:rPr>
                <w:rFonts w:hint="default" w:ascii="Times New Roman" w:hAnsi="Times New Roman" w:eastAsia="宋体" w:cs="Times New Roman"/>
                <w:b/>
                <w:bCs/>
                <w:color w:val="000000" w:themeColor="text1"/>
                <w:kern w:val="0"/>
                <w:sz w:val="24"/>
                <w:szCs w:val="24"/>
                <w:vertAlign w:val="baseline"/>
                <w:lang w:val="en-US" w:eastAsia="zh-CN"/>
                <w14:textFill>
                  <w14:solidFill>
                    <w14:schemeClr w14:val="tx1"/>
                  </w14:solidFill>
                </w14:textFill>
              </w:rPr>
              <w:t>1、总平面布置方案比选</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color w:val="000000" w:themeColor="text1"/>
                <w:kern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14:textFill>
                  <w14:solidFill>
                    <w14:schemeClr w14:val="tx1"/>
                  </w14:solidFill>
                </w14:textFill>
              </w:rPr>
              <w:t>（1）总平面布置方案一</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color w:val="000000" w:themeColor="text1"/>
                <w:kern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14:textFill>
                  <w14:solidFill>
                    <w14:schemeClr w14:val="tx1"/>
                  </w14:solidFill>
                </w14:textFill>
              </w:rPr>
              <w:t>总平面布置方案一详见本报告表</w:t>
            </w:r>
            <w:r>
              <w:rPr>
                <w:rFonts w:hint="eastAsia" w:ascii="Times New Roman" w:hAnsi="Times New Roman" w:eastAsia="宋体" w:cs="Times New Roman"/>
                <w:color w:val="000000" w:themeColor="text1"/>
                <w:kern w:val="0"/>
                <w:sz w:val="24"/>
                <w:szCs w:val="24"/>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vertAlign w:val="baseline"/>
                <w:lang w:val="en-US" w:eastAsia="zh-CN"/>
                <w14:textFill>
                  <w14:solidFill>
                    <w14:schemeClr w14:val="tx1"/>
                  </w14:solidFill>
                </w14:textFill>
              </w:rPr>
              <w:t>总平面布置</w:t>
            </w:r>
            <w:r>
              <w:rPr>
                <w:rFonts w:hint="eastAsia" w:ascii="Times New Roman" w:hAnsi="Times New Roman" w:eastAsia="宋体" w:cs="Times New Roman"/>
                <w:color w:val="000000" w:themeColor="text1"/>
                <w:kern w:val="0"/>
                <w:sz w:val="24"/>
                <w:szCs w:val="24"/>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vertAlign w:val="baseline"/>
                <w:lang w:val="en-US" w:eastAsia="zh-CN"/>
                <w14:textFill>
                  <w14:solidFill>
                    <w14:schemeClr w14:val="tx1"/>
                  </w14:solidFill>
                </w14:textFill>
              </w:rPr>
              <w:t>小节</w:t>
            </w:r>
            <w:r>
              <w:rPr>
                <w:rFonts w:hint="eastAsia" w:ascii="Times New Roman" w:hAnsi="Times New Roman" w:eastAsia="宋体" w:cs="Times New Roman"/>
                <w:color w:val="000000" w:themeColor="text1"/>
                <w:kern w:val="0"/>
                <w:sz w:val="24"/>
                <w:szCs w:val="24"/>
                <w:vertAlign w:val="baseline"/>
                <w:lang w:val="en-US" w:eastAsia="zh-CN"/>
                <w14:textFill>
                  <w14:solidFill>
                    <w14:schemeClr w14:val="tx1"/>
                  </w14:solidFill>
                </w14:textFill>
              </w:rPr>
              <w:t>和附图6。</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color w:val="000000" w:themeColor="text1"/>
                <w:kern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14:textFill>
                  <w14:solidFill>
                    <w14:schemeClr w14:val="tx1"/>
                  </w14:solidFill>
                </w14:textFill>
              </w:rPr>
              <w:t>（2）总平面布置方案二</w:t>
            </w:r>
          </w:p>
          <w:p>
            <w:pPr>
              <w:keepNext w:val="0"/>
              <w:keepLines w:val="0"/>
              <w:pageBreakBefore w:val="0"/>
              <w:widowControl w:val="0"/>
              <w:kinsoku/>
              <w:wordWrap/>
              <w:overflowPunct/>
              <w:autoSpaceDE/>
              <w:autoSpaceDN/>
              <w:bidi w:val="0"/>
              <w:adjustRightInd w:val="0"/>
              <w:spacing w:beforeAutospacing="0" w:afterAutospacing="0" w:line="360" w:lineRule="auto"/>
              <w:ind w:firstLine="480" w:firstLineChars="200"/>
              <w:jc w:val="both"/>
              <w:textAlignment w:val="baseline"/>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两座码头采用顺岸栈桥式布置，通过栈桥与后方陆域连接，共布置5个3000吨级泊位，其中1#、2#泊位位于港区上游，主要进行散货装卸作业，码头前沿线布置在-10.0~-12.0m水深处；3#、4#、5#泊位位于港区下游，主要进行件杂货装卸作业，码头前沿线布置在-12m左右水深处。码头前沿线距主航道边线约160m。码头面高程均为5.0m，码头前沿底标高-10.1m。三个泊位总长644m，其中1-2#泊位长260m，3-5#泊位总长384m，码头平台宽均为22m，面高程均为5.0m。</w:t>
            </w:r>
          </w:p>
          <w:p>
            <w:pPr>
              <w:keepNext w:val="0"/>
              <w:keepLines w:val="0"/>
              <w:pageBreakBefore w:val="0"/>
              <w:widowControl w:val="0"/>
              <w:kinsoku/>
              <w:wordWrap/>
              <w:overflowPunct/>
              <w:autoSpaceDE/>
              <w:autoSpaceDN/>
              <w:bidi w:val="0"/>
              <w:adjustRightInd w:val="0"/>
              <w:spacing w:beforeAutospacing="0" w:afterAutospacing="0" w:line="360" w:lineRule="auto"/>
              <w:ind w:firstLine="480" w:firstLineChars="200"/>
              <w:jc w:val="both"/>
              <w:textAlignment w:val="baseline"/>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1#、2#泊位与陆域通过三座栈桥连接，栈桥长50m；3-5#泊位与陆域通过四座栈桥连接，栈桥长40m。七座栈桥宽均为8m，面高程均为5.0m。</w:t>
            </w:r>
          </w:p>
          <w:p>
            <w:pPr>
              <w:keepNext w:val="0"/>
              <w:keepLines w:val="0"/>
              <w:pageBreakBefore w:val="0"/>
              <w:widowControl w:val="0"/>
              <w:kinsoku/>
              <w:wordWrap/>
              <w:overflowPunct/>
              <w:autoSpaceDE/>
              <w:autoSpaceDN/>
              <w:bidi w:val="0"/>
              <w:adjustRightInd w:val="0"/>
              <w:spacing w:beforeAutospacing="0" w:afterAutospacing="0" w:line="360" w:lineRule="auto"/>
              <w:ind w:firstLine="480" w:firstLineChars="200"/>
              <w:jc w:val="both"/>
              <w:textAlignment w:val="baseline"/>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由于本工程后方山势高峻、纵深严重不足，陆域布置在码头正后方和东南侧，码头正后方的陆域布置有4个散货堆场(面积34010m</w:t>
            </w:r>
            <w:r>
              <w:rPr>
                <w:rFonts w:hint="default" w:ascii="Times New Roman" w:hAnsi="Times New Roman" w:eastAsia="宋体" w:cs="Times New Roman"/>
                <w:b w:val="0"/>
                <w:bCs/>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)、4个件杂货堆场(面积24180m</w:t>
            </w:r>
            <w:r>
              <w:rPr>
                <w:rFonts w:hint="default" w:ascii="Times New Roman" w:hAnsi="Times New Roman" w:eastAsia="宋体" w:cs="Times New Roman"/>
                <w:b w:val="0"/>
                <w:bCs/>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)、3个综合仓库(面积12528m</w:t>
            </w:r>
            <w:r>
              <w:rPr>
                <w:rFonts w:hint="default" w:ascii="Times New Roman" w:hAnsi="Times New Roman" w:eastAsia="宋体" w:cs="Times New Roman"/>
                <w:b w:val="0"/>
                <w:bCs/>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)，东南侧陆域布置和生产、生活辅助区同方案一。</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color w:val="000000" w:themeColor="text1"/>
                <w:kern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14:textFill>
                  <w14:solidFill>
                    <w14:schemeClr w14:val="tx1"/>
                  </w14:solidFill>
                </w14:textFill>
              </w:rPr>
              <w:t>（3）推荐方案</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color w:val="000000" w:themeColor="text1"/>
                <w:kern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14:textFill>
                  <w14:solidFill>
                    <w14:schemeClr w14:val="tx1"/>
                  </w14:solidFill>
                </w14:textFill>
              </w:rPr>
              <w:t>结构方案一采用重力式沉箱结构，结构方案二采用灌注桩基础的高桩梁板结构。考虑重力式结构承载力高，整体性较好，施工速度较快。综合考虑经济技术因素，推荐结构方案一。</w:t>
            </w:r>
          </w:p>
          <w:p>
            <w:pPr>
              <w:pageBreakBefore w:val="0"/>
              <w:kinsoku/>
              <w:bidi w:val="0"/>
              <w:adjustRightInd w:val="0"/>
              <w:snapToGrid w:val="0"/>
              <w:spacing w:beforeAutospacing="0" w:afterAutospacing="0"/>
              <w:jc w:val="center"/>
              <w:rPr>
                <w:rFonts w:hint="eastAsia" w:ascii="Times New Roman" w:hAnsi="Times New Roman" w:eastAsia="宋体" w:cs="宋体"/>
                <w:color w:val="000000" w:themeColor="text1"/>
                <w:kern w:val="0"/>
                <w:sz w:val="24"/>
                <w:szCs w:val="24"/>
                <w:highlight w:val="none"/>
                <w:lang w:val="en-US" w:eastAsia="zh-CN"/>
                <w14:textFill>
                  <w14:solidFill>
                    <w14:schemeClr w14:val="tx1"/>
                  </w14:solidFill>
                </w14:textFill>
              </w:rPr>
            </w:pPr>
          </w:p>
        </w:tc>
      </w:tr>
    </w:tbl>
    <w:p>
      <w:pPr>
        <w:pStyle w:val="30"/>
        <w:pageBreakBefore w:val="0"/>
        <w:kinsoku/>
        <w:bidi w:val="0"/>
        <w:spacing w:before="0" w:beforeAutospacing="0" w:after="0" w:afterAutospacing="0"/>
        <w:jc w:val="center"/>
        <w:rPr>
          <w:rFonts w:hint="default" w:ascii="Times New Roman" w:hAnsi="Times New Roman" w:eastAsia="宋体" w:cs="Times New Roman"/>
          <w:snapToGrid w:val="0"/>
          <w:color w:val="000000" w:themeColor="text1"/>
          <w:sz w:val="36"/>
          <w:szCs w:val="36"/>
          <w:highlight w:val="none"/>
          <w14:textFill>
            <w14:solidFill>
              <w14:schemeClr w14:val="tx1"/>
            </w14:solidFill>
          </w14:textFill>
        </w:rPr>
        <w:sectPr>
          <w:pgSz w:w="11906" w:h="16838"/>
          <w:pgMar w:top="1247" w:right="1247" w:bottom="1304" w:left="1247"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0"/>
        <w:pageBreakBefore w:val="0"/>
        <w:kinsoku/>
        <w:bidi w:val="0"/>
        <w:adjustRightInd w:val="0"/>
        <w:snapToGrid w:val="0"/>
        <w:spacing w:before="0" w:beforeAutospacing="0" w:after="0" w:afterAutospacing="0" w:line="14" w:lineRule="auto"/>
        <w:jc w:val="center"/>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pPr>
    </w:p>
    <w:p>
      <w:pPr>
        <w:pStyle w:val="30"/>
        <w:pageBreakBefore w:val="0"/>
        <w:kinsoku/>
        <w:bidi w:val="0"/>
        <w:spacing w:before="0" w:beforeAutospacing="0" w:after="0" w:afterAutospacing="0"/>
        <w:jc w:val="center"/>
        <w:outlineLvl w:val="0"/>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pPr>
      <w:bookmarkStart w:id="13" w:name="_Toc24761"/>
      <w:r>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t>三、生态环境现状、保护目标及评价标准</w:t>
      </w:r>
      <w:bookmarkEnd w:id="13"/>
    </w:p>
    <w:tbl>
      <w:tblPr>
        <w:tblStyle w:val="33"/>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15"/>
        <w:gridCol w:w="86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64" w:hRule="atLeast"/>
          <w:jc w:val="center"/>
        </w:trPr>
        <w:tc>
          <w:tcPr>
            <w:tcW w:w="415"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生态环境现状</w:t>
            </w:r>
          </w:p>
        </w:tc>
        <w:tc>
          <w:tcPr>
            <w:tcW w:w="8646" w:type="dxa"/>
            <w:vAlign w:val="top"/>
          </w:tcPr>
          <w:p>
            <w:pPr>
              <w:pStyle w:val="11"/>
              <w:pageBreakBefore w:val="0"/>
              <w:kinsoku/>
              <w:bidi w:val="0"/>
              <w:spacing w:beforeAutospacing="0" w:afterAutospacing="0"/>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32"/>
                <w:szCs w:val="32"/>
                <w:highlight w:val="none"/>
                <w:lang w:val="en-US" w:eastAsia="zh-CN"/>
                <w14:textFill>
                  <w14:solidFill>
                    <w14:schemeClr w14:val="tx1"/>
                  </w14:solidFill>
                </w14:textFill>
              </w:rPr>
              <w:t>3.1生态环境现状</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color w:val="000000" w:themeColor="text1"/>
                <w:kern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14:textFill>
                  <w14:solidFill>
                    <w14:schemeClr w14:val="tx1"/>
                  </w14:solidFill>
                </w14:textFill>
              </w:rPr>
              <w:t>（1）主体功能区划</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color w:val="000000" w:themeColor="text1"/>
                <w:kern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14:textFill>
                  <w14:solidFill>
                    <w14:schemeClr w14:val="tx1"/>
                  </w14:solidFill>
                </w14:textFill>
              </w:rPr>
              <w:t>本工程位于宁德市</w:t>
            </w:r>
            <w:r>
              <w:rPr>
                <w:rFonts w:hint="eastAsia" w:ascii="Times New Roman" w:hAnsi="Times New Roman" w:eastAsia="宋体" w:cs="Times New Roman"/>
                <w:color w:val="000000" w:themeColor="text1"/>
                <w:kern w:val="0"/>
                <w:sz w:val="24"/>
                <w:szCs w:val="24"/>
                <w:vertAlign w:val="baseline"/>
                <w:lang w:val="en-US" w:eastAsia="zh-CN"/>
                <w14:textFill>
                  <w14:solidFill>
                    <w14:schemeClr w14:val="tx1"/>
                  </w14:solidFill>
                </w14:textFill>
              </w:rPr>
              <w:t>福鼎市</w:t>
            </w:r>
            <w:r>
              <w:rPr>
                <w:rFonts w:hint="default" w:ascii="Times New Roman" w:hAnsi="Times New Roman" w:eastAsia="宋体" w:cs="Times New Roman"/>
                <w:color w:val="000000" w:themeColor="text1"/>
                <w:kern w:val="0"/>
                <w:sz w:val="24"/>
                <w:szCs w:val="24"/>
                <w:vertAlign w:val="baseline"/>
                <w:lang w:val="en-US" w:eastAsia="zh-CN"/>
                <w14:textFill>
                  <w14:solidFill>
                    <w14:schemeClr w14:val="tx1"/>
                  </w14:solidFill>
                </w14:textFill>
              </w:rPr>
              <w:t>，根据《福建省人民政府关于印发福建省主体功能区规划的通知》闽政[2012]61号，主体功能区类型为重点开发区域，其功能定位是：重点开发区域要在优化结构、提高效益、降低消耗、保护环境的基础上推动经济可持续发展，成为支撑未来全省经济持续增长的重要增长极； 提高创新能力和集聚产业能力，承接国际及优化开发区域产业转移，形成分工协作现代产业体系；加快推进城镇化，壮大城市综合实力，改善人居环境， 提高集聚人口的能力，成为全省重要的人口和经济密集区；发挥区位优势， 加强国际通道和口岸建设，形成对外开放新的窗口和战略空间。</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color w:val="000000" w:themeColor="text1"/>
                <w:kern w:val="0"/>
                <w:sz w:val="24"/>
                <w:szCs w:val="24"/>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14:textFill>
                  <w14:solidFill>
                    <w14:schemeClr w14:val="tx1"/>
                  </w14:solidFill>
                </w14:textFill>
              </w:rPr>
              <w:t>（2）生态功能区划</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vertAlign w:val="baseline"/>
                <w:lang w:val="en-US" w:eastAsia="zh-CN"/>
                <w14:textFill>
                  <w14:solidFill>
                    <w14:schemeClr w14:val="tx1"/>
                  </w14:solidFill>
                </w14:textFill>
              </w:rPr>
              <w:t>根据《福建省生态功能区划》，项目所在区域属Ⅰ闽东闽中和闽北闽西生态区中的闽东沿海海岸带与近岸海域生态亚区。</w:t>
            </w:r>
          </w:p>
          <w:p>
            <w:pPr>
              <w:pStyle w:val="10"/>
              <w:keepNext/>
              <w:keepLines w:val="0"/>
              <w:pageBreakBefore w:val="0"/>
              <w:widowControl w:val="0"/>
              <w:kinsoku/>
              <w:wordWrap/>
              <w:overflowPunct w:val="0"/>
              <w:topLinePunct w:val="0"/>
              <w:autoSpaceDE/>
              <w:autoSpaceDN/>
              <w:bidi w:val="0"/>
              <w:adjustRightInd/>
              <w:snapToGrid w:val="0"/>
              <w:spacing w:before="0" w:beforeAutospacing="0" w:after="0" w:afterAutospacing="0" w:line="360" w:lineRule="auto"/>
              <w:ind w:left="429" w:leftChars="200" w:hanging="9" w:hangingChars="4"/>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bookmarkStart w:id="14" w:name="_Toc22467"/>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、海洋水环境</w:t>
            </w:r>
            <w:bookmarkEnd w:id="14"/>
          </w:p>
          <w:p>
            <w:pPr>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根据《福建省近岸海域环境功能区划（修编）（2011-2020年）》，本</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位于沙埕港南岸四类区</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FJ005-D-III</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内。该海区位于巽城至南镇沿岸海域，总面积13.03km</w:t>
            </w:r>
            <w:r>
              <w:rPr>
                <w:rFonts w:hint="default" w:ascii="Times New Roman" w:hAnsi="Times New Roman" w:eastAsia="宋体" w:cs="Times New Roman"/>
                <w:color w:val="000000" w:themeColor="text1"/>
                <w:sz w:val="24"/>
                <w:szCs w:val="24"/>
                <w:highlight w:val="none"/>
                <w:vertAlign w:val="superscript"/>
                <w:lang w:bidi="ar"/>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。中心坐标为：27°11′43.08″N，120°21′57.6″E。本海域主导功能：港口、航运，辅助功能为一般工业用水，水质执行《海水水质标准》(GB3097-1997</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中第三类标准。沙埕港近岸海域环境功能区划见下表3.</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bidi="ar"/>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海水</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水质标准详见表3.</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1-2</w:t>
            </w:r>
            <w:r>
              <w:rPr>
                <w:rFonts w:hint="default" w:ascii="Times New Roman" w:hAnsi="Times New Roman" w:eastAsia="宋体" w:cs="Times New Roman"/>
                <w:color w:val="000000" w:themeColor="text1"/>
                <w:sz w:val="24"/>
                <w:szCs w:val="24"/>
                <w:highlight w:val="none"/>
                <w:lang w:val="en-US" w:eastAsia="zh-CN" w:bidi="ar"/>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表3.</w:t>
            </w: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z w:val="24"/>
                <w:szCs w:val="24"/>
                <w:highlight w:val="none"/>
                <w14:textFill>
                  <w14:solidFill>
                    <w14:schemeClr w14:val="tx1"/>
                  </w14:solidFill>
                </w14:textFill>
              </w:rPr>
              <w:t xml:space="preserve">  项目区周边近岸海域环境功能区表</w:t>
            </w:r>
          </w:p>
          <w:tbl>
            <w:tblPr>
              <w:tblStyle w:val="33"/>
              <w:tblW w:w="842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24"/>
              <w:gridCol w:w="324"/>
              <w:gridCol w:w="1147"/>
              <w:gridCol w:w="847"/>
              <w:gridCol w:w="1032"/>
              <w:gridCol w:w="1587"/>
              <w:gridCol w:w="896"/>
              <w:gridCol w:w="968"/>
              <w:gridCol w:w="605"/>
              <w:gridCol w:w="369"/>
              <w:gridCol w:w="32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70" w:hRule="atLeast"/>
              </w:trPr>
              <w:tc>
                <w:tcPr>
                  <w:tcW w:w="324" w:type="dxa"/>
                  <w:vMerge w:val="restart"/>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pPr>
                  <w: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t>沿海地市</w:t>
                  </w:r>
                </w:p>
              </w:tc>
              <w:tc>
                <w:tcPr>
                  <w:tcW w:w="324" w:type="dxa"/>
                  <w:vMerge w:val="restart"/>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pPr>
                  <w: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t>海域名称</w:t>
                  </w:r>
                </w:p>
              </w:tc>
              <w:tc>
                <w:tcPr>
                  <w:tcW w:w="1147" w:type="dxa"/>
                  <w:vMerge w:val="restart"/>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pPr>
                  <w: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t>标识号</w:t>
                  </w:r>
                </w:p>
              </w:tc>
              <w:tc>
                <w:tcPr>
                  <w:tcW w:w="847" w:type="dxa"/>
                  <w:vMerge w:val="restart"/>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pPr>
                  <w: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t>功能区名称</w:t>
                  </w:r>
                </w:p>
              </w:tc>
              <w:tc>
                <w:tcPr>
                  <w:tcW w:w="1032" w:type="dxa"/>
                  <w:vMerge w:val="restart"/>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pPr>
                  <w: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t>范围</w:t>
                  </w:r>
                </w:p>
              </w:tc>
              <w:tc>
                <w:tcPr>
                  <w:tcW w:w="1587" w:type="dxa"/>
                  <w:vMerge w:val="restart"/>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pPr>
                  <w: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t>中心坐标</w:t>
                  </w:r>
                </w:p>
              </w:tc>
              <w:tc>
                <w:tcPr>
                  <w:tcW w:w="896" w:type="dxa"/>
                  <w:vMerge w:val="restart"/>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pPr>
                  <w: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t>面积</w:t>
                  </w:r>
                </w:p>
                <w:p>
                  <w:pPr>
                    <w:pageBreakBefore w:val="0"/>
                    <w:widowControl/>
                    <w:kinsoku/>
                    <w:bidi w:val="0"/>
                    <w:spacing w:beforeAutospacing="0" w:afterAutospacing="0"/>
                    <w:jc w:val="cente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pPr>
                  <w: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t>（km</w:t>
                  </w:r>
                  <w:r>
                    <w:rPr>
                      <w:rFonts w:hint="default" w:ascii="Times New Roman" w:hAnsi="Times New Roman" w:eastAsia="宋体" w:cs="Times New Roman"/>
                      <w:b w:val="0"/>
                      <w:bCs/>
                      <w:color w:val="000000" w:themeColor="text1"/>
                      <w:kern w:val="0"/>
                      <w:szCs w:val="21"/>
                      <w:highlight w:val="none"/>
                      <w:vertAlign w:val="superscript"/>
                      <w14:textFill>
                        <w14:solidFill>
                          <w14:schemeClr w14:val="tx1"/>
                        </w14:solidFill>
                      </w14:textFill>
                    </w:rPr>
                    <w:t>2</w:t>
                  </w:r>
                  <w: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t>）</w:t>
                  </w:r>
                </w:p>
              </w:tc>
              <w:tc>
                <w:tcPr>
                  <w:tcW w:w="1573" w:type="dxa"/>
                  <w:gridSpan w:val="2"/>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pPr>
                  <w: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t>近岸海域环境功能区</w:t>
                  </w:r>
                </w:p>
              </w:tc>
              <w:tc>
                <w:tcPr>
                  <w:tcW w:w="695" w:type="dxa"/>
                  <w:gridSpan w:val="2"/>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pPr>
                  <w: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t>水质保护目标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324" w:type="dxa"/>
                  <w:vMerge w:val="continue"/>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pPr>
                </w:p>
              </w:tc>
              <w:tc>
                <w:tcPr>
                  <w:tcW w:w="324" w:type="dxa"/>
                  <w:vMerge w:val="continue"/>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pPr>
                </w:p>
              </w:tc>
              <w:tc>
                <w:tcPr>
                  <w:tcW w:w="1147" w:type="dxa"/>
                  <w:vMerge w:val="continue"/>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pPr>
                </w:p>
              </w:tc>
              <w:tc>
                <w:tcPr>
                  <w:tcW w:w="847" w:type="dxa"/>
                  <w:vMerge w:val="continue"/>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pPr>
                </w:p>
              </w:tc>
              <w:tc>
                <w:tcPr>
                  <w:tcW w:w="1032" w:type="dxa"/>
                  <w:vMerge w:val="continue"/>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pPr>
                </w:p>
              </w:tc>
              <w:tc>
                <w:tcPr>
                  <w:tcW w:w="1587" w:type="dxa"/>
                  <w:vMerge w:val="continue"/>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pPr>
                </w:p>
              </w:tc>
              <w:tc>
                <w:tcPr>
                  <w:tcW w:w="896" w:type="dxa"/>
                  <w:vMerge w:val="continue"/>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pPr>
                </w:p>
              </w:tc>
              <w:tc>
                <w:tcPr>
                  <w:tcW w:w="968"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pPr>
                  <w: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t>主导</w:t>
                  </w:r>
                </w:p>
                <w:p>
                  <w:pPr>
                    <w:pageBreakBefore w:val="0"/>
                    <w:widowControl/>
                    <w:kinsoku/>
                    <w:bidi w:val="0"/>
                    <w:spacing w:beforeAutospacing="0" w:afterAutospacing="0"/>
                    <w:jc w:val="cente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pPr>
                  <w: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t>功能</w:t>
                  </w:r>
                </w:p>
              </w:tc>
              <w:tc>
                <w:tcPr>
                  <w:tcW w:w="605"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pPr>
                  <w: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t>辅助</w:t>
                  </w:r>
                </w:p>
                <w:p>
                  <w:pPr>
                    <w:pageBreakBefore w:val="0"/>
                    <w:widowControl/>
                    <w:kinsoku/>
                    <w:bidi w:val="0"/>
                    <w:spacing w:beforeAutospacing="0" w:afterAutospacing="0"/>
                    <w:jc w:val="cente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pPr>
                  <w: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t>功能</w:t>
                  </w:r>
                </w:p>
              </w:tc>
              <w:tc>
                <w:tcPr>
                  <w:tcW w:w="369"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pPr>
                  <w: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t>近期</w:t>
                  </w:r>
                </w:p>
              </w:tc>
              <w:tc>
                <w:tcPr>
                  <w:tcW w:w="326"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pPr>
                  <w:r>
                    <w:rPr>
                      <w:rFonts w:hint="default" w:ascii="Times New Roman" w:hAnsi="Times New Roman" w:eastAsia="宋体" w:cs="Times New Roman"/>
                      <w:b w:val="0"/>
                      <w:bCs/>
                      <w:color w:val="000000" w:themeColor="text1"/>
                      <w:kern w:val="0"/>
                      <w:szCs w:val="21"/>
                      <w:highlight w:val="none"/>
                      <w14:textFill>
                        <w14:solidFill>
                          <w14:schemeClr w14:val="tx1"/>
                        </w14:solidFill>
                      </w14:textFill>
                    </w:rPr>
                    <w:t>远期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70" w:hRule="atLeast"/>
              </w:trPr>
              <w:tc>
                <w:tcPr>
                  <w:tcW w:w="324" w:type="dxa"/>
                  <w:vMerge w:val="restart"/>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宁德</w:t>
                  </w:r>
                  <w:r>
                    <w:rPr>
                      <w:rFonts w:hint="default" w:ascii="Times New Roman" w:hAnsi="Times New Roman" w:eastAsia="宋体" w:cs="Times New Roman"/>
                      <w:color w:val="000000" w:themeColor="text1"/>
                      <w:sz w:val="21"/>
                      <w:szCs w:val="21"/>
                      <w:highlight w:val="none"/>
                      <w14:textFill>
                        <w14:solidFill>
                          <w14:schemeClr w14:val="tx1"/>
                        </w14:solidFill>
                      </w14:textFill>
                    </w:rPr>
                    <w:t>市</w:t>
                  </w:r>
                </w:p>
              </w:tc>
              <w:tc>
                <w:tcPr>
                  <w:tcW w:w="324" w:type="dxa"/>
                  <w:vMerge w:val="restart"/>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沙埕港</w:t>
                  </w:r>
                </w:p>
              </w:tc>
              <w:tc>
                <w:tcPr>
                  <w:tcW w:w="1147"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FJ001-C-</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II</w:t>
                  </w:r>
                </w:p>
              </w:tc>
              <w:tc>
                <w:tcPr>
                  <w:tcW w:w="847"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沙埕港内湾三类区</w:t>
                  </w:r>
                </w:p>
              </w:tc>
              <w:tc>
                <w:tcPr>
                  <w:tcW w:w="1032"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长屿岛以西沙埕港内湾海域</w:t>
                  </w:r>
                </w:p>
              </w:tc>
              <w:tc>
                <w:tcPr>
                  <w:tcW w:w="1587"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27°15′27.36″N，120°14′34.8″E</w:t>
                  </w:r>
                </w:p>
              </w:tc>
              <w:tc>
                <w:tcPr>
                  <w:tcW w:w="896"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50.95</w:t>
                  </w:r>
                </w:p>
              </w:tc>
              <w:tc>
                <w:tcPr>
                  <w:tcW w:w="968"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养殖</w:t>
                  </w:r>
                </w:p>
              </w:tc>
              <w:tc>
                <w:tcPr>
                  <w:tcW w:w="605"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港口、</w:t>
                  </w:r>
                </w:p>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纳污</w:t>
                  </w:r>
                </w:p>
              </w:tc>
              <w:tc>
                <w:tcPr>
                  <w:tcW w:w="369"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w:t>
                  </w:r>
                </w:p>
              </w:tc>
              <w:tc>
                <w:tcPr>
                  <w:tcW w:w="326"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70" w:hRule="atLeast"/>
              </w:trPr>
              <w:tc>
                <w:tcPr>
                  <w:tcW w:w="324" w:type="dxa"/>
                  <w:vMerge w:val="continue"/>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24" w:type="dxa"/>
                  <w:vMerge w:val="continue"/>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7"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FJ002-D-</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III</w:t>
                  </w:r>
                </w:p>
              </w:tc>
              <w:tc>
                <w:tcPr>
                  <w:tcW w:w="847"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沙埕港八尺门四类区</w:t>
                  </w:r>
                </w:p>
              </w:tc>
              <w:tc>
                <w:tcPr>
                  <w:tcW w:w="1032"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八尺门跨海大桥东侧至下尾沙海域</w:t>
                  </w:r>
                </w:p>
              </w:tc>
              <w:tc>
                <w:tcPr>
                  <w:tcW w:w="1587"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27°14′53.52″N，120°14′24.0″E</w:t>
                  </w:r>
                </w:p>
              </w:tc>
              <w:tc>
                <w:tcPr>
                  <w:tcW w:w="896"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1.4</w:t>
                  </w:r>
                </w:p>
              </w:tc>
              <w:tc>
                <w:tcPr>
                  <w:tcW w:w="968"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港口</w:t>
                  </w:r>
                </w:p>
              </w:tc>
              <w:tc>
                <w:tcPr>
                  <w:tcW w:w="605"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一般工业用水</w:t>
                  </w:r>
                </w:p>
              </w:tc>
              <w:tc>
                <w:tcPr>
                  <w:tcW w:w="369"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三</w:t>
                  </w:r>
                </w:p>
              </w:tc>
              <w:tc>
                <w:tcPr>
                  <w:tcW w:w="326"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70" w:hRule="atLeast"/>
              </w:trPr>
              <w:tc>
                <w:tcPr>
                  <w:tcW w:w="324" w:type="dxa"/>
                  <w:vMerge w:val="continue"/>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24" w:type="dxa"/>
                  <w:vMerge w:val="continue"/>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7"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FJ003-C-</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II</w:t>
                  </w:r>
                </w:p>
              </w:tc>
              <w:tc>
                <w:tcPr>
                  <w:tcW w:w="847"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沙埕港外湾三类区</w:t>
                  </w:r>
                </w:p>
              </w:tc>
              <w:tc>
                <w:tcPr>
                  <w:tcW w:w="1032"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长屿岛至南镇海域</w:t>
                  </w:r>
                </w:p>
              </w:tc>
              <w:tc>
                <w:tcPr>
                  <w:tcW w:w="1587"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27°12′27.72″N，120°22′33.6″E</w:t>
                  </w:r>
                </w:p>
              </w:tc>
              <w:tc>
                <w:tcPr>
                  <w:tcW w:w="896"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23.23</w:t>
                  </w:r>
                </w:p>
              </w:tc>
              <w:tc>
                <w:tcPr>
                  <w:tcW w:w="968"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养殖</w:t>
                  </w:r>
                </w:p>
              </w:tc>
              <w:tc>
                <w:tcPr>
                  <w:tcW w:w="605"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港口、</w:t>
                  </w:r>
                </w:p>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航道</w:t>
                  </w:r>
                </w:p>
              </w:tc>
              <w:tc>
                <w:tcPr>
                  <w:tcW w:w="369"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w:t>
                  </w:r>
                </w:p>
              </w:tc>
              <w:tc>
                <w:tcPr>
                  <w:tcW w:w="326"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2" w:hRule="atLeast"/>
              </w:trPr>
              <w:tc>
                <w:tcPr>
                  <w:tcW w:w="324" w:type="dxa"/>
                  <w:vMerge w:val="continue"/>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24" w:type="dxa"/>
                  <w:vMerge w:val="continue"/>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7"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FJ004-D</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-III</w:t>
                  </w:r>
                </w:p>
              </w:tc>
              <w:tc>
                <w:tcPr>
                  <w:tcW w:w="847"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沙埕港北岸四类区</w:t>
                  </w:r>
                </w:p>
              </w:tc>
              <w:tc>
                <w:tcPr>
                  <w:tcW w:w="1032"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沙埕流江至虎头鼻沿岸海域</w:t>
                  </w:r>
                </w:p>
              </w:tc>
              <w:tc>
                <w:tcPr>
                  <w:tcW w:w="1587"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27°10′42.6″N，120°24′39.6″E</w:t>
                  </w:r>
                </w:p>
              </w:tc>
              <w:tc>
                <w:tcPr>
                  <w:tcW w:w="896"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3.28</w:t>
                  </w:r>
                </w:p>
              </w:tc>
              <w:tc>
                <w:tcPr>
                  <w:tcW w:w="968"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港口</w:t>
                  </w:r>
                </w:p>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航运</w:t>
                  </w:r>
                </w:p>
              </w:tc>
              <w:tc>
                <w:tcPr>
                  <w:tcW w:w="605"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一般工业用水</w:t>
                  </w:r>
                </w:p>
              </w:tc>
              <w:tc>
                <w:tcPr>
                  <w:tcW w:w="369"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三</w:t>
                  </w:r>
                </w:p>
              </w:tc>
              <w:tc>
                <w:tcPr>
                  <w:tcW w:w="326" w:type="dxa"/>
                  <w:tcBorders>
                    <w:tl2br w:val="nil"/>
                    <w:tr2bl w:val="nil"/>
                  </w:tcBorders>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70" w:hRule="atLeast"/>
              </w:trPr>
              <w:tc>
                <w:tcPr>
                  <w:tcW w:w="324" w:type="dxa"/>
                  <w:vMerge w:val="continue"/>
                  <w:tcBorders>
                    <w:tl2br w:val="nil"/>
                    <w:tr2bl w:val="nil"/>
                  </w:tcBorders>
                  <w:shd w:val="clear" w:color="auto" w:fill="auto"/>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24" w:type="dxa"/>
                  <w:vMerge w:val="continue"/>
                  <w:tcBorders>
                    <w:tl2br w:val="nil"/>
                    <w:tr2bl w:val="nil"/>
                  </w:tcBorders>
                  <w:shd w:val="clear" w:color="auto" w:fill="auto"/>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147" w:type="dxa"/>
                  <w:tcBorders>
                    <w:tl2br w:val="nil"/>
                    <w:tr2bl w:val="nil"/>
                  </w:tcBorders>
                  <w:shd w:val="pct5" w:color="auto" w:fill="auto"/>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FJ005-D-</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III</w:t>
                  </w:r>
                </w:p>
              </w:tc>
              <w:tc>
                <w:tcPr>
                  <w:tcW w:w="847" w:type="dxa"/>
                  <w:tcBorders>
                    <w:tl2br w:val="nil"/>
                    <w:tr2bl w:val="nil"/>
                  </w:tcBorders>
                  <w:shd w:val="pct5" w:color="auto" w:fill="auto"/>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沙埕港南岸四类区</w:t>
                  </w:r>
                </w:p>
              </w:tc>
              <w:tc>
                <w:tcPr>
                  <w:tcW w:w="1032" w:type="dxa"/>
                  <w:tcBorders>
                    <w:tl2br w:val="nil"/>
                    <w:tr2bl w:val="nil"/>
                  </w:tcBorders>
                  <w:shd w:val="pct5" w:color="auto" w:fill="auto"/>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巽城至南镇沿岸海域</w:t>
                  </w:r>
                </w:p>
              </w:tc>
              <w:tc>
                <w:tcPr>
                  <w:tcW w:w="1587" w:type="dxa"/>
                  <w:tcBorders>
                    <w:tl2br w:val="nil"/>
                    <w:tr2bl w:val="nil"/>
                  </w:tcBorders>
                  <w:shd w:val="pct5" w:color="auto" w:fill="auto"/>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27°11′43.08″N，120°21′57.6″E</w:t>
                  </w:r>
                </w:p>
              </w:tc>
              <w:tc>
                <w:tcPr>
                  <w:tcW w:w="896" w:type="dxa"/>
                  <w:tcBorders>
                    <w:tl2br w:val="nil"/>
                    <w:tr2bl w:val="nil"/>
                  </w:tcBorders>
                  <w:shd w:val="pct5" w:color="auto" w:fill="auto"/>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13.03</w:t>
                  </w:r>
                </w:p>
              </w:tc>
              <w:tc>
                <w:tcPr>
                  <w:tcW w:w="968" w:type="dxa"/>
                  <w:tcBorders>
                    <w:tl2br w:val="nil"/>
                    <w:tr2bl w:val="nil"/>
                  </w:tcBorders>
                  <w:shd w:val="pct5" w:color="auto" w:fill="auto"/>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港口航运一般工业用水</w:t>
                  </w:r>
                </w:p>
              </w:tc>
              <w:tc>
                <w:tcPr>
                  <w:tcW w:w="605" w:type="dxa"/>
                  <w:tcBorders>
                    <w:tl2br w:val="nil"/>
                    <w:tr2bl w:val="nil"/>
                  </w:tcBorders>
                  <w:shd w:val="pct5" w:color="auto" w:fill="auto"/>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纳污</w:t>
                  </w:r>
                </w:p>
              </w:tc>
              <w:tc>
                <w:tcPr>
                  <w:tcW w:w="369" w:type="dxa"/>
                  <w:tcBorders>
                    <w:tl2br w:val="nil"/>
                    <w:tr2bl w:val="nil"/>
                  </w:tcBorders>
                  <w:shd w:val="pct5" w:color="auto" w:fill="auto"/>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三</w:t>
                  </w:r>
                </w:p>
              </w:tc>
              <w:tc>
                <w:tcPr>
                  <w:tcW w:w="326" w:type="dxa"/>
                  <w:tcBorders>
                    <w:tl2br w:val="nil"/>
                    <w:tr2bl w:val="nil"/>
                  </w:tcBorders>
                  <w:shd w:val="pct5" w:color="auto" w:fill="auto"/>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三</w:t>
                  </w:r>
                </w:p>
              </w:tc>
            </w:tr>
          </w:tbl>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表3.</w:t>
            </w:r>
            <w:r>
              <w:rPr>
                <w:rFonts w:hint="eastAsia" w:ascii="Times New Roman" w:hAnsi="Times New Roman" w:eastAsia="宋体" w:cs="Times New Roman"/>
                <w:b/>
                <w:color w:val="000000" w:themeColor="text1"/>
                <w:sz w:val="24"/>
                <w:szCs w:val="24"/>
                <w:highlight w:val="none"/>
                <w:lang w:val="en-US" w:eastAsia="zh-CN"/>
                <w14:textFill>
                  <w14:solidFill>
                    <w14:schemeClr w14:val="tx1"/>
                  </w14:solidFill>
                </w14:textFill>
              </w:rPr>
              <w:t>1-2</w:t>
            </w:r>
            <w:r>
              <w:rPr>
                <w:rFonts w:hint="default" w:ascii="Times New Roman" w:hAnsi="Times New Roman" w:eastAsia="宋体" w:cs="Times New Roman"/>
                <w:b/>
                <w:color w:val="000000" w:themeColor="text1"/>
                <w:sz w:val="24"/>
                <w:szCs w:val="24"/>
                <w:highlight w:val="none"/>
                <w14:textFill>
                  <w14:solidFill>
                    <w14:schemeClr w14:val="tx1"/>
                  </w14:solidFill>
                </w14:textFill>
              </w:rPr>
              <w:t>《海水水质标准》(GB/3097-1997</w:t>
            </w:r>
            <w:r>
              <w:rPr>
                <w:rFonts w:hint="default" w:ascii="Times New Roman" w:hAnsi="Times New Roman" w:eastAsia="宋体" w:cs="Times New Roman"/>
                <w:b/>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color w:val="000000" w:themeColor="text1"/>
                <w:sz w:val="24"/>
                <w:szCs w:val="24"/>
                <w:highlight w:val="none"/>
                <w14:textFill>
                  <w14:solidFill>
                    <w14:schemeClr w14:val="tx1"/>
                  </w14:solidFill>
                </w14:textFill>
              </w:rPr>
              <w:t>表1</w:t>
            </w:r>
            <w:r>
              <w:rPr>
                <w:rFonts w:hint="default" w:ascii="Times New Roman" w:hAnsi="Times New Roman" w:eastAsia="宋体" w:cs="Times New Roman"/>
                <w:b/>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color w:val="000000" w:themeColor="text1"/>
                <w:sz w:val="24"/>
                <w:szCs w:val="24"/>
                <w:highlight w:val="none"/>
                <w14:textFill>
                  <w14:solidFill>
                    <w14:schemeClr w14:val="tx1"/>
                  </w14:solidFill>
                </w14:textFill>
              </w:rPr>
              <w:t>摘录</w:t>
            </w:r>
            <w:r>
              <w:rPr>
                <w:rFonts w:hint="default" w:ascii="Times New Roman" w:hAnsi="Times New Roman" w:eastAsia="宋体" w:cs="Times New Roman"/>
                <w:b/>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color w:val="000000" w:themeColor="text1"/>
                <w:sz w:val="24"/>
                <w:szCs w:val="24"/>
                <w:highlight w:val="none"/>
                <w14:textFill>
                  <w14:solidFill>
                    <w14:schemeClr w14:val="tx1"/>
                  </w14:solidFill>
                </w14:textFill>
              </w:rPr>
              <w:t xml:space="preserve"> 单位：mg/L(pH除外</w:t>
            </w:r>
            <w:r>
              <w:rPr>
                <w:rFonts w:hint="default" w:ascii="Times New Roman" w:hAnsi="Times New Roman" w:eastAsia="宋体" w:cs="Times New Roman"/>
                <w:b/>
                <w:color w:val="000000" w:themeColor="text1"/>
                <w:sz w:val="24"/>
                <w:szCs w:val="24"/>
                <w:highlight w:val="none"/>
                <w:lang w:eastAsia="zh-CN"/>
                <w14:textFill>
                  <w14:solidFill>
                    <w14:schemeClr w14:val="tx1"/>
                  </w14:solidFill>
                </w14:textFill>
              </w:rPr>
              <w:t>）</w:t>
            </w:r>
          </w:p>
          <w:tbl>
            <w:tblPr>
              <w:tblStyle w:val="33"/>
              <w:tblW w:w="842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362"/>
              <w:gridCol w:w="1485"/>
              <w:gridCol w:w="1442"/>
              <w:gridCol w:w="1698"/>
              <w:gridCol w:w="16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742" w:type="dxa"/>
                  <w:shd w:val="clear" w:color="auto" w:fill="auto"/>
                  <w:vAlign w:val="center"/>
                </w:tcPr>
                <w:p>
                  <w:pPr>
                    <w:pStyle w:val="98"/>
                    <w:pageBreakBefore w:val="0"/>
                    <w:kinsoku/>
                    <w:bidi w:val="0"/>
                    <w:spacing w:beforeAutospacing="0" w:afterAutospacing="0"/>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序号</w:t>
                  </w:r>
                </w:p>
              </w:tc>
              <w:tc>
                <w:tcPr>
                  <w:tcW w:w="1362" w:type="dxa"/>
                  <w:shd w:val="clear" w:color="auto" w:fill="auto"/>
                  <w:vAlign w:val="center"/>
                </w:tcPr>
                <w:p>
                  <w:pPr>
                    <w:pStyle w:val="98"/>
                    <w:pageBreakBefore w:val="0"/>
                    <w:kinsoku/>
                    <w:bidi w:val="0"/>
                    <w:spacing w:beforeAutospacing="0" w:afterAutospacing="0"/>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污染物</w:t>
                  </w:r>
                </w:p>
              </w:tc>
              <w:tc>
                <w:tcPr>
                  <w:tcW w:w="1485" w:type="dxa"/>
                  <w:shd w:val="clear" w:color="auto" w:fill="auto"/>
                  <w:vAlign w:val="center"/>
                </w:tcPr>
                <w:p>
                  <w:pPr>
                    <w:pStyle w:val="98"/>
                    <w:pageBreakBefore w:val="0"/>
                    <w:kinsoku/>
                    <w:bidi w:val="0"/>
                    <w:spacing w:beforeAutospacing="0" w:afterAutospacing="0"/>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第一类</w:t>
                  </w:r>
                </w:p>
              </w:tc>
              <w:tc>
                <w:tcPr>
                  <w:tcW w:w="1442" w:type="dxa"/>
                  <w:shd w:val="clear" w:color="auto" w:fill="auto"/>
                  <w:vAlign w:val="center"/>
                </w:tcPr>
                <w:p>
                  <w:pPr>
                    <w:pStyle w:val="98"/>
                    <w:pageBreakBefore w:val="0"/>
                    <w:kinsoku/>
                    <w:bidi w:val="0"/>
                    <w:spacing w:beforeAutospacing="0" w:afterAutospacing="0"/>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第二类</w:t>
                  </w:r>
                </w:p>
              </w:tc>
              <w:tc>
                <w:tcPr>
                  <w:tcW w:w="1698" w:type="dxa"/>
                  <w:shd w:val="clear" w:color="auto" w:fill="A4A4A4"/>
                  <w:vAlign w:val="center"/>
                </w:tcPr>
                <w:p>
                  <w:pPr>
                    <w:pStyle w:val="98"/>
                    <w:pageBreakBefore w:val="0"/>
                    <w:kinsoku/>
                    <w:bidi w:val="0"/>
                    <w:spacing w:beforeAutospacing="0" w:afterAutospacing="0"/>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第三类</w:t>
                  </w:r>
                </w:p>
              </w:tc>
              <w:tc>
                <w:tcPr>
                  <w:tcW w:w="1698" w:type="dxa"/>
                  <w:vAlign w:val="center"/>
                </w:tcPr>
                <w:p>
                  <w:pPr>
                    <w:pStyle w:val="75"/>
                    <w:pageBreakBefore w:val="0"/>
                    <w:kinsoku/>
                    <w:bidi w:val="0"/>
                    <w:spacing w:beforeAutospacing="0" w:afterAutospacing="0" w:line="240" w:lineRule="auto"/>
                    <w:ind w:firstLine="436"/>
                    <w:jc w:val="center"/>
                    <w:rPr>
                      <w:rFonts w:hint="default" w:ascii="Times New Roman" w:hAnsi="Times New Roman" w:eastAsia="宋体" w:cs="Times New Roman"/>
                      <w:snapToGrid w:val="0"/>
                      <w:color w:val="000000" w:themeColor="text1"/>
                      <w:kern w:val="18"/>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第四</w:t>
                  </w:r>
                  <w:r>
                    <w:rPr>
                      <w:rFonts w:hint="default" w:ascii="Times New Roman" w:hAnsi="Times New Roman" w:eastAsia="宋体" w:cs="Times New Roman"/>
                      <w:color w:val="000000" w:themeColor="text1"/>
                      <w:sz w:val="21"/>
                      <w:szCs w:val="21"/>
                      <w:highlight w:val="none"/>
                      <w14:textFill>
                        <w14:solidFill>
                          <w14:schemeClr w14:val="tx1"/>
                        </w14:solidFill>
                      </w14:textFill>
                    </w:rPr>
                    <w:t>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Align w:val="center"/>
                </w:tcPr>
                <w:p>
                  <w:pPr>
                    <w:pStyle w:val="98"/>
                    <w:pageBreakBefore w:val="0"/>
                    <w:kinsoku/>
                    <w:bidi w:val="0"/>
                    <w:spacing w:beforeAutospacing="0" w:afterAutospacing="0"/>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1</w:t>
                  </w:r>
                </w:p>
              </w:tc>
              <w:tc>
                <w:tcPr>
                  <w:tcW w:w="1362" w:type="dxa"/>
                  <w:vAlign w:val="center"/>
                </w:tcPr>
                <w:p>
                  <w:pPr>
                    <w:pStyle w:val="98"/>
                    <w:pageBreakBefore w:val="0"/>
                    <w:kinsoku/>
                    <w:bidi w:val="0"/>
                    <w:spacing w:beforeAutospacing="0" w:afterAutospacing="0"/>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 xml:space="preserve">悬浮物质 </w:t>
                  </w:r>
                </w:p>
              </w:tc>
              <w:tc>
                <w:tcPr>
                  <w:tcW w:w="2927" w:type="dxa"/>
                  <w:gridSpan w:val="2"/>
                  <w:vAlign w:val="center"/>
                </w:tcPr>
                <w:p>
                  <w:pPr>
                    <w:pStyle w:val="98"/>
                    <w:pageBreakBefore w:val="0"/>
                    <w:kinsoku/>
                    <w:bidi w:val="0"/>
                    <w:spacing w:beforeAutospacing="0" w:afterAutospacing="0"/>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人为增加的量≤10</w:t>
                  </w:r>
                </w:p>
              </w:tc>
              <w:tc>
                <w:tcPr>
                  <w:tcW w:w="1698" w:type="dxa"/>
                  <w:vAlign w:val="center"/>
                </w:tcPr>
                <w:p>
                  <w:pPr>
                    <w:pStyle w:val="98"/>
                    <w:pageBreakBefore w:val="0"/>
                    <w:kinsoku/>
                    <w:bidi w:val="0"/>
                    <w:spacing w:beforeAutospacing="0" w:afterAutospacing="0"/>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人为增加的量≤100</w:t>
                  </w:r>
                </w:p>
              </w:tc>
              <w:tc>
                <w:tcPr>
                  <w:tcW w:w="1698" w:type="dxa"/>
                  <w:vAlign w:val="center"/>
                </w:tcPr>
                <w:p>
                  <w:pPr>
                    <w:pStyle w:val="98"/>
                    <w:pageBreakBefore w:val="0"/>
                    <w:kinsoku/>
                    <w:bidi w:val="0"/>
                    <w:spacing w:beforeAutospacing="0" w:afterAutospacing="0"/>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lang w:eastAsia="zh-CN"/>
                      <w14:textFill>
                        <w14:solidFill>
                          <w14:schemeClr w14:val="tx1"/>
                        </w14:solidFill>
                      </w14:textFill>
                    </w:rPr>
                    <w:t>人为增加的量≤150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Align w:val="center"/>
                </w:tcPr>
                <w:p>
                  <w:pPr>
                    <w:pStyle w:val="98"/>
                    <w:pageBreakBefore w:val="0"/>
                    <w:kinsoku/>
                    <w:bidi w:val="0"/>
                    <w:spacing w:beforeAutospacing="0" w:afterAutospacing="0"/>
                    <w:rPr>
                      <w:rFonts w:hint="default" w:ascii="Times New Roman" w:hAnsi="Times New Roman" w:eastAsia="宋体" w:cs="Times New Roman"/>
                      <w:snapToGrid w:val="0"/>
                      <w:color w:val="000000" w:themeColor="text1"/>
                      <w:kern w:val="18"/>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lang w:eastAsia="zh-CN"/>
                      <w14:textFill>
                        <w14:solidFill>
                          <w14:schemeClr w14:val="tx1"/>
                        </w14:solidFill>
                      </w14:textFill>
                    </w:rPr>
                    <w:t>2</w:t>
                  </w:r>
                </w:p>
              </w:tc>
              <w:tc>
                <w:tcPr>
                  <w:tcW w:w="1362" w:type="dxa"/>
                  <w:vAlign w:val="center"/>
                </w:tcPr>
                <w:p>
                  <w:pPr>
                    <w:pStyle w:val="98"/>
                    <w:pageBreakBefore w:val="0"/>
                    <w:kinsoku/>
                    <w:bidi w:val="0"/>
                    <w:spacing w:beforeAutospacing="0" w:afterAutospacing="0"/>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pH</w:t>
                  </w:r>
                </w:p>
              </w:tc>
              <w:tc>
                <w:tcPr>
                  <w:tcW w:w="2927" w:type="dxa"/>
                  <w:gridSpan w:val="2"/>
                  <w:vAlign w:val="center"/>
                </w:tcPr>
                <w:p>
                  <w:pPr>
                    <w:pStyle w:val="98"/>
                    <w:pageBreakBefore w:val="0"/>
                    <w:kinsoku/>
                    <w:bidi w:val="0"/>
                    <w:spacing w:beforeAutospacing="0" w:afterAutospacing="0"/>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7.5～8.5同时不超出该海域正常变动范围的0.2pH单位</w:t>
                  </w:r>
                </w:p>
              </w:tc>
              <w:tc>
                <w:tcPr>
                  <w:tcW w:w="3396" w:type="dxa"/>
                  <w:gridSpan w:val="2"/>
                  <w:vAlign w:val="center"/>
                </w:tcPr>
                <w:p>
                  <w:pPr>
                    <w:pStyle w:val="98"/>
                    <w:pageBreakBefore w:val="0"/>
                    <w:kinsoku/>
                    <w:bidi w:val="0"/>
                    <w:spacing w:beforeAutospacing="0" w:afterAutospacing="0"/>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6.8～8.8同时不超出该海域正常变动范围的0.5pH单位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Align w:val="center"/>
                </w:tcPr>
                <w:p>
                  <w:pPr>
                    <w:pStyle w:val="98"/>
                    <w:pageBreakBefore w:val="0"/>
                    <w:kinsoku/>
                    <w:bidi w:val="0"/>
                    <w:spacing w:beforeAutospacing="0" w:afterAutospacing="0"/>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3</w:t>
                  </w:r>
                </w:p>
              </w:tc>
              <w:tc>
                <w:tcPr>
                  <w:tcW w:w="1362" w:type="dxa"/>
                  <w:vAlign w:val="center"/>
                </w:tcPr>
                <w:p>
                  <w:pPr>
                    <w:pStyle w:val="98"/>
                    <w:pageBreakBefore w:val="0"/>
                    <w:kinsoku/>
                    <w:bidi w:val="0"/>
                    <w:spacing w:beforeAutospacing="0" w:afterAutospacing="0"/>
                    <w:rPr>
                      <w:rFonts w:hint="default" w:ascii="Times New Roman" w:hAnsi="Times New Roman" w:eastAsia="宋体" w:cs="Times New Roman"/>
                      <w:snapToGrid w:val="0"/>
                      <w:color w:val="000000" w:themeColor="text1"/>
                      <w:kern w:val="18"/>
                      <w:szCs w:val="2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lang w:eastAsia="zh-CN"/>
                      <w14:textFill>
                        <w14:solidFill>
                          <w14:schemeClr w14:val="tx1"/>
                        </w14:solidFill>
                      </w14:textFill>
                    </w:rPr>
                    <w:t>溶解氧＞</w:t>
                  </w:r>
                </w:p>
              </w:tc>
              <w:tc>
                <w:tcPr>
                  <w:tcW w:w="1485" w:type="dxa"/>
                  <w:vAlign w:val="center"/>
                </w:tcPr>
                <w:p>
                  <w:pPr>
                    <w:pStyle w:val="106"/>
                    <w:pageBreakBefore w:val="0"/>
                    <w:kinsoku/>
                    <w:bidi w:val="0"/>
                    <w:spacing w:beforeAutospacing="0" w:afterAutospacing="0"/>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6</w:t>
                  </w:r>
                </w:p>
              </w:tc>
              <w:tc>
                <w:tcPr>
                  <w:tcW w:w="1442" w:type="dxa"/>
                  <w:vAlign w:val="center"/>
                </w:tcPr>
                <w:p>
                  <w:pPr>
                    <w:pStyle w:val="106"/>
                    <w:pageBreakBefore w:val="0"/>
                    <w:kinsoku/>
                    <w:bidi w:val="0"/>
                    <w:spacing w:beforeAutospacing="0" w:afterAutospacing="0"/>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5</w:t>
                  </w:r>
                </w:p>
              </w:tc>
              <w:tc>
                <w:tcPr>
                  <w:tcW w:w="1698" w:type="dxa"/>
                  <w:vAlign w:val="center"/>
                </w:tcPr>
                <w:p>
                  <w:pPr>
                    <w:pStyle w:val="106"/>
                    <w:pageBreakBefore w:val="0"/>
                    <w:kinsoku/>
                    <w:bidi w:val="0"/>
                    <w:spacing w:beforeAutospacing="0" w:afterAutospacing="0"/>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4</w:t>
                  </w:r>
                </w:p>
              </w:tc>
              <w:tc>
                <w:tcPr>
                  <w:tcW w:w="1698" w:type="dxa"/>
                  <w:vAlign w:val="center"/>
                </w:tcPr>
                <w:p>
                  <w:pPr>
                    <w:pStyle w:val="98"/>
                    <w:pageBreakBefore w:val="0"/>
                    <w:kinsoku/>
                    <w:bidi w:val="0"/>
                    <w:spacing w:beforeAutospacing="0" w:afterAutospacing="0"/>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Align w:val="center"/>
                </w:tcPr>
                <w:p>
                  <w:pPr>
                    <w:pStyle w:val="98"/>
                    <w:pageBreakBefore w:val="0"/>
                    <w:kinsoku/>
                    <w:bidi w:val="0"/>
                    <w:spacing w:beforeAutospacing="0" w:afterAutospacing="0"/>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4</w:t>
                  </w:r>
                </w:p>
              </w:tc>
              <w:tc>
                <w:tcPr>
                  <w:tcW w:w="1362" w:type="dxa"/>
                  <w:vAlign w:val="center"/>
                </w:tcPr>
                <w:p>
                  <w:pPr>
                    <w:pStyle w:val="98"/>
                    <w:pageBreakBefore w:val="0"/>
                    <w:kinsoku/>
                    <w:bidi w:val="0"/>
                    <w:spacing w:beforeAutospacing="0" w:afterAutospacing="0"/>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COD≤</w:t>
                  </w:r>
                </w:p>
              </w:tc>
              <w:tc>
                <w:tcPr>
                  <w:tcW w:w="1485" w:type="dxa"/>
                  <w:vAlign w:val="center"/>
                </w:tcPr>
                <w:p>
                  <w:pPr>
                    <w:pStyle w:val="106"/>
                    <w:pageBreakBefore w:val="0"/>
                    <w:kinsoku/>
                    <w:bidi w:val="0"/>
                    <w:spacing w:beforeAutospacing="0" w:afterAutospacing="0"/>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2</w:t>
                  </w:r>
                </w:p>
              </w:tc>
              <w:tc>
                <w:tcPr>
                  <w:tcW w:w="1442" w:type="dxa"/>
                  <w:vAlign w:val="center"/>
                </w:tcPr>
                <w:p>
                  <w:pPr>
                    <w:pStyle w:val="106"/>
                    <w:pageBreakBefore w:val="0"/>
                    <w:kinsoku/>
                    <w:bidi w:val="0"/>
                    <w:spacing w:beforeAutospacing="0" w:afterAutospacing="0"/>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3</w:t>
                  </w:r>
                </w:p>
              </w:tc>
              <w:tc>
                <w:tcPr>
                  <w:tcW w:w="1698" w:type="dxa"/>
                  <w:vAlign w:val="center"/>
                </w:tcPr>
                <w:p>
                  <w:pPr>
                    <w:pStyle w:val="106"/>
                    <w:pageBreakBefore w:val="0"/>
                    <w:kinsoku/>
                    <w:bidi w:val="0"/>
                    <w:spacing w:beforeAutospacing="0" w:afterAutospacing="0"/>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4</w:t>
                  </w:r>
                </w:p>
              </w:tc>
              <w:tc>
                <w:tcPr>
                  <w:tcW w:w="1698" w:type="dxa"/>
                  <w:vAlign w:val="center"/>
                </w:tcPr>
                <w:p>
                  <w:pPr>
                    <w:pStyle w:val="98"/>
                    <w:pageBreakBefore w:val="0"/>
                    <w:kinsoku/>
                    <w:bidi w:val="0"/>
                    <w:spacing w:beforeAutospacing="0" w:afterAutospacing="0"/>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Align w:val="center"/>
                </w:tcPr>
                <w:p>
                  <w:pPr>
                    <w:pStyle w:val="98"/>
                    <w:pageBreakBefore w:val="0"/>
                    <w:kinsoku/>
                    <w:bidi w:val="0"/>
                    <w:spacing w:beforeAutospacing="0" w:afterAutospacing="0"/>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5</w:t>
                  </w:r>
                </w:p>
              </w:tc>
              <w:tc>
                <w:tcPr>
                  <w:tcW w:w="1362" w:type="dxa"/>
                  <w:vAlign w:val="center"/>
                </w:tcPr>
                <w:p>
                  <w:pPr>
                    <w:pStyle w:val="98"/>
                    <w:pageBreakBefore w:val="0"/>
                    <w:kinsoku/>
                    <w:bidi w:val="0"/>
                    <w:spacing w:beforeAutospacing="0" w:afterAutospacing="0"/>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BOD</w:t>
                  </w:r>
                  <w:r>
                    <w:rPr>
                      <w:rFonts w:hint="default" w:ascii="Times New Roman" w:hAnsi="Times New Roman" w:eastAsia="宋体" w:cs="Times New Roman"/>
                      <w:snapToGrid w:val="0"/>
                      <w:color w:val="000000" w:themeColor="text1"/>
                      <w:kern w:val="18"/>
                      <w:szCs w:val="21"/>
                      <w:highlight w:val="none"/>
                      <w:vertAlign w:val="subscript"/>
                      <w14:textFill>
                        <w14:solidFill>
                          <w14:schemeClr w14:val="tx1"/>
                        </w14:solidFill>
                      </w14:textFill>
                    </w:rPr>
                    <w:t>5</w:t>
                  </w: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w:t>
                  </w:r>
                </w:p>
              </w:tc>
              <w:tc>
                <w:tcPr>
                  <w:tcW w:w="1485" w:type="dxa"/>
                  <w:vAlign w:val="center"/>
                </w:tcPr>
                <w:p>
                  <w:pPr>
                    <w:pStyle w:val="106"/>
                    <w:pageBreakBefore w:val="0"/>
                    <w:kinsoku/>
                    <w:bidi w:val="0"/>
                    <w:spacing w:beforeAutospacing="0" w:afterAutospacing="0"/>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1</w:t>
                  </w:r>
                </w:p>
              </w:tc>
              <w:tc>
                <w:tcPr>
                  <w:tcW w:w="1442" w:type="dxa"/>
                  <w:vAlign w:val="center"/>
                </w:tcPr>
                <w:p>
                  <w:pPr>
                    <w:pStyle w:val="106"/>
                    <w:pageBreakBefore w:val="0"/>
                    <w:kinsoku/>
                    <w:bidi w:val="0"/>
                    <w:spacing w:beforeAutospacing="0" w:afterAutospacing="0"/>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3</w:t>
                  </w:r>
                </w:p>
              </w:tc>
              <w:tc>
                <w:tcPr>
                  <w:tcW w:w="1698" w:type="dxa"/>
                  <w:vAlign w:val="center"/>
                </w:tcPr>
                <w:p>
                  <w:pPr>
                    <w:pStyle w:val="106"/>
                    <w:pageBreakBefore w:val="0"/>
                    <w:kinsoku/>
                    <w:bidi w:val="0"/>
                    <w:spacing w:beforeAutospacing="0" w:afterAutospacing="0"/>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4</w:t>
                  </w:r>
                </w:p>
              </w:tc>
              <w:tc>
                <w:tcPr>
                  <w:tcW w:w="1698" w:type="dxa"/>
                  <w:vAlign w:val="center"/>
                </w:tcPr>
                <w:p>
                  <w:pPr>
                    <w:pStyle w:val="98"/>
                    <w:pageBreakBefore w:val="0"/>
                    <w:kinsoku/>
                    <w:bidi w:val="0"/>
                    <w:spacing w:beforeAutospacing="0" w:afterAutospacing="0"/>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Align w:val="center"/>
                </w:tcPr>
                <w:p>
                  <w:pPr>
                    <w:pStyle w:val="98"/>
                    <w:pageBreakBefore w:val="0"/>
                    <w:kinsoku/>
                    <w:bidi w:val="0"/>
                    <w:spacing w:beforeAutospacing="0" w:afterAutospacing="0"/>
                    <w:rPr>
                      <w:rFonts w:hint="eastAsia" w:ascii="Times New Roman" w:hAnsi="Times New Roman" w:eastAsia="宋体" w:cs="Times New Roman"/>
                      <w:snapToGrid w:val="0"/>
                      <w:color w:val="000000" w:themeColor="text1"/>
                      <w:kern w:val="18"/>
                      <w:szCs w:val="21"/>
                      <w:highlight w:val="none"/>
                      <w:lang w:eastAsia="zh-CN"/>
                      <w14:textFill>
                        <w14:solidFill>
                          <w14:schemeClr w14:val="tx1"/>
                        </w14:solidFill>
                      </w14:textFill>
                    </w:rPr>
                  </w:pPr>
                  <w:r>
                    <w:rPr>
                      <w:rFonts w:hint="eastAsia" w:ascii="Times New Roman" w:hAnsi="Times New Roman" w:eastAsia="宋体" w:cs="Times New Roman"/>
                      <w:snapToGrid w:val="0"/>
                      <w:color w:val="000000" w:themeColor="text1"/>
                      <w:kern w:val="18"/>
                      <w:szCs w:val="21"/>
                      <w:highlight w:val="none"/>
                      <w:lang w:val="en-US" w:eastAsia="zh-CN"/>
                      <w14:textFill>
                        <w14:solidFill>
                          <w14:schemeClr w14:val="tx1"/>
                        </w14:solidFill>
                      </w14:textFill>
                    </w:rPr>
                    <w:t>7</w:t>
                  </w:r>
                </w:p>
              </w:tc>
              <w:tc>
                <w:tcPr>
                  <w:tcW w:w="1362" w:type="dxa"/>
                  <w:vAlign w:val="center"/>
                </w:tcPr>
                <w:p>
                  <w:pPr>
                    <w:pageBreakBefore w:val="0"/>
                    <w:widowControl/>
                    <w:kinsoku/>
                    <w:bidi w:val="0"/>
                    <w:spacing w:beforeAutospacing="0" w:afterAutospacing="0"/>
                    <w:jc w:val="cente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硫化物</w:t>
                  </w:r>
                </w:p>
                <w:p>
                  <w:pPr>
                    <w:pageBreakBefore w:val="0"/>
                    <w:widowControl/>
                    <w:kinsoku/>
                    <w:bidi w:val="0"/>
                    <w:spacing w:beforeAutospacing="0" w:afterAutospacing="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以S计</w:t>
                  </w:r>
                  <w:r>
                    <w:rPr>
                      <w:rFonts w:hint="default" w:ascii="Times New Roman" w:hAnsi="Times New Roman" w:eastAsia="宋体" w:cs="Times New Roman"/>
                      <w:snapToGrid w:val="0"/>
                      <w:color w:val="000000" w:themeColor="text1"/>
                      <w:kern w:val="18"/>
                      <w:szCs w:val="21"/>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w:t>
                  </w:r>
                </w:p>
              </w:tc>
              <w:tc>
                <w:tcPr>
                  <w:tcW w:w="1485" w:type="dxa"/>
                  <w:vAlign w:val="center"/>
                </w:tcPr>
                <w:p>
                  <w:pPr>
                    <w:pStyle w:val="106"/>
                    <w:pageBreakBefore w:val="0"/>
                    <w:kinsoku/>
                    <w:bidi w:val="0"/>
                    <w:spacing w:beforeAutospacing="0" w:afterAutospacing="0"/>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0.02</w:t>
                  </w:r>
                </w:p>
              </w:tc>
              <w:tc>
                <w:tcPr>
                  <w:tcW w:w="1442" w:type="dxa"/>
                  <w:vAlign w:val="center"/>
                </w:tcPr>
                <w:p>
                  <w:pPr>
                    <w:pStyle w:val="106"/>
                    <w:pageBreakBefore w:val="0"/>
                    <w:kinsoku/>
                    <w:bidi w:val="0"/>
                    <w:spacing w:beforeAutospacing="0" w:afterAutospacing="0"/>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0.05</w:t>
                  </w:r>
                </w:p>
              </w:tc>
              <w:tc>
                <w:tcPr>
                  <w:tcW w:w="1698" w:type="dxa"/>
                  <w:vAlign w:val="center"/>
                </w:tcPr>
                <w:p>
                  <w:pPr>
                    <w:pStyle w:val="106"/>
                    <w:pageBreakBefore w:val="0"/>
                    <w:kinsoku/>
                    <w:bidi w:val="0"/>
                    <w:spacing w:beforeAutospacing="0" w:afterAutospacing="0"/>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0.10</w:t>
                  </w:r>
                </w:p>
              </w:tc>
              <w:tc>
                <w:tcPr>
                  <w:tcW w:w="1698" w:type="dxa"/>
                  <w:vAlign w:val="center"/>
                </w:tcPr>
                <w:p>
                  <w:pPr>
                    <w:pStyle w:val="98"/>
                    <w:pageBreakBefore w:val="0"/>
                    <w:kinsoku/>
                    <w:bidi w:val="0"/>
                    <w:spacing w:beforeAutospacing="0" w:afterAutospacing="0"/>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Align w:val="center"/>
                </w:tcPr>
                <w:p>
                  <w:pPr>
                    <w:pStyle w:val="98"/>
                    <w:pageBreakBefore w:val="0"/>
                    <w:kinsoku/>
                    <w:bidi w:val="0"/>
                    <w:spacing w:beforeAutospacing="0" w:afterAutospacing="0"/>
                    <w:rPr>
                      <w:rFonts w:hint="eastAsia" w:ascii="Times New Roman" w:hAnsi="Times New Roman" w:eastAsia="宋体" w:cs="Times New Roman"/>
                      <w:snapToGrid w:val="0"/>
                      <w:color w:val="000000" w:themeColor="text1"/>
                      <w:kern w:val="18"/>
                      <w:szCs w:val="21"/>
                      <w:highlight w:val="none"/>
                      <w:lang w:eastAsia="zh-CN"/>
                      <w14:textFill>
                        <w14:solidFill>
                          <w14:schemeClr w14:val="tx1"/>
                        </w14:solidFill>
                      </w14:textFill>
                    </w:rPr>
                  </w:pPr>
                  <w:r>
                    <w:rPr>
                      <w:rFonts w:hint="eastAsia" w:ascii="Times New Roman" w:hAnsi="Times New Roman" w:eastAsia="宋体" w:cs="Times New Roman"/>
                      <w:snapToGrid w:val="0"/>
                      <w:color w:val="000000" w:themeColor="text1"/>
                      <w:kern w:val="18"/>
                      <w:szCs w:val="21"/>
                      <w:highlight w:val="none"/>
                      <w:lang w:val="en-US" w:eastAsia="zh-CN"/>
                      <w14:textFill>
                        <w14:solidFill>
                          <w14:schemeClr w14:val="tx1"/>
                        </w14:solidFill>
                      </w14:textFill>
                    </w:rPr>
                    <w:t>8</w:t>
                  </w:r>
                </w:p>
              </w:tc>
              <w:tc>
                <w:tcPr>
                  <w:tcW w:w="1362" w:type="dxa"/>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kern w:val="18"/>
                      <w:szCs w:val="21"/>
                      <w:highlight w:val="none"/>
                      <w:lang w:val="en-US" w:eastAsia="zh-CN"/>
                      <w14:textFill>
                        <w14:solidFill>
                          <w14:schemeClr w14:val="tx1"/>
                        </w14:solidFill>
                      </w14:textFill>
                    </w:rPr>
                    <w:t>大肠菌群</w:t>
                  </w: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w:t>
                  </w:r>
                </w:p>
              </w:tc>
              <w:tc>
                <w:tcPr>
                  <w:tcW w:w="4625" w:type="dxa"/>
                  <w:gridSpan w:val="3"/>
                  <w:vAlign w:val="center"/>
                </w:tcPr>
                <w:p>
                  <w:pPr>
                    <w:pStyle w:val="98"/>
                    <w:pageBreakBefore w:val="0"/>
                    <w:kinsoku/>
                    <w:bidi w:val="0"/>
                    <w:spacing w:beforeAutospacing="0" w:afterAutospacing="0"/>
                    <w:rPr>
                      <w:rFonts w:hint="default" w:ascii="Times New Roman" w:hAnsi="Times New Roman" w:eastAsia="宋体" w:cs="Times New Roman"/>
                      <w:snapToGrid w:val="0"/>
                      <w:color w:val="000000" w:themeColor="text1"/>
                      <w:kern w:val="18"/>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18"/>
                      <w:szCs w:val="21"/>
                      <w:highlight w:val="none"/>
                      <w:lang w:val="en-US" w:eastAsia="zh-CN"/>
                      <w14:textFill>
                        <w14:solidFill>
                          <w14:schemeClr w14:val="tx1"/>
                        </w14:solidFill>
                      </w14:textFill>
                    </w:rPr>
                    <w:t>10000</w:t>
                  </w:r>
                </w:p>
              </w:tc>
              <w:tc>
                <w:tcPr>
                  <w:tcW w:w="1698" w:type="dxa"/>
                  <w:vAlign w:val="center"/>
                </w:tcPr>
                <w:p>
                  <w:pPr>
                    <w:pStyle w:val="98"/>
                    <w:pageBreakBefore w:val="0"/>
                    <w:kinsoku/>
                    <w:bidi w:val="0"/>
                    <w:spacing w:beforeAutospacing="0" w:afterAutospacing="0"/>
                    <w:rPr>
                      <w:rFonts w:hint="eastAsia" w:ascii="Times New Roman" w:hAnsi="Times New Roman" w:eastAsia="宋体" w:cs="Times New Roman"/>
                      <w:snapToGrid w:val="0"/>
                      <w:color w:val="000000" w:themeColor="text1"/>
                      <w:kern w:val="18"/>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18"/>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Align w:val="center"/>
                </w:tcPr>
                <w:p>
                  <w:pPr>
                    <w:pStyle w:val="98"/>
                    <w:pageBreakBefore w:val="0"/>
                    <w:kinsoku/>
                    <w:bidi w:val="0"/>
                    <w:spacing w:beforeAutospacing="0" w:afterAutospacing="0"/>
                    <w:rPr>
                      <w:rFonts w:hint="default" w:ascii="Times New Roman" w:hAnsi="Times New Roman" w:eastAsia="宋体" w:cs="Times New Roman"/>
                      <w:snapToGrid w:val="0"/>
                      <w:color w:val="000000" w:themeColor="text1"/>
                      <w:kern w:val="18"/>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18"/>
                      <w:szCs w:val="21"/>
                      <w:highlight w:val="none"/>
                      <w:lang w:val="en-US" w:eastAsia="zh-CN"/>
                      <w14:textFill>
                        <w14:solidFill>
                          <w14:schemeClr w14:val="tx1"/>
                        </w14:solidFill>
                      </w14:textFill>
                    </w:rPr>
                    <w:t>9</w:t>
                  </w:r>
                </w:p>
              </w:tc>
              <w:tc>
                <w:tcPr>
                  <w:tcW w:w="1362" w:type="dxa"/>
                  <w:vAlign w:val="center"/>
                </w:tcPr>
                <w:p>
                  <w:pPr>
                    <w:pageBreakBefore w:val="0"/>
                    <w:widowControl/>
                    <w:kinsoku/>
                    <w:bidi w:val="0"/>
                    <w:spacing w:beforeAutospacing="0" w:afterAutospacing="0"/>
                    <w:jc w:val="center"/>
                    <w:rPr>
                      <w:rFonts w:hint="eastAsia" w:ascii="Times New Roman" w:hAnsi="Times New Roman" w:eastAsia="宋体" w:cs="Times New Roman"/>
                      <w:snapToGrid w:val="0"/>
                      <w:color w:val="000000" w:themeColor="text1"/>
                      <w:kern w:val="18"/>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粪大肠菌群</w:t>
                  </w:r>
                </w:p>
              </w:tc>
              <w:tc>
                <w:tcPr>
                  <w:tcW w:w="4625" w:type="dxa"/>
                  <w:gridSpan w:val="3"/>
                  <w:vAlign w:val="center"/>
                </w:tcPr>
                <w:p>
                  <w:pPr>
                    <w:pStyle w:val="98"/>
                    <w:pageBreakBefore w:val="0"/>
                    <w:kinsoku/>
                    <w:bidi w:val="0"/>
                    <w:spacing w:beforeAutospacing="0" w:afterAutospacing="0"/>
                    <w:rPr>
                      <w:rFonts w:hint="default" w:ascii="Times New Roman" w:hAnsi="Times New Roman" w:eastAsia="宋体" w:cs="Times New Roman"/>
                      <w:snapToGrid w:val="0"/>
                      <w:color w:val="000000" w:themeColor="text1"/>
                      <w:kern w:val="18"/>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18"/>
                      <w:szCs w:val="21"/>
                      <w:highlight w:val="none"/>
                      <w:lang w:val="en-US" w:eastAsia="zh-CN"/>
                      <w14:textFill>
                        <w14:solidFill>
                          <w14:schemeClr w14:val="tx1"/>
                        </w14:solidFill>
                      </w14:textFill>
                    </w:rPr>
                    <w:t>2000</w:t>
                  </w:r>
                </w:p>
              </w:tc>
              <w:tc>
                <w:tcPr>
                  <w:tcW w:w="1698" w:type="dxa"/>
                  <w:vAlign w:val="center"/>
                </w:tcPr>
                <w:p>
                  <w:pPr>
                    <w:pStyle w:val="98"/>
                    <w:pageBreakBefore w:val="0"/>
                    <w:kinsoku/>
                    <w:bidi w:val="0"/>
                    <w:spacing w:beforeAutospacing="0" w:afterAutospacing="0"/>
                    <w:rPr>
                      <w:rFonts w:hint="eastAsia" w:ascii="Times New Roman" w:hAnsi="Times New Roman" w:eastAsia="宋体" w:cs="Times New Roman"/>
                      <w:snapToGrid w:val="0"/>
                      <w:color w:val="000000" w:themeColor="text1"/>
                      <w:kern w:val="18"/>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18"/>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2" w:type="dxa"/>
                  <w:vAlign w:val="center"/>
                </w:tcPr>
                <w:p>
                  <w:pPr>
                    <w:pStyle w:val="98"/>
                    <w:pageBreakBefore w:val="0"/>
                    <w:kinsoku/>
                    <w:bidi w:val="0"/>
                    <w:spacing w:beforeAutospacing="0" w:afterAutospacing="0"/>
                    <w:rPr>
                      <w:rFonts w:hint="default" w:ascii="Times New Roman" w:hAnsi="Times New Roman" w:eastAsia="宋体" w:cs="Times New Roman"/>
                      <w:snapToGrid w:val="0"/>
                      <w:color w:val="000000" w:themeColor="text1"/>
                      <w:kern w:val="18"/>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18"/>
                      <w:szCs w:val="21"/>
                      <w:highlight w:val="none"/>
                      <w:lang w:val="en-US" w:eastAsia="zh-CN"/>
                      <w14:textFill>
                        <w14:solidFill>
                          <w14:schemeClr w14:val="tx1"/>
                        </w14:solidFill>
                      </w14:textFill>
                    </w:rPr>
                    <w:t>10</w:t>
                  </w:r>
                </w:p>
              </w:tc>
              <w:tc>
                <w:tcPr>
                  <w:tcW w:w="1362" w:type="dxa"/>
                  <w:vAlign w:val="center"/>
                </w:tcPr>
                <w:p>
                  <w:pPr>
                    <w:pageBreakBefore w:val="0"/>
                    <w:widowControl/>
                    <w:kinsoku/>
                    <w:bidi w:val="0"/>
                    <w:spacing w:beforeAutospacing="0" w:afterAutospacing="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石油类</w:t>
                  </w: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w:t>
                  </w:r>
                </w:p>
              </w:tc>
              <w:tc>
                <w:tcPr>
                  <w:tcW w:w="2927" w:type="dxa"/>
                  <w:gridSpan w:val="2"/>
                  <w:vAlign w:val="center"/>
                </w:tcPr>
                <w:p>
                  <w:pPr>
                    <w:pStyle w:val="106"/>
                    <w:pageBreakBefore w:val="0"/>
                    <w:kinsoku/>
                    <w:bidi w:val="0"/>
                    <w:spacing w:beforeAutospacing="0" w:afterAutospacing="0"/>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0.05</w:t>
                  </w:r>
                </w:p>
              </w:tc>
              <w:tc>
                <w:tcPr>
                  <w:tcW w:w="1698" w:type="dxa"/>
                  <w:vAlign w:val="center"/>
                </w:tcPr>
                <w:p>
                  <w:pPr>
                    <w:pStyle w:val="106"/>
                    <w:pageBreakBefore w:val="0"/>
                    <w:kinsoku/>
                    <w:bidi w:val="0"/>
                    <w:spacing w:beforeAutospacing="0" w:afterAutospacing="0"/>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0.30</w:t>
                  </w:r>
                </w:p>
              </w:tc>
              <w:tc>
                <w:tcPr>
                  <w:tcW w:w="1698" w:type="dxa"/>
                  <w:vAlign w:val="center"/>
                </w:tcPr>
                <w:p>
                  <w:pPr>
                    <w:pStyle w:val="98"/>
                    <w:pageBreakBefore w:val="0"/>
                    <w:kinsoku/>
                    <w:bidi w:val="0"/>
                    <w:spacing w:beforeAutospacing="0" w:afterAutospacing="0"/>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pPr>
                  <w:r>
                    <w:rPr>
                      <w:rFonts w:hint="default" w:ascii="Times New Roman" w:hAnsi="Times New Roman" w:eastAsia="宋体" w:cs="Times New Roman"/>
                      <w:snapToGrid w:val="0"/>
                      <w:color w:val="000000" w:themeColor="text1"/>
                      <w:kern w:val="18"/>
                      <w:szCs w:val="21"/>
                      <w:highlight w:val="none"/>
                      <w14:textFill>
                        <w14:solidFill>
                          <w14:schemeClr w14:val="tx1"/>
                        </w14:solidFill>
                      </w14:textFill>
                    </w:rPr>
                    <w:t>0.50</w:t>
                  </w:r>
                </w:p>
              </w:tc>
            </w:tr>
          </w:tbl>
          <w:p>
            <w:pPr>
              <w:keepNext w:val="0"/>
              <w:keepLines w:val="0"/>
              <w:pageBreakBefore w:val="0"/>
              <w:widowControl w:val="0"/>
              <w:kinsoku/>
              <w:wordWrap w:val="0"/>
              <w:overflowPunct/>
              <w:topLinePunct w:val="0"/>
              <w:autoSpaceDE/>
              <w:autoSpaceDN/>
              <w:bidi w:val="0"/>
              <w:adjustRightInd w:val="0"/>
              <w:snapToGrid w:val="0"/>
              <w:spacing w:beforeAutospacing="0" w:afterAutospacing="0"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海洋水质现状调查</w:t>
            </w:r>
          </w:p>
          <w:p>
            <w:pPr>
              <w:keepNext w:val="0"/>
              <w:keepLines w:val="0"/>
              <w:pageBreakBefore w:val="0"/>
              <w:widowControl w:val="0"/>
              <w:kinsoku/>
              <w:wordWrap w:val="0"/>
              <w:overflowPunct/>
              <w:topLinePunct w:val="0"/>
              <w:autoSpaceDE/>
              <w:autoSpaceDN/>
              <w:bidi w:val="0"/>
              <w:adjustRightInd w:val="0"/>
              <w:snapToGrid w:val="0"/>
              <w:spacing w:beforeAutospacing="0" w:afterAutospacing="0" w:line="360" w:lineRule="auto"/>
              <w:ind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根据福建省生态环境厅发布网址发布的《20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21</w:t>
            </w:r>
            <w:r>
              <w:rPr>
                <w:rFonts w:hint="default" w:ascii="Times New Roman" w:hAnsi="Times New Roman" w:eastAsia="宋体" w:cs="Times New Roman"/>
                <w:color w:val="000000" w:themeColor="text1"/>
                <w:sz w:val="24"/>
                <w:szCs w:val="24"/>
                <w:highlight w:val="none"/>
                <w14:textFill>
                  <w14:solidFill>
                    <w14:schemeClr w14:val="tx1"/>
                  </w14:solidFill>
                </w14:textFill>
              </w:rPr>
              <w:t>年近岸海域第三期海水水质监测信息公开》</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网址：http://sthjt.fujian.gov.cn/ztzl/hjzl/hyhjzl/rhhljcxx/202201/t20220125_5824643.htm)，监测时间20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21</w:t>
            </w:r>
            <w:r>
              <w:rPr>
                <w:rFonts w:hint="default" w:ascii="Times New Roman" w:hAnsi="Times New Roman" w:eastAsia="宋体" w:cs="Times New Roman"/>
                <w:color w:val="000000" w:themeColor="text1"/>
                <w:sz w:val="24"/>
                <w:szCs w:val="24"/>
                <w:highlight w:val="none"/>
                <w14:textFill>
                  <w14:solidFill>
                    <w14:schemeClr w14:val="tx1"/>
                  </w14:solidFill>
                </w14:textFill>
              </w:rPr>
              <w:t>年1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月</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日，宁德市测站</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站位编码F</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水质为三类，详见表3.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3。</w:t>
            </w:r>
          </w:p>
          <w:p>
            <w:pPr>
              <w:pageBreakBefore w:val="0"/>
              <w:kinsoku/>
              <w:autoSpaceDE w:val="0"/>
              <w:autoSpaceDN w:val="0"/>
              <w:bidi w:val="0"/>
              <w:adjustRightInd w:val="0"/>
              <w:spacing w:beforeAutospacing="0" w:afterAutospacing="0"/>
              <w:jc w:val="center"/>
              <w:textAlignment w:val="baseline"/>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表3.</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3  水质监测情况一览表</w:t>
            </w:r>
          </w:p>
          <w:tbl>
            <w:tblPr>
              <w:tblStyle w:val="33"/>
              <w:tblW w:w="842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91"/>
              <w:gridCol w:w="415"/>
              <w:gridCol w:w="1025"/>
              <w:gridCol w:w="1138"/>
              <w:gridCol w:w="764"/>
              <w:gridCol w:w="764"/>
              <w:gridCol w:w="764"/>
              <w:gridCol w:w="764"/>
              <w:gridCol w:w="764"/>
              <w:gridCol w:w="764"/>
              <w:gridCol w:w="77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91" w:type="dxa"/>
                  <w:vMerge w:val="restart"/>
                  <w:tcBorders>
                    <w:bottom w:val="single" w:color="auto" w:sz="4" w:space="0"/>
                    <w:right w:val="single" w:color="auto" w:sz="4" w:space="0"/>
                  </w:tcBorders>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所在城市</w:t>
                  </w:r>
                </w:p>
              </w:tc>
              <w:tc>
                <w:tcPr>
                  <w:tcW w:w="415" w:type="dxa"/>
                  <w:vMerge w:val="restart"/>
                  <w:tcBorders>
                    <w:left w:val="single" w:color="auto" w:sz="4" w:space="0"/>
                    <w:bottom w:val="single" w:color="auto" w:sz="4" w:space="0"/>
                    <w:right w:val="single" w:color="auto" w:sz="4" w:space="0"/>
                  </w:tcBorders>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站位编码</w:t>
                  </w:r>
                </w:p>
              </w:tc>
              <w:tc>
                <w:tcPr>
                  <w:tcW w:w="1025" w:type="dxa"/>
                  <w:vMerge w:val="restart"/>
                  <w:tcBorders>
                    <w:left w:val="single" w:color="auto" w:sz="4" w:space="0"/>
                    <w:bottom w:val="single" w:color="auto" w:sz="4" w:space="0"/>
                    <w:right w:val="single" w:color="auto" w:sz="4" w:space="0"/>
                  </w:tcBorders>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经纬度</w:t>
                  </w:r>
                </w:p>
              </w:tc>
              <w:tc>
                <w:tcPr>
                  <w:tcW w:w="1138" w:type="dxa"/>
                  <w:vMerge w:val="restart"/>
                  <w:tcBorders>
                    <w:left w:val="single" w:color="auto" w:sz="4" w:space="0"/>
                    <w:bottom w:val="single" w:color="auto" w:sz="4" w:space="0"/>
                    <w:right w:val="single" w:color="auto" w:sz="4" w:space="0"/>
                  </w:tcBorders>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监测时间</w:t>
                  </w:r>
                </w:p>
              </w:tc>
              <w:tc>
                <w:tcPr>
                  <w:tcW w:w="5358" w:type="dxa"/>
                  <w:gridSpan w:val="7"/>
                  <w:tcBorders>
                    <w:left w:val="single" w:color="auto" w:sz="4" w:space="0"/>
                    <w:bottom w:val="single" w:color="auto" w:sz="4" w:space="0"/>
                    <w:right w:val="nil"/>
                  </w:tcBorders>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监测指标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1" w:type="dxa"/>
                  <w:vMerge w:val="continue"/>
                  <w:tcBorders>
                    <w:top w:val="single" w:color="auto" w:sz="4" w:space="0"/>
                    <w:bottom w:val="single" w:color="auto" w:sz="4" w:space="0"/>
                    <w:right w:val="single" w:color="auto" w:sz="4" w:space="0"/>
                  </w:tcBorders>
                  <w:shd w:val="clear" w:color="auto" w:fill="auto"/>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415" w:type="dxa"/>
                  <w:vMerge w:val="continue"/>
                  <w:tcBorders>
                    <w:top w:val="single" w:color="auto" w:sz="4" w:space="0"/>
                    <w:left w:val="single" w:color="auto" w:sz="4" w:space="0"/>
                    <w:bottom w:val="single" w:color="auto" w:sz="4" w:space="0"/>
                    <w:right w:val="single" w:color="auto" w:sz="4" w:space="0"/>
                  </w:tcBorders>
                  <w:shd w:val="clear" w:color="auto" w:fill="auto"/>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025" w:type="dxa"/>
                  <w:vMerge w:val="continue"/>
                  <w:tcBorders>
                    <w:top w:val="single" w:color="auto" w:sz="4" w:space="0"/>
                    <w:left w:val="single" w:color="auto" w:sz="4" w:space="0"/>
                    <w:bottom w:val="single" w:color="auto" w:sz="4" w:space="0"/>
                    <w:right w:val="single" w:color="auto" w:sz="4" w:space="0"/>
                  </w:tcBorders>
                  <w:shd w:val="clear" w:color="auto" w:fill="auto"/>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1138" w:type="dxa"/>
                  <w:vMerge w:val="continue"/>
                  <w:tcBorders>
                    <w:top w:val="single" w:color="auto" w:sz="4" w:space="0"/>
                    <w:left w:val="single" w:color="auto" w:sz="4" w:space="0"/>
                    <w:bottom w:val="single" w:color="auto" w:sz="4" w:space="0"/>
                    <w:right w:val="single" w:color="auto" w:sz="4" w:space="0"/>
                  </w:tcBorders>
                  <w:shd w:val="clear" w:color="auto" w:fill="auto"/>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764" w:type="dxa"/>
                  <w:tcBorders>
                    <w:top w:val="single" w:color="auto" w:sz="4" w:space="0"/>
                    <w:left w:val="single" w:color="auto" w:sz="4" w:space="0"/>
                    <w:bottom w:val="single" w:color="auto" w:sz="4" w:space="0"/>
                    <w:right w:val="single" w:color="auto" w:sz="4" w:space="0"/>
                  </w:tcBorders>
                  <w:shd w:val="clear" w:color="auto" w:fill="FFFFFF"/>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水温</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764" w:type="dxa"/>
                  <w:tcBorders>
                    <w:top w:val="single" w:color="auto" w:sz="4" w:space="0"/>
                    <w:left w:val="single" w:color="auto" w:sz="4" w:space="0"/>
                    <w:bottom w:val="single" w:color="auto" w:sz="4" w:space="0"/>
                    <w:right w:val="single" w:color="auto" w:sz="4" w:space="0"/>
                  </w:tcBorders>
                  <w:shd w:val="clear" w:color="auto" w:fill="FFFFFF"/>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盐度</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764" w:type="dxa"/>
                  <w:tcBorders>
                    <w:top w:val="single" w:color="auto" w:sz="4" w:space="0"/>
                    <w:left w:val="single" w:color="auto" w:sz="4" w:space="0"/>
                    <w:bottom w:val="single" w:color="auto" w:sz="4" w:space="0"/>
                    <w:right w:val="single" w:color="auto" w:sz="4" w:space="0"/>
                  </w:tcBorders>
                  <w:shd w:val="clear" w:color="auto" w:fill="FFFFFF"/>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悬浮物</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mg/L)</w:t>
                  </w:r>
                </w:p>
              </w:tc>
              <w:tc>
                <w:tcPr>
                  <w:tcW w:w="764" w:type="dxa"/>
                  <w:tcBorders>
                    <w:top w:val="single" w:color="auto" w:sz="4" w:space="0"/>
                    <w:left w:val="single" w:color="auto" w:sz="4" w:space="0"/>
                    <w:bottom w:val="single" w:color="auto" w:sz="4" w:space="0"/>
                    <w:right w:val="single" w:color="auto" w:sz="4" w:space="0"/>
                  </w:tcBorders>
                  <w:shd w:val="clear" w:color="auto" w:fill="FFFFFF"/>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溶解氧</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mg/L)</w:t>
                  </w:r>
                </w:p>
              </w:tc>
              <w:tc>
                <w:tcPr>
                  <w:tcW w:w="764" w:type="dxa"/>
                  <w:tcBorders>
                    <w:top w:val="single" w:color="auto" w:sz="4" w:space="0"/>
                    <w:left w:val="single" w:color="auto" w:sz="4" w:space="0"/>
                    <w:bottom w:val="single" w:color="auto" w:sz="4" w:space="0"/>
                    <w:right w:val="single" w:color="auto" w:sz="4" w:space="0"/>
                  </w:tcBorders>
                  <w:shd w:val="clear" w:color="auto" w:fill="FFFFFF"/>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pH</w:t>
                  </w:r>
                </w:p>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无量纲</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p>
              </w:tc>
              <w:tc>
                <w:tcPr>
                  <w:tcW w:w="764" w:type="dxa"/>
                  <w:tcBorders>
                    <w:top w:val="single" w:color="auto" w:sz="4" w:space="0"/>
                    <w:left w:val="single" w:color="auto" w:sz="4" w:space="0"/>
                    <w:bottom w:val="single" w:color="auto" w:sz="4" w:space="0"/>
                    <w:right w:val="single" w:color="auto" w:sz="4" w:space="0"/>
                  </w:tcBorders>
                  <w:shd w:val="clear" w:color="auto" w:fill="FFFFFF"/>
                  <w:tcMar>
                    <w:top w:w="0" w:type="dxa"/>
                    <w:left w:w="6" w:type="dxa"/>
                    <w:bottom w:w="0" w:type="dxa"/>
                    <w:right w:w="6" w:type="dxa"/>
                  </w:tcMar>
                  <w:vAlign w:val="center"/>
                </w:tcPr>
                <w:p>
                  <w:pPr>
                    <w:pageBreakBefore w:val="0"/>
                    <w:kinsoku/>
                    <w:bidi w:val="0"/>
                    <w:adjustRightInd w:val="0"/>
                    <w:snapToGrid w:val="0"/>
                    <w:spacing w:beforeAutospacing="0" w:afterAutospacing="0" w:line="30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总磷</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mg/L)</w:t>
                  </w:r>
                </w:p>
              </w:tc>
              <w:tc>
                <w:tcPr>
                  <w:tcW w:w="774" w:type="dxa"/>
                  <w:tcBorders>
                    <w:top w:val="single" w:color="auto" w:sz="4" w:space="0"/>
                    <w:left w:val="single" w:color="auto" w:sz="4" w:space="0"/>
                    <w:bottom w:val="single" w:color="auto" w:sz="4" w:space="0"/>
                    <w:right w:val="nil"/>
                  </w:tcBorders>
                  <w:shd w:val="clear" w:color="auto" w:fill="FFFFFF"/>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COD</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81" w:hRule="atLeast"/>
                <w:jc w:val="center"/>
              </w:trPr>
              <w:tc>
                <w:tcPr>
                  <w:tcW w:w="491" w:type="dxa"/>
                  <w:tcBorders>
                    <w:top w:val="single" w:color="auto" w:sz="4" w:space="0"/>
                    <w:bottom w:val="single" w:color="auto" w:sz="4" w:space="0"/>
                    <w:right w:val="single" w:color="auto" w:sz="4" w:space="0"/>
                  </w:tcBorders>
                  <w:shd w:val="clear" w:color="auto" w:fill="auto"/>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eastAsia="zh-CN"/>
                      <w14:textFill>
                        <w14:solidFill>
                          <w14:schemeClr w14:val="tx1"/>
                        </w14:solidFill>
                      </w14:textFill>
                    </w:rPr>
                    <w:t>宁德</w:t>
                  </w:r>
                  <w:r>
                    <w:rPr>
                      <w:rFonts w:hint="default" w:ascii="Times New Roman" w:hAnsi="Times New Roman" w:eastAsia="宋体" w:cs="Times New Roman"/>
                      <w:color w:val="000000" w:themeColor="text1"/>
                      <w:szCs w:val="21"/>
                      <w:highlight w:val="none"/>
                      <w14:textFill>
                        <w14:solidFill>
                          <w14:schemeClr w14:val="tx1"/>
                        </w14:solidFill>
                      </w14:textFill>
                    </w:rPr>
                    <w:t>市</w:t>
                  </w:r>
                </w:p>
              </w:tc>
              <w:tc>
                <w:tcPr>
                  <w:tcW w:w="415" w:type="dxa"/>
                  <w:tcBorders>
                    <w:top w:val="single" w:color="auto" w:sz="4" w:space="0"/>
                    <w:left w:val="single" w:color="auto" w:sz="4" w:space="0"/>
                    <w:bottom w:val="single" w:color="auto" w:sz="4" w:space="0"/>
                    <w:right w:val="single" w:color="auto" w:sz="4" w:space="0"/>
                  </w:tcBorders>
                  <w:shd w:val="clear" w:color="auto" w:fill="auto"/>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F</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2</w:t>
                  </w:r>
                </w:p>
              </w:tc>
              <w:tc>
                <w:tcPr>
                  <w:tcW w:w="1025" w:type="dxa"/>
                  <w:tcBorders>
                    <w:top w:val="single" w:color="auto" w:sz="4" w:space="0"/>
                    <w:left w:val="single" w:color="auto" w:sz="4" w:space="0"/>
                    <w:bottom w:val="single" w:color="auto" w:sz="4" w:space="0"/>
                    <w:right w:val="single" w:color="auto" w:sz="4" w:space="0"/>
                  </w:tcBorders>
                  <w:shd w:val="clear" w:color="auto" w:fill="auto"/>
                  <w:tcMar>
                    <w:top w:w="0" w:type="dxa"/>
                    <w:left w:w="6" w:type="dxa"/>
                    <w:bottom w:w="0" w:type="dxa"/>
                    <w:right w:w="6" w:type="dxa"/>
                  </w:tcMar>
                  <w:vAlign w:val="center"/>
                </w:tcPr>
                <w:p>
                  <w:pPr>
                    <w:pageBreakBefore w:val="0"/>
                    <w:widowControl/>
                    <w:kinsoku/>
                    <w:bidi w:val="0"/>
                    <w:spacing w:beforeAutospacing="0" w:afterAutospacing="0"/>
                    <w:jc w:val="center"/>
                    <w:textAlignment w:val="bottom"/>
                    <w:rPr>
                      <w:rFonts w:hint="default" w:ascii="Times New Roman" w:hAnsi="Times New Roman" w:eastAsia="宋体" w:cs="Times New Roman"/>
                      <w:color w:val="000000" w:themeColor="text1"/>
                      <w:kern w:val="0"/>
                      <w:sz w:val="20"/>
                      <w:szCs w:val="20"/>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lang w:bidi="ar"/>
                      <w14:textFill>
                        <w14:solidFill>
                          <w14:schemeClr w14:val="tx1"/>
                        </w14:solidFill>
                      </w14:textFill>
                    </w:rPr>
                    <w:t>27.1856</w:t>
                  </w: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0"/>
                      <w:szCs w:val="20"/>
                      <w:highlight w:val="none"/>
                      <w:lang w:bidi="ar"/>
                      <w14:textFill>
                        <w14:solidFill>
                          <w14:schemeClr w14:val="tx1"/>
                        </w14:solidFill>
                      </w14:textFill>
                    </w:rPr>
                    <w:t>120.3978</w:t>
                  </w:r>
                </w:p>
              </w:tc>
              <w:tc>
                <w:tcPr>
                  <w:tcW w:w="1138" w:type="dxa"/>
                  <w:tcBorders>
                    <w:top w:val="single" w:color="auto" w:sz="4" w:space="0"/>
                    <w:left w:val="single" w:color="auto" w:sz="4" w:space="0"/>
                    <w:bottom w:val="single" w:color="auto" w:sz="4" w:space="0"/>
                    <w:right w:val="single" w:color="auto" w:sz="4" w:space="0"/>
                  </w:tcBorders>
                  <w:shd w:val="clear" w:color="auto" w:fill="auto"/>
                  <w:tcMar>
                    <w:top w:w="0" w:type="dxa"/>
                    <w:left w:w="6" w:type="dxa"/>
                    <w:bottom w:w="0" w:type="dxa"/>
                    <w:right w:w="6" w:type="dxa"/>
                  </w:tcMar>
                  <w:vAlign w:val="center"/>
                </w:tcPr>
                <w:p>
                  <w:pPr>
                    <w:pageBreakBefore w:val="0"/>
                    <w:widowControl/>
                    <w:kinsoku/>
                    <w:bidi w:val="0"/>
                    <w:spacing w:beforeAutospacing="0" w:afterAutospacing="0"/>
                    <w:jc w:val="center"/>
                    <w:textAlignment w:val="bottom"/>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20</w:t>
                  </w:r>
                  <w:r>
                    <w:rPr>
                      <w:rFonts w:hint="eastAsia"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21</w:t>
                  </w: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-1</w:t>
                  </w:r>
                  <w:r>
                    <w:rPr>
                      <w:rFonts w:hint="eastAsia"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1</w:t>
                  </w:r>
                </w:p>
              </w:tc>
              <w:tc>
                <w:tcPr>
                  <w:tcW w:w="764" w:type="dxa"/>
                  <w:tcBorders>
                    <w:top w:val="single" w:color="auto" w:sz="4" w:space="0"/>
                    <w:left w:val="single" w:color="auto" w:sz="4" w:space="0"/>
                    <w:bottom w:val="single" w:color="auto" w:sz="4" w:space="0"/>
                    <w:right w:val="single" w:color="auto" w:sz="4" w:space="0"/>
                  </w:tcBorders>
                  <w:shd w:val="clear" w:color="auto" w:fill="FFFFFF"/>
                  <w:tcMar>
                    <w:top w:w="0" w:type="dxa"/>
                    <w:left w:w="6" w:type="dxa"/>
                    <w:bottom w:w="0" w:type="dxa"/>
                    <w:right w:w="6" w:type="dxa"/>
                  </w:tcMar>
                  <w:vAlign w:val="center"/>
                </w:tcPr>
                <w:p>
                  <w:pPr>
                    <w:pageBreakBefore w:val="0"/>
                    <w:widowControl/>
                    <w:kinsoku/>
                    <w:bidi w:val="0"/>
                    <w:spacing w:beforeAutospacing="0" w:afterAutospacing="0"/>
                    <w:jc w:val="center"/>
                    <w:textAlignment w:val="bottom"/>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21.45</w:t>
                  </w:r>
                </w:p>
              </w:tc>
              <w:tc>
                <w:tcPr>
                  <w:tcW w:w="764" w:type="dxa"/>
                  <w:tcBorders>
                    <w:top w:val="single" w:color="auto" w:sz="4" w:space="0"/>
                    <w:left w:val="single" w:color="auto" w:sz="4" w:space="0"/>
                    <w:bottom w:val="single" w:color="auto" w:sz="4" w:space="0"/>
                    <w:right w:val="single" w:color="auto" w:sz="4" w:space="0"/>
                  </w:tcBorders>
                  <w:shd w:val="clear" w:color="auto" w:fill="FFFFFF"/>
                  <w:tcMar>
                    <w:top w:w="0" w:type="dxa"/>
                    <w:left w:w="6" w:type="dxa"/>
                    <w:bottom w:w="0" w:type="dxa"/>
                    <w:right w:w="6" w:type="dxa"/>
                  </w:tcMar>
                  <w:vAlign w:val="center"/>
                </w:tcPr>
                <w:p>
                  <w:pPr>
                    <w:pageBreakBefore w:val="0"/>
                    <w:widowControl/>
                    <w:kinsoku/>
                    <w:bidi w:val="0"/>
                    <w:spacing w:beforeAutospacing="0" w:afterAutospacing="0"/>
                    <w:jc w:val="center"/>
                    <w:textAlignment w:val="bottom"/>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23.5</w:t>
                  </w:r>
                </w:p>
              </w:tc>
              <w:tc>
                <w:tcPr>
                  <w:tcW w:w="764" w:type="dxa"/>
                  <w:tcBorders>
                    <w:top w:val="single" w:color="auto" w:sz="4" w:space="0"/>
                    <w:left w:val="single" w:color="auto" w:sz="4" w:space="0"/>
                    <w:bottom w:val="single" w:color="auto" w:sz="4" w:space="0"/>
                    <w:right w:val="single" w:color="auto" w:sz="4" w:space="0"/>
                  </w:tcBorders>
                  <w:shd w:val="clear" w:color="auto" w:fill="FFFFFF"/>
                  <w:tcMar>
                    <w:top w:w="0" w:type="dxa"/>
                    <w:left w:w="6" w:type="dxa"/>
                    <w:bottom w:w="0" w:type="dxa"/>
                    <w:right w:w="6" w:type="dxa"/>
                  </w:tcMar>
                  <w:vAlign w:val="center"/>
                </w:tcPr>
                <w:p>
                  <w:pPr>
                    <w:pageBreakBefore w:val="0"/>
                    <w:widowControl/>
                    <w:kinsoku/>
                    <w:bidi w:val="0"/>
                    <w:spacing w:beforeAutospacing="0" w:afterAutospacing="0"/>
                    <w:jc w:val="center"/>
                    <w:textAlignment w:val="bottom"/>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21</w:t>
                  </w:r>
                </w:p>
              </w:tc>
              <w:tc>
                <w:tcPr>
                  <w:tcW w:w="764" w:type="dxa"/>
                  <w:tcBorders>
                    <w:top w:val="single" w:color="auto" w:sz="4" w:space="0"/>
                    <w:left w:val="single" w:color="auto" w:sz="4" w:space="0"/>
                    <w:bottom w:val="single" w:color="auto" w:sz="4" w:space="0"/>
                    <w:right w:val="single" w:color="auto" w:sz="4" w:space="0"/>
                  </w:tcBorders>
                  <w:shd w:val="clear" w:color="auto" w:fill="FFFFFF"/>
                  <w:tcMar>
                    <w:top w:w="0" w:type="dxa"/>
                    <w:left w:w="6" w:type="dxa"/>
                    <w:bottom w:w="0" w:type="dxa"/>
                    <w:right w:w="6" w:type="dxa"/>
                  </w:tcMar>
                  <w:vAlign w:val="center"/>
                </w:tcPr>
                <w:p>
                  <w:pPr>
                    <w:pageBreakBefore w:val="0"/>
                    <w:widowControl/>
                    <w:kinsoku/>
                    <w:bidi w:val="0"/>
                    <w:spacing w:beforeAutospacing="0" w:afterAutospacing="0"/>
                    <w:jc w:val="center"/>
                    <w:textAlignment w:val="bottom"/>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5.8</w:t>
                  </w:r>
                </w:p>
              </w:tc>
              <w:tc>
                <w:tcPr>
                  <w:tcW w:w="764" w:type="dxa"/>
                  <w:tcBorders>
                    <w:top w:val="single" w:color="auto" w:sz="4" w:space="0"/>
                    <w:left w:val="single" w:color="auto" w:sz="4" w:space="0"/>
                    <w:bottom w:val="single" w:color="auto" w:sz="4" w:space="0"/>
                    <w:right w:val="single" w:color="auto" w:sz="4" w:space="0"/>
                  </w:tcBorders>
                  <w:shd w:val="clear" w:color="auto" w:fill="FFFFFF"/>
                  <w:tcMar>
                    <w:top w:w="0" w:type="dxa"/>
                    <w:left w:w="6" w:type="dxa"/>
                    <w:bottom w:w="0" w:type="dxa"/>
                    <w:right w:w="6" w:type="dxa"/>
                  </w:tcMar>
                  <w:vAlign w:val="center"/>
                </w:tcPr>
                <w:p>
                  <w:pPr>
                    <w:pageBreakBefore w:val="0"/>
                    <w:widowControl/>
                    <w:kinsoku/>
                    <w:bidi w:val="0"/>
                    <w:spacing w:beforeAutospacing="0" w:afterAutospacing="0"/>
                    <w:jc w:val="center"/>
                    <w:textAlignment w:val="bottom"/>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7.86</w:t>
                  </w:r>
                </w:p>
              </w:tc>
              <w:tc>
                <w:tcPr>
                  <w:tcW w:w="764" w:type="dxa"/>
                  <w:tcBorders>
                    <w:top w:val="single" w:color="auto" w:sz="4" w:space="0"/>
                    <w:left w:val="single" w:color="auto" w:sz="4" w:space="0"/>
                    <w:bottom w:val="single" w:color="auto" w:sz="4" w:space="0"/>
                    <w:right w:val="single" w:color="auto" w:sz="4" w:space="0"/>
                  </w:tcBorders>
                  <w:shd w:val="clear" w:color="auto" w:fill="FFFFFF"/>
                  <w:tcMar>
                    <w:top w:w="0" w:type="dxa"/>
                    <w:left w:w="6" w:type="dxa"/>
                    <w:bottom w:w="0" w:type="dxa"/>
                    <w:right w:w="6" w:type="dxa"/>
                  </w:tcMar>
                  <w:vAlign w:val="center"/>
                </w:tcPr>
                <w:p>
                  <w:pPr>
                    <w:pageBreakBefore w:val="0"/>
                    <w:widowControl/>
                    <w:kinsoku/>
                    <w:bidi w:val="0"/>
                    <w:spacing w:beforeAutospacing="0" w:afterAutospacing="0"/>
                    <w:jc w:val="center"/>
                    <w:textAlignment w:val="bottom"/>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0.084</w:t>
                  </w:r>
                </w:p>
              </w:tc>
              <w:tc>
                <w:tcPr>
                  <w:tcW w:w="774" w:type="dxa"/>
                  <w:tcBorders>
                    <w:top w:val="single" w:color="auto" w:sz="4" w:space="0"/>
                    <w:left w:val="single" w:color="auto" w:sz="4" w:space="0"/>
                    <w:bottom w:val="single" w:color="auto" w:sz="4" w:space="0"/>
                    <w:right w:val="nil"/>
                  </w:tcBorders>
                  <w:shd w:val="clear" w:color="auto" w:fill="FFFFFF"/>
                  <w:tcMar>
                    <w:top w:w="0" w:type="dxa"/>
                    <w:left w:w="6" w:type="dxa"/>
                    <w:bottom w:w="0" w:type="dxa"/>
                    <w:right w:w="6" w:type="dxa"/>
                  </w:tcMar>
                  <w:vAlign w:val="center"/>
                </w:tcPr>
                <w:p>
                  <w:pPr>
                    <w:pageBreakBefore w:val="0"/>
                    <w:widowControl/>
                    <w:kinsoku/>
                    <w:bidi w:val="0"/>
                    <w:spacing w:beforeAutospacing="0" w:afterAutospacing="0"/>
                    <w:jc w:val="center"/>
                    <w:textAlignment w:val="bottom"/>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0.76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69" w:type="dxa"/>
                  <w:gridSpan w:val="4"/>
                  <w:tcBorders>
                    <w:top w:val="single" w:color="auto" w:sz="4" w:space="0"/>
                    <w:bottom w:val="single" w:color="auto" w:sz="4" w:space="0"/>
                    <w:right w:val="single" w:color="auto" w:sz="4" w:space="0"/>
                  </w:tcBorders>
                  <w:shd w:val="clear" w:color="auto" w:fill="auto"/>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《海水水质标准》</w:t>
                  </w:r>
                </w:p>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第三类标准值</w:t>
                  </w:r>
                </w:p>
              </w:tc>
              <w:tc>
                <w:tcPr>
                  <w:tcW w:w="764" w:type="dxa"/>
                  <w:tcBorders>
                    <w:top w:val="single" w:color="auto" w:sz="4" w:space="0"/>
                    <w:left w:val="single" w:color="auto" w:sz="4" w:space="0"/>
                    <w:bottom w:val="single" w:color="auto" w:sz="4" w:space="0"/>
                    <w:right w:val="single" w:color="auto" w:sz="4" w:space="0"/>
                  </w:tcBorders>
                  <w:shd w:val="clear" w:color="auto" w:fill="FFFFFF"/>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764" w:type="dxa"/>
                  <w:tcBorders>
                    <w:top w:val="single" w:color="auto" w:sz="4" w:space="0"/>
                    <w:left w:val="single" w:color="auto" w:sz="4" w:space="0"/>
                    <w:bottom w:val="single" w:color="auto" w:sz="4" w:space="0"/>
                    <w:right w:val="single" w:color="auto" w:sz="4" w:space="0"/>
                  </w:tcBorders>
                  <w:shd w:val="clear" w:color="auto" w:fill="FFFFFF"/>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764" w:type="dxa"/>
                  <w:tcBorders>
                    <w:top w:val="single" w:color="auto" w:sz="4" w:space="0"/>
                    <w:left w:val="single" w:color="auto" w:sz="4" w:space="0"/>
                    <w:bottom w:val="single" w:color="auto" w:sz="4" w:space="0"/>
                    <w:right w:val="single" w:color="auto" w:sz="4" w:space="0"/>
                  </w:tcBorders>
                  <w:shd w:val="clear" w:color="auto" w:fill="FFFFFF"/>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764" w:type="dxa"/>
                  <w:tcBorders>
                    <w:top w:val="single" w:color="auto" w:sz="4" w:space="0"/>
                    <w:left w:val="single" w:color="auto" w:sz="4" w:space="0"/>
                    <w:bottom w:val="single" w:color="auto" w:sz="4" w:space="0"/>
                    <w:right w:val="single" w:color="auto" w:sz="4" w:space="0"/>
                  </w:tcBorders>
                  <w:shd w:val="clear" w:color="auto" w:fill="FFFFFF"/>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w:t>
                  </w:r>
                </w:p>
              </w:tc>
              <w:tc>
                <w:tcPr>
                  <w:tcW w:w="764" w:type="dxa"/>
                  <w:tcBorders>
                    <w:top w:val="single" w:color="auto" w:sz="4" w:space="0"/>
                    <w:left w:val="single" w:color="auto" w:sz="4" w:space="0"/>
                    <w:bottom w:val="single" w:color="auto" w:sz="4" w:space="0"/>
                    <w:right w:val="single" w:color="auto" w:sz="4" w:space="0"/>
                  </w:tcBorders>
                  <w:shd w:val="clear" w:color="auto" w:fill="FFFFFF"/>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6.8～8.8</w:t>
                  </w:r>
                </w:p>
              </w:tc>
              <w:tc>
                <w:tcPr>
                  <w:tcW w:w="764" w:type="dxa"/>
                  <w:tcBorders>
                    <w:top w:val="single" w:color="auto" w:sz="4" w:space="0"/>
                    <w:left w:val="single" w:color="auto" w:sz="4" w:space="0"/>
                    <w:bottom w:val="single" w:color="auto" w:sz="4" w:space="0"/>
                    <w:right w:val="single" w:color="auto" w:sz="4" w:space="0"/>
                  </w:tcBorders>
                  <w:shd w:val="clear" w:color="auto" w:fill="FFFFFF"/>
                  <w:tcMar>
                    <w:top w:w="0" w:type="dxa"/>
                    <w:left w:w="6" w:type="dxa"/>
                    <w:bottom w:w="0" w:type="dxa"/>
                    <w:right w:w="6" w:type="dxa"/>
                  </w:tcMar>
                  <w:vAlign w:val="center"/>
                </w:tcPr>
                <w:p>
                  <w:pPr>
                    <w:pageBreakBefore w:val="0"/>
                    <w:kinsoku/>
                    <w:bidi w:val="0"/>
                    <w:adjustRightInd w:val="0"/>
                    <w:snapToGrid w:val="0"/>
                    <w:spacing w:beforeAutospacing="0" w:afterAutospacing="0" w:line="30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774" w:type="dxa"/>
                  <w:tcBorders>
                    <w:top w:val="single" w:color="auto" w:sz="4" w:space="0"/>
                    <w:left w:val="single" w:color="auto" w:sz="4" w:space="0"/>
                    <w:bottom w:val="single" w:color="auto" w:sz="4" w:space="0"/>
                    <w:right w:val="nil"/>
                  </w:tcBorders>
                  <w:shd w:val="clear" w:color="auto" w:fill="FFFFFF"/>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30" w:hRule="atLeast"/>
                <w:jc w:val="center"/>
              </w:trPr>
              <w:tc>
                <w:tcPr>
                  <w:tcW w:w="491" w:type="dxa"/>
                  <w:tcBorders>
                    <w:top w:val="single" w:color="auto" w:sz="4" w:space="0"/>
                    <w:bottom w:val="single" w:color="auto" w:sz="4" w:space="0"/>
                    <w:right w:val="single" w:color="auto" w:sz="4" w:space="0"/>
                  </w:tcBorders>
                  <w:shd w:val="clear" w:color="auto" w:fill="auto"/>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所在城市</w:t>
                  </w:r>
                </w:p>
              </w:tc>
              <w:tc>
                <w:tcPr>
                  <w:tcW w:w="415" w:type="dxa"/>
                  <w:tcBorders>
                    <w:top w:val="single" w:color="auto" w:sz="4" w:space="0"/>
                    <w:left w:val="single" w:color="auto" w:sz="4" w:space="0"/>
                    <w:bottom w:val="single" w:color="auto" w:sz="4" w:space="0"/>
                    <w:right w:val="single" w:color="auto" w:sz="4" w:space="0"/>
                  </w:tcBorders>
                  <w:shd w:val="clear" w:color="auto" w:fill="auto"/>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站位编码</w:t>
                  </w:r>
                </w:p>
              </w:tc>
              <w:tc>
                <w:tcPr>
                  <w:tcW w:w="1025" w:type="dxa"/>
                  <w:tcBorders>
                    <w:top w:val="single" w:color="auto" w:sz="4" w:space="0"/>
                    <w:left w:val="single" w:color="auto" w:sz="4" w:space="0"/>
                    <w:bottom w:val="single" w:color="auto" w:sz="4" w:space="0"/>
                    <w:right w:val="single" w:color="auto" w:sz="4" w:space="0"/>
                  </w:tcBorders>
                  <w:shd w:val="clear" w:color="auto" w:fill="auto"/>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经纬度</w:t>
                  </w:r>
                </w:p>
              </w:tc>
              <w:tc>
                <w:tcPr>
                  <w:tcW w:w="1138" w:type="dxa"/>
                  <w:tcBorders>
                    <w:top w:val="single" w:color="auto" w:sz="4" w:space="0"/>
                    <w:left w:val="single" w:color="auto" w:sz="4" w:space="0"/>
                    <w:bottom w:val="single" w:color="auto" w:sz="4" w:space="0"/>
                    <w:right w:val="single" w:color="auto" w:sz="4" w:space="0"/>
                  </w:tcBorders>
                  <w:shd w:val="clear" w:color="auto" w:fill="auto"/>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监测时间</w:t>
                  </w:r>
                </w:p>
              </w:tc>
              <w:tc>
                <w:tcPr>
                  <w:tcW w:w="764" w:type="dxa"/>
                  <w:tcBorders>
                    <w:top w:val="single" w:color="auto" w:sz="4" w:space="0"/>
                    <w:left w:val="single" w:color="auto" w:sz="4" w:space="0"/>
                    <w:bottom w:val="single" w:color="auto" w:sz="4" w:space="0"/>
                    <w:right w:val="single" w:color="auto" w:sz="4" w:space="0"/>
                  </w:tcBorders>
                  <w:shd w:val="clear" w:color="auto" w:fill="FFFFFF"/>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氨氮</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mg/L)</w:t>
                  </w:r>
                </w:p>
              </w:tc>
              <w:tc>
                <w:tcPr>
                  <w:tcW w:w="764" w:type="dxa"/>
                  <w:tcBorders>
                    <w:top w:val="single" w:color="auto" w:sz="4" w:space="0"/>
                    <w:left w:val="single" w:color="auto" w:sz="4" w:space="0"/>
                    <w:bottom w:val="single" w:color="auto" w:sz="4" w:space="0"/>
                    <w:right w:val="single" w:color="auto" w:sz="4" w:space="0"/>
                  </w:tcBorders>
                  <w:shd w:val="clear" w:color="auto" w:fill="FFFFFF"/>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石油类</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mg/L)</w:t>
                  </w:r>
                </w:p>
              </w:tc>
              <w:tc>
                <w:tcPr>
                  <w:tcW w:w="764" w:type="dxa"/>
                  <w:tcBorders>
                    <w:top w:val="single" w:color="auto" w:sz="4" w:space="0"/>
                    <w:left w:val="single" w:color="auto" w:sz="4" w:space="0"/>
                    <w:bottom w:val="single" w:color="auto" w:sz="4" w:space="0"/>
                    <w:right w:val="single" w:color="auto" w:sz="4" w:space="0"/>
                  </w:tcBorders>
                  <w:shd w:val="clear" w:color="auto" w:fill="FFFFFF"/>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vertAlign w:val="subscript"/>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BOD</w:t>
                  </w:r>
                  <w:r>
                    <w:rPr>
                      <w:rFonts w:hint="default" w:ascii="Times New Roman" w:hAnsi="Times New Roman" w:eastAsia="宋体" w:cs="Times New Roman"/>
                      <w:color w:val="000000" w:themeColor="text1"/>
                      <w:szCs w:val="21"/>
                      <w:highlight w:val="none"/>
                      <w:vertAlign w:val="subscript"/>
                      <w14:textFill>
                        <w14:solidFill>
                          <w14:schemeClr w14:val="tx1"/>
                        </w14:solidFill>
                      </w14:textFill>
                    </w:rPr>
                    <w:t>5</w:t>
                  </w:r>
                </w:p>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(mg/L)</w:t>
                  </w:r>
                </w:p>
              </w:tc>
              <w:tc>
                <w:tcPr>
                  <w:tcW w:w="764" w:type="dxa"/>
                  <w:tcBorders>
                    <w:top w:val="single" w:color="auto" w:sz="4" w:space="0"/>
                    <w:left w:val="single" w:color="auto" w:sz="4" w:space="0"/>
                    <w:bottom w:val="single" w:color="auto" w:sz="4" w:space="0"/>
                    <w:right w:val="single" w:color="auto" w:sz="4" w:space="0"/>
                  </w:tcBorders>
                  <w:shd w:val="clear" w:color="auto" w:fill="FFFFFF"/>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硫化物</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mg/L)</w:t>
                  </w:r>
                </w:p>
              </w:tc>
              <w:tc>
                <w:tcPr>
                  <w:tcW w:w="764" w:type="dxa"/>
                  <w:tcBorders>
                    <w:top w:val="single" w:color="auto" w:sz="4" w:space="0"/>
                    <w:left w:val="single" w:color="auto" w:sz="4" w:space="0"/>
                    <w:bottom w:val="single" w:color="auto" w:sz="4" w:space="0"/>
                    <w:right w:val="single" w:color="auto" w:sz="4" w:space="0"/>
                  </w:tcBorders>
                  <w:shd w:val="clear" w:color="auto" w:fill="FFFFFF"/>
                  <w:tcMar>
                    <w:top w:w="0" w:type="dxa"/>
                    <w:left w:w="6" w:type="dxa"/>
                    <w:bottom w:w="0" w:type="dxa"/>
                    <w:right w:w="6" w:type="dxa"/>
                  </w:tcMar>
                  <w:vAlign w:val="center"/>
                </w:tcPr>
                <w:p>
                  <w:pPr>
                    <w:pageBreakBefore w:val="0"/>
                    <w:kinsoku/>
                    <w:bidi w:val="0"/>
                    <w:adjustRightInd w:val="0"/>
                    <w:snapToGrid w:val="0"/>
                    <w:spacing w:beforeAutospacing="0" w:afterAutospacing="0" w:line="3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总氮</w:t>
                  </w: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mg/L)</w:t>
                  </w:r>
                </w:p>
              </w:tc>
              <w:tc>
                <w:tcPr>
                  <w:tcW w:w="764" w:type="dxa"/>
                  <w:tcBorders>
                    <w:top w:val="single" w:color="auto" w:sz="4" w:space="0"/>
                    <w:left w:val="single" w:color="auto" w:sz="4" w:space="0"/>
                    <w:bottom w:val="single" w:color="auto" w:sz="4" w:space="0"/>
                    <w:right w:val="single" w:color="auto" w:sz="4" w:space="0"/>
                  </w:tcBorders>
                  <w:shd w:val="clear" w:color="auto" w:fill="FFFFFF"/>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大肠</w:t>
                  </w:r>
                </w:p>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菌群</w:t>
                  </w:r>
                </w:p>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个/L)</w:t>
                  </w:r>
                </w:p>
              </w:tc>
              <w:tc>
                <w:tcPr>
                  <w:tcW w:w="774" w:type="dxa"/>
                  <w:tcBorders>
                    <w:top w:val="single" w:color="auto" w:sz="4" w:space="0"/>
                    <w:left w:val="single" w:color="auto" w:sz="4" w:space="0"/>
                    <w:bottom w:val="single" w:color="auto" w:sz="4" w:space="0"/>
                    <w:right w:val="nil"/>
                  </w:tcBorders>
                  <w:shd w:val="clear" w:color="auto" w:fill="FFFFFF"/>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粪大肠菌群</w:t>
                  </w:r>
                </w:p>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Cs w:val="21"/>
                      <w:highlight w:val="none"/>
                      <w14:textFill>
                        <w14:solidFill>
                          <w14:schemeClr w14:val="tx1"/>
                        </w14:solidFill>
                      </w14:textFill>
                    </w:rPr>
                    <w:t>个/L)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491" w:type="dxa"/>
                  <w:tcBorders>
                    <w:top w:val="single" w:color="auto" w:sz="4" w:space="0"/>
                    <w:bottom w:val="single" w:color="auto" w:sz="4" w:space="0"/>
                    <w:right w:val="single" w:color="auto" w:sz="4" w:space="0"/>
                  </w:tcBorders>
                  <w:shd w:val="clear" w:color="auto" w:fill="auto"/>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lang w:eastAsia="zh-CN"/>
                      <w14:textFill>
                        <w14:solidFill>
                          <w14:schemeClr w14:val="tx1"/>
                        </w14:solidFill>
                      </w14:textFill>
                    </w:rPr>
                    <w:t>宁德</w:t>
                  </w:r>
                  <w:r>
                    <w:rPr>
                      <w:rFonts w:hint="default" w:ascii="Times New Roman" w:hAnsi="Times New Roman" w:eastAsia="宋体" w:cs="Times New Roman"/>
                      <w:color w:val="000000" w:themeColor="text1"/>
                      <w:szCs w:val="21"/>
                      <w:highlight w:val="none"/>
                      <w14:textFill>
                        <w14:solidFill>
                          <w14:schemeClr w14:val="tx1"/>
                        </w14:solidFill>
                      </w14:textFill>
                    </w:rPr>
                    <w:t>市</w:t>
                  </w:r>
                </w:p>
              </w:tc>
              <w:tc>
                <w:tcPr>
                  <w:tcW w:w="415" w:type="dxa"/>
                  <w:tcBorders>
                    <w:top w:val="single" w:color="auto" w:sz="4" w:space="0"/>
                    <w:left w:val="single" w:color="auto" w:sz="4" w:space="0"/>
                    <w:bottom w:val="single" w:color="auto" w:sz="4" w:space="0"/>
                    <w:right w:val="single" w:color="auto" w:sz="4" w:space="0"/>
                  </w:tcBorders>
                  <w:shd w:val="clear" w:color="auto" w:fill="auto"/>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F</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2</w:t>
                  </w:r>
                </w:p>
              </w:tc>
              <w:tc>
                <w:tcPr>
                  <w:tcW w:w="1025" w:type="dxa"/>
                  <w:tcBorders>
                    <w:top w:val="single" w:color="auto" w:sz="4" w:space="0"/>
                    <w:left w:val="single" w:color="auto" w:sz="4" w:space="0"/>
                    <w:bottom w:val="single" w:color="auto" w:sz="4" w:space="0"/>
                    <w:right w:val="single" w:color="auto" w:sz="4" w:space="0"/>
                  </w:tcBorders>
                  <w:shd w:val="clear" w:color="auto" w:fill="auto"/>
                  <w:tcMar>
                    <w:top w:w="0" w:type="dxa"/>
                    <w:left w:w="6" w:type="dxa"/>
                    <w:bottom w:w="0" w:type="dxa"/>
                    <w:right w:w="6" w:type="dxa"/>
                  </w:tcMar>
                  <w:vAlign w:val="center"/>
                </w:tcPr>
                <w:p>
                  <w:pPr>
                    <w:pageBreakBefore w:val="0"/>
                    <w:widowControl/>
                    <w:kinsoku/>
                    <w:bidi w:val="0"/>
                    <w:spacing w:beforeAutospacing="0" w:afterAutospacing="0"/>
                    <w:jc w:val="center"/>
                    <w:textAlignment w:val="bottom"/>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lang w:bidi="ar"/>
                      <w14:textFill>
                        <w14:solidFill>
                          <w14:schemeClr w14:val="tx1"/>
                        </w14:solidFill>
                      </w14:textFill>
                    </w:rPr>
                    <w:t>27.1856</w:t>
                  </w: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0"/>
                      <w:szCs w:val="20"/>
                      <w:highlight w:val="none"/>
                      <w:lang w:bidi="ar"/>
                      <w14:textFill>
                        <w14:solidFill>
                          <w14:schemeClr w14:val="tx1"/>
                        </w14:solidFill>
                      </w14:textFill>
                    </w:rPr>
                    <w:t>120.3978</w:t>
                  </w:r>
                </w:p>
              </w:tc>
              <w:tc>
                <w:tcPr>
                  <w:tcW w:w="1138" w:type="dxa"/>
                  <w:tcBorders>
                    <w:top w:val="single" w:color="auto" w:sz="4" w:space="0"/>
                    <w:left w:val="single" w:color="auto" w:sz="4" w:space="0"/>
                    <w:bottom w:val="single" w:color="auto" w:sz="4" w:space="0"/>
                    <w:right w:val="single" w:color="auto" w:sz="4" w:space="0"/>
                  </w:tcBorders>
                  <w:shd w:val="clear" w:color="auto" w:fill="auto"/>
                  <w:tcMar>
                    <w:top w:w="0" w:type="dxa"/>
                    <w:left w:w="6" w:type="dxa"/>
                    <w:bottom w:w="0" w:type="dxa"/>
                    <w:right w:w="6" w:type="dxa"/>
                  </w:tcMar>
                  <w:vAlign w:val="center"/>
                </w:tcPr>
                <w:p>
                  <w:pPr>
                    <w:pageBreakBefore w:val="0"/>
                    <w:widowControl/>
                    <w:kinsoku/>
                    <w:bidi w:val="0"/>
                    <w:spacing w:beforeAutospacing="0" w:afterAutospacing="0"/>
                    <w:jc w:val="center"/>
                    <w:textAlignment w:val="bottom"/>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20</w:t>
                  </w:r>
                  <w:r>
                    <w:rPr>
                      <w:rFonts w:hint="eastAsia"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21</w:t>
                  </w: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11</w:t>
                  </w: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1</w:t>
                  </w:r>
                </w:p>
              </w:tc>
              <w:tc>
                <w:tcPr>
                  <w:tcW w:w="764" w:type="dxa"/>
                  <w:tcBorders>
                    <w:top w:val="single" w:color="auto" w:sz="4" w:space="0"/>
                    <w:left w:val="single" w:color="auto" w:sz="4" w:space="0"/>
                    <w:bottom w:val="single" w:color="auto" w:sz="4" w:space="0"/>
                    <w:right w:val="single" w:color="auto" w:sz="4" w:space="0"/>
                  </w:tcBorders>
                  <w:shd w:val="clear" w:color="auto" w:fill="FFFFFF"/>
                  <w:tcMar>
                    <w:top w:w="0" w:type="dxa"/>
                    <w:left w:w="6" w:type="dxa"/>
                    <w:bottom w:w="0" w:type="dxa"/>
                    <w:right w:w="6" w:type="dxa"/>
                  </w:tcMar>
                  <w:vAlign w:val="center"/>
                </w:tcPr>
                <w:p>
                  <w:pPr>
                    <w:pageBreakBefore w:val="0"/>
                    <w:widowControl/>
                    <w:kinsoku/>
                    <w:bidi w:val="0"/>
                    <w:spacing w:beforeAutospacing="0" w:afterAutospacing="0"/>
                    <w:jc w:val="center"/>
                    <w:textAlignment w:val="bottom"/>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0.0075</w:t>
                  </w:r>
                </w:p>
              </w:tc>
              <w:tc>
                <w:tcPr>
                  <w:tcW w:w="764" w:type="dxa"/>
                  <w:tcBorders>
                    <w:top w:val="single" w:color="auto" w:sz="4" w:space="0"/>
                    <w:left w:val="single" w:color="auto" w:sz="4" w:space="0"/>
                    <w:bottom w:val="single" w:color="auto" w:sz="4" w:space="0"/>
                    <w:right w:val="single" w:color="auto" w:sz="4" w:space="0"/>
                  </w:tcBorders>
                  <w:shd w:val="clear" w:color="auto" w:fill="FFFFFF"/>
                  <w:tcMar>
                    <w:top w:w="0" w:type="dxa"/>
                    <w:left w:w="6" w:type="dxa"/>
                    <w:bottom w:w="0" w:type="dxa"/>
                    <w:right w:w="6" w:type="dxa"/>
                  </w:tcMar>
                  <w:vAlign w:val="center"/>
                </w:tcPr>
                <w:p>
                  <w:pPr>
                    <w:pageBreakBefore w:val="0"/>
                    <w:widowControl/>
                    <w:kinsoku/>
                    <w:bidi w:val="0"/>
                    <w:spacing w:beforeAutospacing="0" w:afterAutospacing="0"/>
                    <w:jc w:val="center"/>
                    <w:textAlignment w:val="bottom"/>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0.0276</w:t>
                  </w:r>
                </w:p>
              </w:tc>
              <w:tc>
                <w:tcPr>
                  <w:tcW w:w="764" w:type="dxa"/>
                  <w:tcBorders>
                    <w:top w:val="single" w:color="auto" w:sz="4" w:space="0"/>
                    <w:left w:val="single" w:color="auto" w:sz="4" w:space="0"/>
                    <w:bottom w:val="single" w:color="auto" w:sz="4" w:space="0"/>
                    <w:right w:val="single" w:color="auto" w:sz="4" w:space="0"/>
                  </w:tcBorders>
                  <w:shd w:val="clear" w:color="auto" w:fill="FFFFFF"/>
                  <w:tcMar>
                    <w:top w:w="0" w:type="dxa"/>
                    <w:left w:w="6" w:type="dxa"/>
                    <w:bottom w:w="0" w:type="dxa"/>
                    <w:right w:w="6" w:type="dxa"/>
                  </w:tcMar>
                  <w:vAlign w:val="center"/>
                </w:tcPr>
                <w:p>
                  <w:pPr>
                    <w:pageBreakBefore w:val="0"/>
                    <w:widowControl/>
                    <w:kinsoku/>
                    <w:bidi w:val="0"/>
                    <w:spacing w:beforeAutospacing="0" w:afterAutospacing="0"/>
                    <w:jc w:val="center"/>
                    <w:textAlignment w:val="bottom"/>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-1</w:t>
                  </w:r>
                </w:p>
              </w:tc>
              <w:tc>
                <w:tcPr>
                  <w:tcW w:w="764" w:type="dxa"/>
                  <w:tcBorders>
                    <w:top w:val="single" w:color="auto" w:sz="4" w:space="0"/>
                    <w:left w:val="single" w:color="auto" w:sz="4" w:space="0"/>
                    <w:bottom w:val="single" w:color="auto" w:sz="4" w:space="0"/>
                    <w:right w:val="single" w:color="auto" w:sz="4" w:space="0"/>
                  </w:tcBorders>
                  <w:shd w:val="clear" w:color="auto" w:fill="FFFFFF"/>
                  <w:tcMar>
                    <w:top w:w="0" w:type="dxa"/>
                    <w:left w:w="6" w:type="dxa"/>
                    <w:bottom w:w="0" w:type="dxa"/>
                    <w:right w:w="6" w:type="dxa"/>
                  </w:tcMar>
                  <w:vAlign w:val="center"/>
                </w:tcPr>
                <w:p>
                  <w:pPr>
                    <w:pageBreakBefore w:val="0"/>
                    <w:widowControl/>
                    <w:kinsoku/>
                    <w:bidi w:val="0"/>
                    <w:spacing w:beforeAutospacing="0" w:afterAutospacing="0"/>
                    <w:jc w:val="center"/>
                    <w:textAlignment w:val="bottom"/>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-1</w:t>
                  </w:r>
                </w:p>
              </w:tc>
              <w:tc>
                <w:tcPr>
                  <w:tcW w:w="764" w:type="dxa"/>
                  <w:tcBorders>
                    <w:top w:val="single" w:color="auto" w:sz="4" w:space="0"/>
                    <w:left w:val="single" w:color="auto" w:sz="4" w:space="0"/>
                    <w:bottom w:val="single" w:color="auto" w:sz="4" w:space="0"/>
                    <w:right w:val="single" w:color="auto" w:sz="4" w:space="0"/>
                  </w:tcBorders>
                  <w:shd w:val="clear" w:color="auto" w:fill="FFFFFF"/>
                  <w:tcMar>
                    <w:top w:w="0" w:type="dxa"/>
                    <w:left w:w="6" w:type="dxa"/>
                    <w:bottom w:w="0" w:type="dxa"/>
                    <w:right w:w="6" w:type="dxa"/>
                  </w:tcMar>
                  <w:vAlign w:val="center"/>
                </w:tcPr>
                <w:p>
                  <w:pPr>
                    <w:pageBreakBefore w:val="0"/>
                    <w:widowControl/>
                    <w:kinsoku/>
                    <w:bidi w:val="0"/>
                    <w:spacing w:beforeAutospacing="0" w:afterAutospacing="0"/>
                    <w:jc w:val="center"/>
                    <w:textAlignment w:val="bottom"/>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0.55</w:t>
                  </w:r>
                </w:p>
              </w:tc>
              <w:tc>
                <w:tcPr>
                  <w:tcW w:w="764" w:type="dxa"/>
                  <w:tcBorders>
                    <w:top w:val="single" w:color="auto" w:sz="4" w:space="0"/>
                    <w:left w:val="single" w:color="auto" w:sz="4" w:space="0"/>
                    <w:bottom w:val="single" w:color="auto" w:sz="4" w:space="0"/>
                    <w:right w:val="single" w:color="auto" w:sz="4" w:space="0"/>
                  </w:tcBorders>
                  <w:shd w:val="clear" w:color="auto" w:fill="FFFFFF"/>
                  <w:tcMar>
                    <w:top w:w="0" w:type="dxa"/>
                    <w:left w:w="6" w:type="dxa"/>
                    <w:bottom w:w="0" w:type="dxa"/>
                    <w:right w:w="6" w:type="dxa"/>
                  </w:tcMar>
                  <w:vAlign w:val="center"/>
                </w:tcPr>
                <w:p>
                  <w:pPr>
                    <w:pageBreakBefore w:val="0"/>
                    <w:widowControl/>
                    <w:kinsoku/>
                    <w:bidi w:val="0"/>
                    <w:spacing w:beforeAutospacing="0" w:afterAutospacing="0"/>
                    <w:jc w:val="center"/>
                    <w:textAlignment w:val="bottom"/>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-1</w:t>
                  </w:r>
                </w:p>
              </w:tc>
              <w:tc>
                <w:tcPr>
                  <w:tcW w:w="774" w:type="dxa"/>
                  <w:tcBorders>
                    <w:top w:val="single" w:color="auto" w:sz="4" w:space="0"/>
                    <w:left w:val="single" w:color="auto" w:sz="4" w:space="0"/>
                    <w:bottom w:val="single" w:color="auto" w:sz="4" w:space="0"/>
                    <w:right w:val="nil"/>
                  </w:tcBorders>
                  <w:shd w:val="clear" w:color="auto" w:fill="FFFFFF"/>
                  <w:tcMar>
                    <w:top w:w="0" w:type="dxa"/>
                    <w:left w:w="6" w:type="dxa"/>
                    <w:bottom w:w="0" w:type="dxa"/>
                    <w:right w:w="6" w:type="dxa"/>
                  </w:tcMar>
                  <w:vAlign w:val="center"/>
                </w:tcPr>
                <w:p>
                  <w:pPr>
                    <w:pageBreakBefore w:val="0"/>
                    <w:widowControl/>
                    <w:kinsoku/>
                    <w:bidi w:val="0"/>
                    <w:spacing w:beforeAutospacing="0" w:afterAutospacing="0"/>
                    <w:jc w:val="center"/>
                    <w:textAlignment w:val="bottom"/>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0"/>
                      <w:szCs w:val="20"/>
                      <w:highlight w:val="none"/>
                      <w:lang w:val="en-US" w:eastAsia="zh-CN" w:bidi="ar"/>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069" w:type="dxa"/>
                  <w:gridSpan w:val="4"/>
                  <w:tcBorders>
                    <w:top w:val="single" w:color="auto" w:sz="4" w:space="0"/>
                    <w:right w:val="single" w:color="auto" w:sz="4" w:space="0"/>
                  </w:tcBorders>
                  <w:shd w:val="clear" w:color="auto" w:fill="auto"/>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《海水水质标准》</w:t>
                  </w:r>
                </w:p>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第三类标准值</w:t>
                  </w:r>
                </w:p>
              </w:tc>
              <w:tc>
                <w:tcPr>
                  <w:tcW w:w="764" w:type="dxa"/>
                  <w:tcBorders>
                    <w:top w:val="single" w:color="auto" w:sz="4" w:space="0"/>
                    <w:left w:val="single" w:color="auto" w:sz="4" w:space="0"/>
                    <w:right w:val="single" w:color="auto" w:sz="4" w:space="0"/>
                  </w:tcBorders>
                  <w:shd w:val="clear" w:color="auto" w:fill="FFFFFF"/>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jc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764" w:type="dxa"/>
                  <w:tcBorders>
                    <w:top w:val="single" w:color="auto" w:sz="4" w:space="0"/>
                    <w:left w:val="single" w:color="auto" w:sz="4" w:space="0"/>
                    <w:right w:val="single" w:color="auto" w:sz="4" w:space="0"/>
                  </w:tcBorders>
                  <w:shd w:val="clear" w:color="auto" w:fill="FFFFFF"/>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0.30</w:t>
                  </w:r>
                </w:p>
              </w:tc>
              <w:tc>
                <w:tcPr>
                  <w:tcW w:w="764" w:type="dxa"/>
                  <w:tcBorders>
                    <w:top w:val="single" w:color="auto" w:sz="4" w:space="0"/>
                    <w:left w:val="single" w:color="auto" w:sz="4" w:space="0"/>
                    <w:right w:val="single" w:color="auto" w:sz="4" w:space="0"/>
                  </w:tcBorders>
                  <w:shd w:val="clear" w:color="auto" w:fill="FFFFFF"/>
                  <w:tcMar>
                    <w:top w:w="0" w:type="dxa"/>
                    <w:left w:w="6" w:type="dxa"/>
                    <w:bottom w:w="0" w:type="dxa"/>
                    <w:right w:w="6" w:type="dxa"/>
                  </w:tcMar>
                  <w:vAlign w:val="center"/>
                </w:tcPr>
                <w:p>
                  <w:pPr>
                    <w:pageBreakBefore w:val="0"/>
                    <w:kinsoku/>
                    <w:bidi w:val="0"/>
                    <w:adjustRightInd w:val="0"/>
                    <w:snapToGrid w:val="0"/>
                    <w:spacing w:beforeAutospacing="0" w:afterAutospacing="0" w:line="30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4.0</w:t>
                  </w:r>
                </w:p>
              </w:tc>
              <w:tc>
                <w:tcPr>
                  <w:tcW w:w="764" w:type="dxa"/>
                  <w:tcBorders>
                    <w:top w:val="single" w:color="auto" w:sz="4" w:space="0"/>
                    <w:left w:val="single" w:color="auto" w:sz="4" w:space="0"/>
                    <w:right w:val="single" w:color="auto" w:sz="4" w:space="0"/>
                  </w:tcBorders>
                  <w:shd w:val="clear" w:color="auto" w:fill="FFFFFF"/>
                  <w:tcMar>
                    <w:top w:w="0" w:type="dxa"/>
                    <w:left w:w="6" w:type="dxa"/>
                    <w:bottom w:w="0" w:type="dxa"/>
                    <w:right w:w="6" w:type="dxa"/>
                  </w:tcMar>
                  <w:vAlign w:val="center"/>
                </w:tcPr>
                <w:p>
                  <w:pPr>
                    <w:pageBreakBefore w:val="0"/>
                    <w:kinsoku/>
                    <w:bidi w:val="0"/>
                    <w:adjustRightInd w:val="0"/>
                    <w:snapToGrid w:val="0"/>
                    <w:spacing w:beforeAutospacing="0" w:afterAutospacing="0" w:line="30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0.10</w:t>
                  </w:r>
                </w:p>
              </w:tc>
              <w:tc>
                <w:tcPr>
                  <w:tcW w:w="764" w:type="dxa"/>
                  <w:tcBorders>
                    <w:top w:val="single" w:color="auto" w:sz="4" w:space="0"/>
                    <w:left w:val="single" w:color="auto" w:sz="4" w:space="0"/>
                    <w:right w:val="single" w:color="auto" w:sz="4" w:space="0"/>
                  </w:tcBorders>
                  <w:shd w:val="clear" w:color="auto" w:fill="FFFFFF"/>
                  <w:tcMar>
                    <w:top w:w="0" w:type="dxa"/>
                    <w:left w:w="6" w:type="dxa"/>
                    <w:bottom w:w="0" w:type="dxa"/>
                    <w:right w:w="6" w:type="dxa"/>
                  </w:tcMar>
                  <w:vAlign w:val="center"/>
                </w:tcPr>
                <w:p>
                  <w:pPr>
                    <w:pageBreakBefore w:val="0"/>
                    <w:kinsoku/>
                    <w:bidi w:val="0"/>
                    <w:adjustRightInd w:val="0"/>
                    <w:snapToGrid w:val="0"/>
                    <w:spacing w:beforeAutospacing="0" w:afterAutospacing="0" w:line="30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w:t>
                  </w:r>
                </w:p>
              </w:tc>
              <w:tc>
                <w:tcPr>
                  <w:tcW w:w="764" w:type="dxa"/>
                  <w:tcBorders>
                    <w:top w:val="single" w:color="auto" w:sz="4" w:space="0"/>
                    <w:left w:val="single" w:color="auto" w:sz="4" w:space="0"/>
                    <w:right w:val="single" w:color="auto" w:sz="4" w:space="0"/>
                  </w:tcBorders>
                  <w:shd w:val="clear" w:color="auto" w:fill="FFFFFF"/>
                  <w:tcMar>
                    <w:top w:w="0" w:type="dxa"/>
                    <w:left w:w="6" w:type="dxa"/>
                    <w:bottom w:w="0" w:type="dxa"/>
                    <w:right w:w="6" w:type="dxa"/>
                  </w:tcMar>
                  <w:vAlign w:val="center"/>
                </w:tcPr>
                <w:p>
                  <w:pPr>
                    <w:pageBreakBefore w:val="0"/>
                    <w:kinsoku/>
                    <w:bidi w:val="0"/>
                    <w:adjustRightInd w:val="0"/>
                    <w:snapToGrid w:val="0"/>
                    <w:spacing w:beforeAutospacing="0" w:afterAutospacing="0" w:line="280" w:lineRule="exact"/>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1000</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0</w:t>
                  </w:r>
                </w:p>
              </w:tc>
              <w:tc>
                <w:tcPr>
                  <w:tcW w:w="774" w:type="dxa"/>
                  <w:tcBorders>
                    <w:top w:val="single" w:color="auto" w:sz="4" w:space="0"/>
                    <w:left w:val="single" w:color="auto" w:sz="4" w:space="0"/>
                    <w:right w:val="nil"/>
                  </w:tcBorders>
                  <w:shd w:val="clear" w:color="auto" w:fill="FFFFFF"/>
                  <w:tcMar>
                    <w:top w:w="0" w:type="dxa"/>
                    <w:left w:w="6" w:type="dxa"/>
                    <w:bottom w:w="0" w:type="dxa"/>
                    <w:right w:w="6" w:type="dxa"/>
                  </w:tcMar>
                  <w:vAlign w:val="center"/>
                </w:tcPr>
                <w:p>
                  <w:pPr>
                    <w:pageBreakBefore w:val="0"/>
                    <w:kinsoku/>
                    <w:bidi w:val="0"/>
                    <w:adjustRightInd w:val="0"/>
                    <w:snapToGrid w:val="0"/>
                    <w:spacing w:beforeAutospacing="0" w:afterAutospacing="0" w:line="300" w:lineRule="exact"/>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2000</w:t>
                  </w:r>
                </w:p>
              </w:tc>
            </w:tr>
          </w:tbl>
          <w:p>
            <w:pPr>
              <w:pageBreakBefore w:val="0"/>
              <w:kinsoku/>
              <w:bidi w:val="0"/>
              <w:adjustRightInd w:val="0"/>
              <w:snapToGrid w:val="0"/>
              <w:spacing w:beforeAutospacing="0" w:afterAutospacing="0"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根据表3.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1-3</w:t>
            </w:r>
            <w:r>
              <w:rPr>
                <w:rFonts w:hint="default" w:ascii="Times New Roman" w:hAnsi="Times New Roman" w:eastAsia="宋体" w:cs="Times New Roman"/>
                <w:color w:val="000000" w:themeColor="text1"/>
                <w:sz w:val="24"/>
                <w:szCs w:val="24"/>
                <w:highlight w:val="none"/>
                <w14:textFill>
                  <w14:solidFill>
                    <w14:schemeClr w14:val="tx1"/>
                  </w14:solidFill>
                </w14:textFill>
              </w:rPr>
              <w:t>监测信息，</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本项目涉及到的</w:t>
            </w:r>
            <w:r>
              <w:rPr>
                <w:rFonts w:hint="default" w:ascii="Times New Roman" w:hAnsi="Times New Roman" w:eastAsia="宋体" w:cs="Times New Roman"/>
                <w:color w:val="000000" w:themeColor="text1"/>
                <w:sz w:val="24"/>
                <w:szCs w:val="24"/>
                <w:highlight w:val="none"/>
                <w14:textFill>
                  <w14:solidFill>
                    <w14:schemeClr w14:val="tx1"/>
                  </w14:solidFill>
                </w14:textFill>
              </w:rPr>
              <w:t>污染因子为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COD</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BOD</w:t>
            </w:r>
            <w:r>
              <w:rPr>
                <w:rFonts w:hint="default" w:ascii="Times New Roman" w:hAnsi="Times New Roman" w:eastAsia="宋体" w:cs="Times New Roman"/>
                <w:color w:val="000000" w:themeColor="text1"/>
                <w:sz w:val="24"/>
                <w:szCs w:val="24"/>
                <w:highlight w:val="none"/>
                <w:vertAlign w:val="subscript"/>
                <w:lang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、氨氮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和</w:t>
            </w:r>
            <w:r>
              <w:rPr>
                <w:rFonts w:hint="default" w:ascii="Times New Roman" w:hAnsi="Times New Roman" w:eastAsia="宋体" w:cs="Times New Roman"/>
                <w:color w:val="000000" w:themeColor="text1"/>
                <w:sz w:val="24"/>
                <w:szCs w:val="24"/>
                <w:highlight w:val="none"/>
                <w14:textFill>
                  <w14:solidFill>
                    <w14:schemeClr w14:val="tx1"/>
                  </w14:solidFill>
                </w14:textFill>
              </w:rPr>
              <w:t>石油类等</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其现状监测数据均符合</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《海水水质标准》(GB3097-1997</w:t>
            </w:r>
            <w:r>
              <w:rPr>
                <w:rFonts w:hint="default" w:ascii="Times New Roman" w:hAnsi="Times New Roman" w:eastAsia="宋体" w:cs="Times New Roman"/>
                <w:color w:val="000000" w:themeColor="text1"/>
                <w:sz w:val="24"/>
                <w:szCs w:val="24"/>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中第三类标准</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同时，</w:t>
            </w:r>
            <w:r>
              <w:rPr>
                <w:rFonts w:hint="default" w:ascii="Times New Roman" w:hAnsi="Times New Roman" w:eastAsia="宋体" w:cs="Times New Roman"/>
                <w:color w:val="000000" w:themeColor="text1"/>
                <w:sz w:val="24"/>
                <w:szCs w:val="24"/>
                <w:highlight w:val="none"/>
                <w14:textFill>
                  <w14:solidFill>
                    <w14:schemeClr w14:val="tx1"/>
                  </w14:solidFill>
                </w14:textFill>
              </w:rPr>
              <w:t>本项目生产废水经废水处理设施处理后循环使用</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不外排</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；车辆冲洗废水采用隔油沉淀池处理后循环使用，不外排</w:t>
            </w:r>
            <w:r>
              <w:rPr>
                <w:rFonts w:hint="default" w:ascii="Times New Roman" w:hAnsi="Times New Roman" w:eastAsia="宋体" w:cs="Times New Roman"/>
                <w:color w:val="000000" w:themeColor="text1"/>
                <w:sz w:val="24"/>
                <w:szCs w:val="24"/>
                <w:highlight w:val="none"/>
                <w14:textFill>
                  <w14:solidFill>
                    <w14:schemeClr w14:val="tx1"/>
                  </w14:solidFill>
                </w14:textFill>
              </w:rPr>
              <w:t>；项目生活污水经化粪池处理后用槽罐车运往</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白琳镇</w:t>
            </w:r>
            <w:r>
              <w:rPr>
                <w:rFonts w:hint="default" w:ascii="Times New Roman" w:hAnsi="Times New Roman" w:eastAsia="宋体" w:cs="Times New Roman"/>
                <w:color w:val="000000" w:themeColor="text1"/>
                <w:sz w:val="24"/>
                <w:szCs w:val="24"/>
                <w:highlight w:val="none"/>
                <w14:textFill>
                  <w14:solidFill>
                    <w14:schemeClr w14:val="tx1"/>
                  </w14:solidFill>
                </w14:textFill>
              </w:rPr>
              <w:t>污水处理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站</w:t>
            </w:r>
            <w:r>
              <w:rPr>
                <w:rFonts w:hint="default" w:ascii="Times New Roman" w:hAnsi="Times New Roman" w:eastAsia="宋体" w:cs="Times New Roman"/>
                <w:color w:val="000000" w:themeColor="text1"/>
                <w:sz w:val="24"/>
                <w:szCs w:val="24"/>
                <w:highlight w:val="none"/>
                <w14:textFill>
                  <w14:solidFill>
                    <w14:schemeClr w14:val="tx1"/>
                  </w14:solidFill>
                </w14:textFill>
              </w:rPr>
              <w:t>集中处理，不直接排入周边地表水体，不会增加区域水环境质量负荷。</w:t>
            </w:r>
          </w:p>
          <w:p>
            <w:pPr>
              <w:pageBreakBefore w:val="0"/>
              <w:kinsoku/>
              <w:bidi w:val="0"/>
              <w:adjustRightInd w:val="0"/>
              <w:snapToGrid w:val="0"/>
              <w:spacing w:beforeAutospacing="0" w:afterAutospacing="0" w:line="360" w:lineRule="auto"/>
              <w:ind w:firstLine="480" w:firstLineChars="200"/>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引用资料的可行性分析</w:t>
            </w:r>
          </w:p>
          <w:p>
            <w:pPr>
              <w:pageBreakBefore w:val="0"/>
              <w:kinsoku/>
              <w:bidi w:val="0"/>
              <w:adjustRightInd w:val="0"/>
              <w:snapToGrid w:val="0"/>
              <w:spacing w:beforeAutospacing="0" w:afterAutospacing="0"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根据《环境影响评价技术导则—地表水环境》(HJ 2.3-2018</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的要求，水环境质量现状调查应优先采用国务院生态环境保护主管部门统一发布的水环境状况信息，</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本次</w:t>
            </w:r>
            <w:r>
              <w:rPr>
                <w:rFonts w:hint="default" w:ascii="Times New Roman" w:hAnsi="Times New Roman" w:eastAsia="宋体" w:cs="Times New Roman"/>
                <w:color w:val="000000" w:themeColor="text1"/>
                <w:sz w:val="24"/>
                <w:szCs w:val="24"/>
                <w:highlight w:val="none"/>
                <w14:textFill>
                  <w14:solidFill>
                    <w14:schemeClr w14:val="tx1"/>
                  </w14:solidFill>
                </w14:textFill>
              </w:rPr>
              <w:t>评价选取福建省生态环境厅网站发布的水质监测状况信息，符合《环境影响评价技术导则—地表水环境》(HJ 2.3-2018</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的要求，环境现状监测数据可行。</w:t>
            </w:r>
          </w:p>
          <w:p>
            <w:pPr>
              <w:pageBreakBefore w:val="0"/>
              <w:kinsoku/>
              <w:bidi w:val="0"/>
              <w:adjustRightInd w:val="0"/>
              <w:snapToGrid w:val="0"/>
              <w:spacing w:beforeAutospacing="0" w:afterAutospacing="0" w:line="360" w:lineRule="auto"/>
              <w:ind w:firstLine="480" w:firstLineChars="200"/>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、海洋生态</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概况</w:t>
            </w:r>
          </w:p>
          <w:p>
            <w:pPr>
              <w:keepNext w:val="0"/>
              <w:keepLines w:val="0"/>
              <w:pageBreakBefore w:val="0"/>
              <w:widowControl w:val="0"/>
              <w:kinsoku/>
              <w:wordWrap/>
              <w:overflowPunct/>
              <w:autoSpaceDE/>
              <w:autoSpaceDN/>
              <w:bidi w:val="0"/>
              <w:adjustRightInd w:val="0"/>
              <w:spacing w:beforeAutospacing="0" w:afterAutospacing="0" w:line="360" w:lineRule="auto"/>
              <w:ind w:firstLine="480" w:firstLineChars="200"/>
              <w:jc w:val="both"/>
              <w:textAlignment w:val="baseline"/>
              <w:outlineLvl w:val="9"/>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本评价生态现状调查资料引用采用自2020年3月，厦门中集信检测技术有限公司在调查海域所做的调查。监测项目：叶绿素a含量（并估算初级生产力）、浮游植物、浮游动物、潮下带底栖生物、潮间带底栖生物。</w:t>
            </w:r>
          </w:p>
          <w:p>
            <w:pPr>
              <w:pageBreakBefore w:val="0"/>
              <w:kinsoku/>
              <w:bidi w:val="0"/>
              <w:adjustRightInd w:val="0"/>
              <w:snapToGrid w:val="0"/>
              <w:spacing w:beforeAutospacing="0" w:afterAutospacing="0" w:line="360" w:lineRule="auto"/>
              <w:ind w:firstLine="480" w:firstLineChars="200"/>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①叶绿素a及初级生产力调查结果</w:t>
            </w:r>
          </w:p>
          <w:p>
            <w:pPr>
              <w:pageBreakBefore w:val="0"/>
              <w:kinsoku/>
              <w:bidi w:val="0"/>
              <w:adjustRightInd w:val="0"/>
              <w:snapToGrid w:val="0"/>
              <w:spacing w:beforeAutospacing="0" w:afterAutospacing="0" w:line="360" w:lineRule="auto"/>
              <w:ind w:firstLine="480" w:firstLineChars="200"/>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调查期间，各调查站位叶绿素a含量范围在0.34mg/m</w:t>
            </w:r>
            <w:r>
              <w:rPr>
                <w:rFonts w:ascii="Times New Roman" w:hAnsi="Times New Roman" w:eastAsia="宋体"/>
                <w:color w:val="000000" w:themeColor="text1"/>
                <w:sz w:val="24"/>
                <w:szCs w:val="24"/>
                <w:highlight w:val="none"/>
                <w:vertAlign w:val="superscript"/>
                <w14:textFill>
                  <w14:solidFill>
                    <w14:schemeClr w14:val="tx1"/>
                  </w14:solidFill>
                </w14:textFill>
              </w:rPr>
              <w:t>3</w:t>
            </w:r>
            <w:r>
              <w:rPr>
                <w:rFonts w:ascii="Times New Roman" w:hAnsi="Times New Roman" w:eastAsia="宋体"/>
                <w:color w:val="000000" w:themeColor="text1"/>
                <w:sz w:val="24"/>
                <w:szCs w:val="24"/>
                <w:highlight w:val="none"/>
                <w14:textFill>
                  <w14:solidFill>
                    <w14:schemeClr w14:val="tx1"/>
                  </w14:solidFill>
                </w14:textFill>
              </w:rPr>
              <w:t>~1.24mg/m</w:t>
            </w:r>
            <w:r>
              <w:rPr>
                <w:rFonts w:ascii="Times New Roman" w:hAnsi="Times New Roman" w:eastAsia="宋体"/>
                <w:color w:val="000000" w:themeColor="text1"/>
                <w:sz w:val="24"/>
                <w:szCs w:val="24"/>
                <w:highlight w:val="none"/>
                <w:vertAlign w:val="superscript"/>
                <w14:textFill>
                  <w14:solidFill>
                    <w14:schemeClr w14:val="tx1"/>
                  </w14:solidFill>
                </w14:textFill>
              </w:rPr>
              <w:t>3</w:t>
            </w:r>
            <w:r>
              <w:rPr>
                <w:rFonts w:ascii="Times New Roman" w:hAnsi="Times New Roman" w:eastAsia="宋体"/>
                <w:color w:val="000000" w:themeColor="text1"/>
                <w:sz w:val="24"/>
                <w:szCs w:val="24"/>
                <w:highlight w:val="none"/>
                <w14:textFill>
                  <w14:solidFill>
                    <w14:schemeClr w14:val="tx1"/>
                  </w14:solidFill>
                </w14:textFill>
              </w:rPr>
              <w:t>之间，平均值为0.68mg/m</w:t>
            </w:r>
            <w:r>
              <w:rPr>
                <w:rFonts w:ascii="Times New Roman" w:hAnsi="Times New Roman" w:eastAsia="宋体"/>
                <w:color w:val="000000" w:themeColor="text1"/>
                <w:sz w:val="24"/>
                <w:szCs w:val="24"/>
                <w:highlight w:val="none"/>
                <w:vertAlign w:val="superscript"/>
                <w14:textFill>
                  <w14:solidFill>
                    <w14:schemeClr w14:val="tx1"/>
                  </w14:solidFill>
                </w14:textFill>
              </w:rPr>
              <w:t>3</w:t>
            </w:r>
            <w:r>
              <w:rPr>
                <w:rFonts w:ascii="Times New Roman" w:hAnsi="Times New Roman" w:eastAsia="宋体"/>
                <w:color w:val="000000" w:themeColor="text1"/>
                <w:sz w:val="24"/>
                <w:szCs w:val="24"/>
                <w:highlight w:val="none"/>
                <w14:textFill>
                  <w14:solidFill>
                    <w14:schemeClr w14:val="tx1"/>
                  </w14:solidFill>
                </w14:textFill>
              </w:rPr>
              <w:t>；初级生产力变化范围在7.8mgC/m</w:t>
            </w:r>
            <w:r>
              <w:rPr>
                <w:rFonts w:ascii="Times New Roman" w:hAnsi="Times New Roman" w:eastAsia="宋体"/>
                <w:color w:val="000000" w:themeColor="text1"/>
                <w:sz w:val="24"/>
                <w:szCs w:val="24"/>
                <w:highlight w:val="none"/>
                <w:vertAlign w:val="superscript"/>
                <w14:textFill>
                  <w14:solidFill>
                    <w14:schemeClr w14:val="tx1"/>
                  </w14:solidFill>
                </w14:textFill>
              </w:rPr>
              <w:t>2</w:t>
            </w:r>
            <w:r>
              <w:rPr>
                <w:rFonts w:ascii="Times New Roman" w:hAnsi="Times New Roman" w:eastAsia="宋体"/>
                <w:color w:val="000000" w:themeColor="text1"/>
                <w:sz w:val="24"/>
                <w:szCs w:val="24"/>
                <w:highlight w:val="none"/>
                <w14:textFill>
                  <w14:solidFill>
                    <w14:schemeClr w14:val="tx1"/>
                  </w14:solidFill>
                </w14:textFill>
              </w:rPr>
              <w:t>d~64.4mgC/m</w:t>
            </w:r>
            <w:r>
              <w:rPr>
                <w:rFonts w:ascii="Times New Roman" w:hAnsi="Times New Roman" w:eastAsia="宋体"/>
                <w:color w:val="000000" w:themeColor="text1"/>
                <w:sz w:val="24"/>
                <w:szCs w:val="24"/>
                <w:highlight w:val="none"/>
                <w:vertAlign w:val="superscript"/>
                <w14:textFill>
                  <w14:solidFill>
                    <w14:schemeClr w14:val="tx1"/>
                  </w14:solidFill>
                </w14:textFill>
              </w:rPr>
              <w:t>2</w:t>
            </w:r>
            <w:r>
              <w:rPr>
                <w:rFonts w:ascii="Times New Roman" w:hAnsi="Times New Roman" w:eastAsia="宋体"/>
                <w:color w:val="000000" w:themeColor="text1"/>
                <w:sz w:val="24"/>
                <w:szCs w:val="24"/>
                <w:highlight w:val="none"/>
                <w14:textFill>
                  <w14:solidFill>
                    <w14:schemeClr w14:val="tx1"/>
                  </w14:solidFill>
                </w14:textFill>
              </w:rPr>
              <w:t>d之间，平均值为25.3mgC/m</w:t>
            </w:r>
            <w:r>
              <w:rPr>
                <w:rFonts w:ascii="Times New Roman" w:hAnsi="Times New Roman" w:eastAsia="宋体"/>
                <w:color w:val="000000" w:themeColor="text1"/>
                <w:sz w:val="24"/>
                <w:szCs w:val="24"/>
                <w:highlight w:val="none"/>
                <w:vertAlign w:val="superscript"/>
                <w14:textFill>
                  <w14:solidFill>
                    <w14:schemeClr w14:val="tx1"/>
                  </w14:solidFill>
                </w14:textFill>
              </w:rPr>
              <w:t>2</w:t>
            </w:r>
            <w:r>
              <w:rPr>
                <w:rFonts w:ascii="Times New Roman" w:hAnsi="Times New Roman" w:eastAsia="宋体"/>
                <w:color w:val="000000" w:themeColor="text1"/>
                <w:sz w:val="24"/>
                <w:szCs w:val="24"/>
                <w:highlight w:val="none"/>
                <w14:textFill>
                  <w14:solidFill>
                    <w14:schemeClr w14:val="tx1"/>
                  </w14:solidFill>
                </w14:textFill>
              </w:rPr>
              <w:t>d。</w:t>
            </w:r>
          </w:p>
          <w:p>
            <w:pPr>
              <w:pageBreakBefore w:val="0"/>
              <w:kinsoku/>
              <w:bidi w:val="0"/>
              <w:adjustRightInd w:val="0"/>
              <w:snapToGrid w:val="0"/>
              <w:spacing w:beforeAutospacing="0" w:afterAutospacing="0" w:line="360" w:lineRule="auto"/>
              <w:ind w:firstLine="480" w:firstLineChars="200"/>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②浮游植物调查结果</w:t>
            </w:r>
          </w:p>
          <w:p>
            <w:pPr>
              <w:pageBreakBefore w:val="0"/>
              <w:kinsoku/>
              <w:bidi w:val="0"/>
              <w:adjustRightInd w:val="0"/>
              <w:snapToGrid w:val="0"/>
              <w:spacing w:beforeAutospacing="0" w:afterAutospacing="0" w:line="360" w:lineRule="auto"/>
              <w:ind w:firstLine="480" w:firstLineChars="200"/>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本次调查，鉴定记录浮游植物2门27属51种，其中硅藻门25属49种，甲藻门2属2种。浮游植物种类数在11~19种之间，均值14.3种。浮游植物细胞总数变化范围为4700cell/L~10700cell/L，均值为7167cell/L。浮游植物数量优势种类为中肋骨条藻、具槽直链藻、直舟形藻和华丽针杆藻。各测站浮游植物多样性指数（H′）范围为2.061~3.137，均值2.411；均匀度（J）范围为0.562~0.748均值0.633；丰度（d）范围为1.667</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ascii="Times New Roman" w:hAnsi="Times New Roman" w:eastAsia="宋体"/>
                <w:color w:val="000000" w:themeColor="text1"/>
                <w:sz w:val="24"/>
                <w:szCs w:val="24"/>
                <w:highlight w:val="none"/>
                <w14:textFill>
                  <w14:solidFill>
                    <w14:schemeClr w14:val="tx1"/>
                  </w14:solidFill>
                </w14:textFill>
              </w:rPr>
              <w:t>2978，均值为2.135；优势度（D2）范围为0.533~0.797，均值为0.703。FD08测站浮游植物多样性指数大于3，均匀度及丰度高，优势度低，表明这个测站浮游植物多样性好，种间分布均匀；其余测站浮游植物多样性指数均介于2和3之间，均匀度及丰度较高，优势度较低，表明这些测站浮游植物多样性较好，种间分布较均匀。</w:t>
            </w:r>
          </w:p>
          <w:p>
            <w:pPr>
              <w:pageBreakBefore w:val="0"/>
              <w:kinsoku/>
              <w:bidi w:val="0"/>
              <w:adjustRightInd w:val="0"/>
              <w:snapToGrid w:val="0"/>
              <w:spacing w:beforeAutospacing="0" w:afterAutospacing="0" w:line="360" w:lineRule="auto"/>
              <w:ind w:firstLine="480" w:firstLineChars="200"/>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③浮游动物调查结果</w:t>
            </w:r>
          </w:p>
          <w:p>
            <w:pPr>
              <w:pageBreakBefore w:val="0"/>
              <w:kinsoku/>
              <w:bidi w:val="0"/>
              <w:adjustRightInd w:val="0"/>
              <w:snapToGrid w:val="0"/>
              <w:spacing w:beforeAutospacing="0" w:afterAutospacing="0" w:line="360" w:lineRule="auto"/>
              <w:ind w:firstLine="480" w:firstLineChars="200"/>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本次调查，浮游动物共36种，其中甲壳类31种，被囊类1种，水母类3种，毛颚类1种；阶段性浮游幼虫及鱼卵仔鱼9类，多毛类1类，浮游动物种类数在13~22种之间，均值为17.8种。浮游动物甲壳类占优势，主要优势种类共5种，分别为强额拟哲水蚤、拟长腹剑水蚤、针刺拟哲水蚤、小拟哲水蚤和异体住囊虫。各测站浮游动物总生物量（湿重）变化范围为13.4mg/m</w:t>
            </w:r>
            <w:r>
              <w:rPr>
                <w:rFonts w:ascii="Times New Roman" w:hAnsi="Times New Roman" w:eastAsia="宋体"/>
                <w:color w:val="000000" w:themeColor="text1"/>
                <w:sz w:val="24"/>
                <w:szCs w:val="24"/>
                <w:highlight w:val="none"/>
                <w:vertAlign w:val="superscript"/>
                <w14:textFill>
                  <w14:solidFill>
                    <w14:schemeClr w14:val="tx1"/>
                  </w14:solidFill>
                </w14:textFill>
              </w:rPr>
              <w:t>3</w:t>
            </w:r>
            <w:r>
              <w:rPr>
                <w:rFonts w:ascii="Times New Roman" w:hAnsi="Times New Roman" w:eastAsia="宋体"/>
                <w:color w:val="000000" w:themeColor="text1"/>
                <w:sz w:val="24"/>
                <w:szCs w:val="24"/>
                <w:highlight w:val="none"/>
                <w14:textFill>
                  <w14:solidFill>
                    <w14:schemeClr w14:val="tx1"/>
                  </w14:solidFill>
                </w14:textFill>
              </w:rPr>
              <w:t>~252.7mg/m</w:t>
            </w:r>
            <w:r>
              <w:rPr>
                <w:rFonts w:ascii="Times New Roman" w:hAnsi="Times New Roman" w:eastAsia="宋体"/>
                <w:color w:val="000000" w:themeColor="text1"/>
                <w:sz w:val="24"/>
                <w:szCs w:val="24"/>
                <w:highlight w:val="none"/>
                <w:vertAlign w:val="superscript"/>
                <w14:textFill>
                  <w14:solidFill>
                    <w14:schemeClr w14:val="tx1"/>
                  </w14:solidFill>
                </w14:textFill>
              </w:rPr>
              <w:t>3</w:t>
            </w:r>
            <w:r>
              <w:rPr>
                <w:rFonts w:ascii="Times New Roman" w:hAnsi="Times New Roman" w:eastAsia="宋体"/>
                <w:color w:val="000000" w:themeColor="text1"/>
                <w:sz w:val="24"/>
                <w:szCs w:val="24"/>
                <w:highlight w:val="none"/>
                <w14:textFill>
                  <w14:solidFill>
                    <w14:schemeClr w14:val="tx1"/>
                  </w14:solidFill>
                </w14:textFill>
              </w:rPr>
              <w:t>，均值为66.7mg/m</w:t>
            </w:r>
            <w:r>
              <w:rPr>
                <w:rFonts w:ascii="Times New Roman" w:hAnsi="Times New Roman" w:eastAsia="宋体"/>
                <w:color w:val="000000" w:themeColor="text1"/>
                <w:sz w:val="24"/>
                <w:szCs w:val="24"/>
                <w:highlight w:val="none"/>
                <w:vertAlign w:val="superscript"/>
                <w14:textFill>
                  <w14:solidFill>
                    <w14:schemeClr w14:val="tx1"/>
                  </w14:solidFill>
                </w14:textFill>
              </w:rPr>
              <w:t>3</w:t>
            </w:r>
            <w:r>
              <w:rPr>
                <w:rFonts w:ascii="Times New Roman" w:hAnsi="Times New Roman" w:eastAsia="宋体"/>
                <w:color w:val="000000" w:themeColor="text1"/>
                <w:sz w:val="24"/>
                <w:szCs w:val="24"/>
                <w:highlight w:val="none"/>
                <w14:textFill>
                  <w14:solidFill>
                    <w14:schemeClr w14:val="tx1"/>
                  </w14:solidFill>
                </w14:textFill>
              </w:rPr>
              <w:t>。浮游动物总个体密度变化范围为330个/m</w:t>
            </w:r>
            <w:r>
              <w:rPr>
                <w:rFonts w:ascii="Times New Roman" w:hAnsi="Times New Roman" w:eastAsia="宋体"/>
                <w:color w:val="000000" w:themeColor="text1"/>
                <w:sz w:val="24"/>
                <w:szCs w:val="24"/>
                <w:highlight w:val="none"/>
                <w:vertAlign w:val="superscript"/>
                <w14:textFill>
                  <w14:solidFill>
                    <w14:schemeClr w14:val="tx1"/>
                  </w14:solidFill>
                </w14:textFill>
              </w:rPr>
              <w:t>3</w:t>
            </w:r>
            <w:r>
              <w:rPr>
                <w:rFonts w:ascii="Times New Roman" w:hAnsi="Times New Roman" w:eastAsia="宋体"/>
                <w:color w:val="000000" w:themeColor="text1"/>
                <w:sz w:val="24"/>
                <w:szCs w:val="24"/>
                <w:highlight w:val="none"/>
                <w14:textFill>
                  <w14:solidFill>
                    <w14:schemeClr w14:val="tx1"/>
                  </w14:solidFill>
                </w14:textFill>
              </w:rPr>
              <w:t>~2670个/m</w:t>
            </w:r>
            <w:r>
              <w:rPr>
                <w:rFonts w:ascii="Times New Roman" w:hAnsi="Times New Roman" w:eastAsia="宋体"/>
                <w:color w:val="000000" w:themeColor="text1"/>
                <w:sz w:val="24"/>
                <w:szCs w:val="24"/>
                <w:highlight w:val="none"/>
                <w:vertAlign w:val="superscript"/>
                <w14:textFill>
                  <w14:solidFill>
                    <w14:schemeClr w14:val="tx1"/>
                  </w14:solidFill>
                </w14:textFill>
              </w:rPr>
              <w:t>3</w:t>
            </w:r>
            <w:r>
              <w:rPr>
                <w:rFonts w:ascii="Times New Roman" w:hAnsi="Times New Roman" w:eastAsia="宋体"/>
                <w:color w:val="000000" w:themeColor="text1"/>
                <w:sz w:val="24"/>
                <w:szCs w:val="24"/>
                <w:highlight w:val="none"/>
                <w14:textFill>
                  <w14:solidFill>
                    <w14:schemeClr w14:val="tx1"/>
                  </w14:solidFill>
                </w14:textFill>
              </w:rPr>
              <w:t>，均值为803个/m</w:t>
            </w:r>
            <w:r>
              <w:rPr>
                <w:rFonts w:ascii="Times New Roman" w:hAnsi="Times New Roman" w:eastAsia="宋体"/>
                <w:color w:val="000000" w:themeColor="text1"/>
                <w:sz w:val="24"/>
                <w:szCs w:val="24"/>
                <w:highlight w:val="none"/>
                <w:vertAlign w:val="superscript"/>
                <w14:textFill>
                  <w14:solidFill>
                    <w14:schemeClr w14:val="tx1"/>
                  </w14:solidFill>
                </w14:textFill>
              </w:rPr>
              <w:t>3</w:t>
            </w:r>
            <w:r>
              <w:rPr>
                <w:rFonts w:ascii="Times New Roman" w:hAnsi="Times New Roman" w:eastAsia="宋体"/>
                <w:color w:val="000000" w:themeColor="text1"/>
                <w:sz w:val="24"/>
                <w:szCs w:val="24"/>
                <w:highlight w:val="none"/>
                <w14:textFill>
                  <w14:solidFill>
                    <w14:schemeClr w14:val="tx1"/>
                  </w14:solidFill>
                </w14:textFill>
              </w:rPr>
              <w:t>。浮游动物多样性指数（H′）范围为2.281-3.487，均值为2.860</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ascii="Times New Roman" w:hAnsi="Times New Roman" w:eastAsia="宋体"/>
                <w:color w:val="000000" w:themeColor="text1"/>
                <w:sz w:val="24"/>
                <w:szCs w:val="24"/>
                <w:highlight w:val="none"/>
                <w14:textFill>
                  <w14:solidFill>
                    <w14:schemeClr w14:val="tx1"/>
                  </w14:solidFill>
                </w14:textFill>
              </w:rPr>
              <w:t>均匀度（J）范围为0.570~0.794，均值为0.691，丰度（d）范围为1.325~2.375，均值为1.857，优势度（D2）范围为0.466~0.753，均值为0.583。</w:t>
            </w:r>
            <w:r>
              <w:rPr>
                <w:rFonts w:hint="eastAsia" w:ascii="Times New Roman" w:hAnsi="Times New Roman" w:eastAsia="宋体"/>
                <w:color w:val="000000" w:themeColor="text1"/>
                <w:sz w:val="24"/>
                <w:szCs w:val="24"/>
                <w:highlight w:val="none"/>
                <w:lang w:eastAsia="zh-CN"/>
                <w14:textFill>
                  <w14:solidFill>
                    <w14:schemeClr w14:val="tx1"/>
                  </w14:solidFill>
                </w14:textFill>
              </w:rPr>
              <w:t>项目区</w:t>
            </w:r>
            <w:r>
              <w:rPr>
                <w:rFonts w:ascii="Times New Roman" w:hAnsi="Times New Roman" w:eastAsia="宋体"/>
                <w:color w:val="000000" w:themeColor="text1"/>
                <w:sz w:val="24"/>
                <w:szCs w:val="24"/>
                <w:highlight w:val="none"/>
                <w14:textFill>
                  <w14:solidFill>
                    <w14:schemeClr w14:val="tx1"/>
                  </w14:solidFill>
                </w14:textFill>
              </w:rPr>
              <w:t>浮游动物多样性数大于3，均匀度和丰度高，优势度低，表明此测站浮游动物多样性好，种间分布均匀；其余测站浮游动物多样性指数均介于2和3之间，均匀度和丰度较高，优势度较低，表明这些测站浮动物多样性较好，种间分布较均匀。</w:t>
            </w:r>
          </w:p>
          <w:p>
            <w:pPr>
              <w:pageBreakBefore w:val="0"/>
              <w:kinsoku/>
              <w:bidi w:val="0"/>
              <w:adjustRightInd w:val="0"/>
              <w:snapToGrid w:val="0"/>
              <w:spacing w:beforeAutospacing="0" w:afterAutospacing="0" w:line="360" w:lineRule="auto"/>
              <w:ind w:firstLine="480" w:firstLineChars="200"/>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④潮下带底栖生物调查结果</w:t>
            </w:r>
          </w:p>
          <w:p>
            <w:pPr>
              <w:pageBreakBefore w:val="0"/>
              <w:kinsoku/>
              <w:bidi w:val="0"/>
              <w:adjustRightInd w:val="0"/>
              <w:snapToGrid w:val="0"/>
              <w:spacing w:beforeAutospacing="0" w:afterAutospacing="0" w:line="360" w:lineRule="auto"/>
              <w:ind w:firstLine="480" w:firstLineChars="200"/>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本次调查，共记录潮下带底栖动物70种，其中环节动物51种，节肢动物7种，软体动物6种，棘皮动物1种，腔肠动物1种，组形动物2种，脊索动物2种，监测区域大型底栖动物优势种有5种，为太平洋单蛰虫、细毛尖虫、乳突皮海鞘、不倒翁虫和光滑河</w:t>
            </w:r>
            <w:r>
              <w:rPr>
                <w:rFonts w:hint="eastAsia" w:ascii="Times New Roman" w:hAnsi="Times New Roman" w:eastAsia="宋体"/>
                <w:color w:val="000000" w:themeColor="text1"/>
                <w:sz w:val="24"/>
                <w:szCs w:val="24"/>
                <w:highlight w:val="none"/>
                <w:lang w:eastAsia="zh-CN"/>
                <w14:textFill>
                  <w14:solidFill>
                    <w14:schemeClr w14:val="tx1"/>
                  </w14:solidFill>
                </w14:textFill>
              </w:rPr>
              <w:t>蓝</w:t>
            </w:r>
            <w:r>
              <w:rPr>
                <w:rFonts w:ascii="Times New Roman" w:hAnsi="Times New Roman" w:eastAsia="宋体"/>
                <w:color w:val="000000" w:themeColor="text1"/>
                <w:sz w:val="24"/>
                <w:szCs w:val="24"/>
                <w:highlight w:val="none"/>
                <w14:textFill>
                  <w14:solidFill>
                    <w14:schemeClr w14:val="tx1"/>
                  </w14:solidFill>
                </w14:textFill>
              </w:rPr>
              <w:t>蛤。各测站底栖动物种类数在5~24种之间，平均每个站位采获底栖动物12.4种；各测站潮下带大型底悟动抛生物量均值为7.877g/m</w:t>
            </w:r>
            <w:r>
              <w:rPr>
                <w:rFonts w:ascii="Times New Roman" w:hAnsi="Times New Roman" w:eastAsia="宋体"/>
                <w:color w:val="000000" w:themeColor="text1"/>
                <w:sz w:val="24"/>
                <w:szCs w:val="24"/>
                <w:highlight w:val="none"/>
                <w:vertAlign w:val="superscript"/>
                <w14:textFill>
                  <w14:solidFill>
                    <w14:schemeClr w14:val="tx1"/>
                  </w14:solidFill>
                </w14:textFill>
              </w:rPr>
              <w:t>2</w:t>
            </w:r>
            <w:r>
              <w:rPr>
                <w:rFonts w:ascii="Times New Roman" w:hAnsi="Times New Roman" w:eastAsia="宋体"/>
                <w:color w:val="000000" w:themeColor="text1"/>
                <w:sz w:val="24"/>
                <w:szCs w:val="24"/>
                <w:highlight w:val="none"/>
                <w14:textFill>
                  <w14:solidFill>
                    <w14:schemeClr w14:val="tx1"/>
                  </w14:solidFill>
                </w14:textFill>
              </w:rPr>
              <w:t>，变化范围为0.100g/m</w:t>
            </w:r>
            <w:r>
              <w:rPr>
                <w:rFonts w:ascii="Times New Roman" w:hAnsi="Times New Roman" w:eastAsia="宋体"/>
                <w:color w:val="000000" w:themeColor="text1"/>
                <w:sz w:val="24"/>
                <w:szCs w:val="24"/>
                <w:highlight w:val="none"/>
                <w:vertAlign w:val="superscript"/>
                <w14:textFill>
                  <w14:solidFill>
                    <w14:schemeClr w14:val="tx1"/>
                  </w14:solidFill>
                </w14:textFill>
              </w:rPr>
              <w:t>2</w:t>
            </w:r>
            <w:r>
              <w:rPr>
                <w:rFonts w:ascii="Times New Roman" w:hAnsi="Times New Roman" w:eastAsia="宋体"/>
                <w:color w:val="000000" w:themeColor="text1"/>
                <w:sz w:val="24"/>
                <w:szCs w:val="24"/>
                <w:highlight w:val="none"/>
                <w14:textFill>
                  <w14:solidFill>
                    <w14:schemeClr w14:val="tx1"/>
                  </w14:solidFill>
                </w14:textFill>
              </w:rPr>
              <w:t>~58.860g/m</w:t>
            </w:r>
            <w:r>
              <w:rPr>
                <w:rFonts w:ascii="Times New Roman" w:hAnsi="Times New Roman" w:eastAsia="宋体"/>
                <w:color w:val="000000" w:themeColor="text1"/>
                <w:sz w:val="24"/>
                <w:szCs w:val="24"/>
                <w:highlight w:val="none"/>
                <w:vertAlign w:val="superscript"/>
                <w14:textFill>
                  <w14:solidFill>
                    <w14:schemeClr w14:val="tx1"/>
                  </w14:solidFill>
                </w14:textFill>
              </w:rPr>
              <w:t>2</w:t>
            </w:r>
            <w:r>
              <w:rPr>
                <w:rFonts w:ascii="Times New Roman" w:hAnsi="Times New Roman" w:eastAsia="宋体"/>
                <w:color w:val="000000" w:themeColor="text1"/>
                <w:sz w:val="24"/>
                <w:szCs w:val="24"/>
                <w:highlight w:val="none"/>
                <w14:textFill>
                  <w14:solidFill>
                    <w14:schemeClr w14:val="tx1"/>
                  </w14:solidFill>
                </w14:textFill>
              </w:rPr>
              <w:t>；各测站大型底动物栖息密度均值为269.6ind/m</w:t>
            </w:r>
            <w:r>
              <w:rPr>
                <w:rFonts w:ascii="Times New Roman" w:hAnsi="Times New Roman" w:eastAsia="宋体"/>
                <w:color w:val="000000" w:themeColor="text1"/>
                <w:sz w:val="24"/>
                <w:szCs w:val="24"/>
                <w:highlight w:val="none"/>
                <w:vertAlign w:val="superscript"/>
                <w14:textFill>
                  <w14:solidFill>
                    <w14:schemeClr w14:val="tx1"/>
                  </w14:solidFill>
                </w14:textFill>
              </w:rPr>
              <w:t>2</w:t>
            </w:r>
            <w:r>
              <w:rPr>
                <w:rFonts w:ascii="Times New Roman" w:hAnsi="Times New Roman" w:eastAsia="宋体"/>
                <w:color w:val="000000" w:themeColor="text1"/>
                <w:sz w:val="24"/>
                <w:szCs w:val="24"/>
                <w:highlight w:val="none"/>
                <w14:textFill>
                  <w14:solidFill>
                    <w14:schemeClr w14:val="tx1"/>
                  </w14:solidFill>
                </w14:textFill>
              </w:rPr>
              <w:t>，变化范围为30ind/m</w:t>
            </w:r>
            <w:r>
              <w:rPr>
                <w:rFonts w:ascii="Times New Roman" w:hAnsi="Times New Roman" w:eastAsia="宋体"/>
                <w:color w:val="000000" w:themeColor="text1"/>
                <w:sz w:val="24"/>
                <w:szCs w:val="24"/>
                <w:highlight w:val="none"/>
                <w:vertAlign w:val="superscript"/>
                <w14:textFill>
                  <w14:solidFill>
                    <w14:schemeClr w14:val="tx1"/>
                  </w14:solidFill>
                </w14:textFill>
              </w:rPr>
              <w:t>2</w:t>
            </w:r>
            <w:r>
              <w:rPr>
                <w:rFonts w:ascii="Times New Roman" w:hAnsi="Times New Roman" w:eastAsia="宋体"/>
                <w:color w:val="000000" w:themeColor="text1"/>
                <w:sz w:val="24"/>
                <w:szCs w:val="24"/>
                <w:highlight w:val="none"/>
                <w14:textFill>
                  <w14:solidFill>
                    <w14:schemeClr w14:val="tx1"/>
                  </w14:solidFill>
                </w14:textFill>
              </w:rPr>
              <w:t>~5l5ind/m</w:t>
            </w:r>
            <w:r>
              <w:rPr>
                <w:rFonts w:ascii="Times New Roman" w:hAnsi="Times New Roman" w:eastAsia="宋体"/>
                <w:color w:val="000000" w:themeColor="text1"/>
                <w:sz w:val="24"/>
                <w:szCs w:val="24"/>
                <w:highlight w:val="none"/>
                <w:vertAlign w:val="superscript"/>
                <w14:textFill>
                  <w14:solidFill>
                    <w14:schemeClr w14:val="tx1"/>
                  </w14:solidFill>
                </w14:textFill>
              </w:rPr>
              <w:t>2</w:t>
            </w:r>
            <w:r>
              <w:rPr>
                <w:rFonts w:ascii="Times New Roman" w:hAnsi="Times New Roman" w:eastAsia="宋体"/>
                <w:color w:val="000000" w:themeColor="text1"/>
                <w:sz w:val="24"/>
                <w:szCs w:val="24"/>
                <w:highlight w:val="none"/>
                <w14:textFill>
                  <w14:solidFill>
                    <w14:schemeClr w14:val="tx1"/>
                  </w14:solidFill>
                </w14:textFill>
              </w:rPr>
              <w:t>。底栖动物多样性指数（H′）范围为1.490~3.783，均值为2.487；均匀度（J）范围为0.449~0.970，均值为0.740；丰度（d）范围为1.024~3.440，均值为2.057；优势度（D2）范围为0.364~0.833，均值为0.604。调查站位底生物多样性较高，种间分布较均匀。</w:t>
            </w:r>
          </w:p>
          <w:p>
            <w:pPr>
              <w:pageBreakBefore w:val="0"/>
              <w:kinsoku/>
              <w:bidi w:val="0"/>
              <w:adjustRightInd w:val="0"/>
              <w:snapToGrid w:val="0"/>
              <w:spacing w:beforeAutospacing="0" w:afterAutospacing="0" w:line="360" w:lineRule="auto"/>
              <w:ind w:firstLine="480" w:firstLineChars="200"/>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⑤潮间带底栖生物调查结果</w:t>
            </w:r>
          </w:p>
          <w:p>
            <w:pPr>
              <w:pageBreakBefore w:val="0"/>
              <w:kinsoku/>
              <w:bidi w:val="0"/>
              <w:adjustRightInd w:val="0"/>
              <w:snapToGrid w:val="0"/>
              <w:spacing w:beforeAutospacing="0" w:afterAutospacing="0" w:line="360" w:lineRule="auto"/>
              <w:ind w:firstLine="480" w:firstLineChars="200"/>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本次调查，鉴定记录潮间带底栖生物47种，</w:t>
            </w:r>
            <w:r>
              <w:rPr>
                <w:rFonts w:hint="eastAsia" w:ascii="Times New Roman" w:hAnsi="Times New Roman" w:eastAsia="宋体"/>
                <w:color w:val="000000" w:themeColor="text1"/>
                <w:sz w:val="24"/>
                <w:szCs w:val="24"/>
                <w:highlight w:val="none"/>
                <w:lang w:eastAsia="zh-CN"/>
                <w14:textFill>
                  <w14:solidFill>
                    <w14:schemeClr w14:val="tx1"/>
                  </w14:solidFill>
                </w14:textFill>
              </w:rPr>
              <w:t>其中</w:t>
            </w:r>
            <w:r>
              <w:rPr>
                <w:rFonts w:ascii="Times New Roman" w:hAnsi="Times New Roman" w:eastAsia="宋体"/>
                <w:color w:val="000000" w:themeColor="text1"/>
                <w:sz w:val="24"/>
                <w:szCs w:val="24"/>
                <w:highlight w:val="none"/>
                <w14:textFill>
                  <w14:solidFill>
                    <w14:schemeClr w14:val="tx1"/>
                  </w14:solidFill>
                </w14:textFill>
              </w:rPr>
              <w:t>环节动物14种，节散动物14种，软体动物14种，腔肠动物1种，星虫动物2种，脊索动物2种，要优势种有5种，分别为多齿围沙蚕、厚鳃蚕、弧边招潮蟹、锯脚泥蟹和中华异椎虫。3条断面各潮区定量样品底栖生物生物量变化范围为7.376g/m</w:t>
            </w:r>
            <w:r>
              <w:rPr>
                <w:rFonts w:ascii="Times New Roman" w:hAnsi="Times New Roman" w:eastAsia="宋体"/>
                <w:color w:val="000000" w:themeColor="text1"/>
                <w:sz w:val="24"/>
                <w:szCs w:val="24"/>
                <w:highlight w:val="none"/>
                <w:vertAlign w:val="superscript"/>
                <w14:textFill>
                  <w14:solidFill>
                    <w14:schemeClr w14:val="tx1"/>
                  </w14:solidFill>
                </w14:textFill>
              </w:rPr>
              <w:t>2</w:t>
            </w:r>
            <w:r>
              <w:rPr>
                <w:rFonts w:ascii="Times New Roman" w:hAnsi="Times New Roman" w:eastAsia="宋体"/>
                <w:color w:val="000000" w:themeColor="text1"/>
                <w:sz w:val="24"/>
                <w:szCs w:val="24"/>
                <w:highlight w:val="none"/>
                <w14:textFill>
                  <w14:solidFill>
                    <w14:schemeClr w14:val="tx1"/>
                  </w14:solidFill>
                </w14:textFill>
              </w:rPr>
              <w:t>~362.088g/m</w:t>
            </w:r>
            <w:r>
              <w:rPr>
                <w:rFonts w:ascii="Times New Roman" w:hAnsi="Times New Roman" w:eastAsia="宋体"/>
                <w:color w:val="000000" w:themeColor="text1"/>
                <w:sz w:val="24"/>
                <w:szCs w:val="24"/>
                <w:highlight w:val="none"/>
                <w:vertAlign w:val="superscript"/>
                <w14:textFill>
                  <w14:solidFill>
                    <w14:schemeClr w14:val="tx1"/>
                  </w14:solidFill>
                </w14:textFill>
              </w:rPr>
              <w:t>2</w:t>
            </w:r>
            <w:r>
              <w:rPr>
                <w:rFonts w:ascii="Times New Roman" w:hAnsi="Times New Roman" w:eastAsia="宋体"/>
                <w:color w:val="000000" w:themeColor="text1"/>
                <w:sz w:val="24"/>
                <w:szCs w:val="24"/>
                <w:highlight w:val="none"/>
                <w14:textFill>
                  <w14:solidFill>
                    <w14:schemeClr w14:val="tx1"/>
                  </w14:solidFill>
                </w14:textFill>
              </w:rPr>
              <w:t>，均值76.957g/m</w:t>
            </w:r>
            <w:r>
              <w:rPr>
                <w:rFonts w:ascii="Times New Roman" w:hAnsi="Times New Roman" w:eastAsia="宋体"/>
                <w:color w:val="000000" w:themeColor="text1"/>
                <w:sz w:val="24"/>
                <w:szCs w:val="24"/>
                <w:highlight w:val="none"/>
                <w:vertAlign w:val="superscript"/>
                <w14:textFill>
                  <w14:solidFill>
                    <w14:schemeClr w14:val="tx1"/>
                  </w14:solidFill>
                </w14:textFill>
              </w:rPr>
              <w:t>2</w:t>
            </w:r>
            <w:r>
              <w:rPr>
                <w:rFonts w:ascii="Times New Roman" w:hAnsi="Times New Roman" w:eastAsia="宋体"/>
                <w:color w:val="000000" w:themeColor="text1"/>
                <w:sz w:val="24"/>
                <w:szCs w:val="24"/>
                <w:highlight w:val="none"/>
                <w14:textFill>
                  <w14:solidFill>
                    <w14:schemeClr w14:val="tx1"/>
                  </w14:solidFill>
                </w14:textFill>
              </w:rPr>
              <w:t>；3条断面各潮区定量样品底栖生物栖</w:t>
            </w:r>
            <w:r>
              <w:rPr>
                <w:rFonts w:hint="eastAsia" w:ascii="Times New Roman" w:hAnsi="Times New Roman" w:eastAsia="宋体"/>
                <w:color w:val="000000" w:themeColor="text1"/>
                <w:sz w:val="24"/>
                <w:szCs w:val="24"/>
                <w:highlight w:val="none"/>
                <w:lang w:eastAsia="zh-CN"/>
                <w14:textFill>
                  <w14:solidFill>
                    <w14:schemeClr w14:val="tx1"/>
                  </w14:solidFill>
                </w14:textFill>
              </w:rPr>
              <w:t>息</w:t>
            </w:r>
            <w:r>
              <w:rPr>
                <w:rFonts w:ascii="Times New Roman" w:hAnsi="Times New Roman" w:eastAsia="宋体"/>
                <w:color w:val="000000" w:themeColor="text1"/>
                <w:sz w:val="24"/>
                <w:szCs w:val="24"/>
                <w:highlight w:val="none"/>
                <w14:textFill>
                  <w14:solidFill>
                    <w14:schemeClr w14:val="tx1"/>
                  </w14:solidFill>
                </w14:textFill>
              </w:rPr>
              <w:t>密度变化范围为48个/m</w:t>
            </w:r>
            <w:r>
              <w:rPr>
                <w:rFonts w:ascii="Times New Roman" w:hAnsi="Times New Roman" w:eastAsia="宋体"/>
                <w:color w:val="000000" w:themeColor="text1"/>
                <w:sz w:val="24"/>
                <w:szCs w:val="24"/>
                <w:highlight w:val="none"/>
                <w:vertAlign w:val="superscript"/>
                <w14:textFill>
                  <w14:solidFill>
                    <w14:schemeClr w14:val="tx1"/>
                  </w14:solidFill>
                </w14:textFill>
              </w:rPr>
              <w:t>2</w:t>
            </w:r>
            <w:r>
              <w:rPr>
                <w:rFonts w:ascii="Times New Roman" w:hAnsi="Times New Roman" w:eastAsia="宋体"/>
                <w:color w:val="000000" w:themeColor="text1"/>
                <w:sz w:val="24"/>
                <w:szCs w:val="24"/>
                <w:highlight w:val="none"/>
                <w14:textFill>
                  <w14:solidFill>
                    <w14:schemeClr w14:val="tx1"/>
                  </w14:solidFill>
                </w14:textFill>
              </w:rPr>
              <w:t>~224个/m2，均值128.4个/m</w:t>
            </w:r>
            <w:r>
              <w:rPr>
                <w:rFonts w:ascii="Times New Roman" w:hAnsi="Times New Roman" w:eastAsia="宋体"/>
                <w:color w:val="000000" w:themeColor="text1"/>
                <w:sz w:val="24"/>
                <w:szCs w:val="24"/>
                <w:highlight w:val="none"/>
                <w:vertAlign w:val="superscript"/>
                <w14:textFill>
                  <w14:solidFill>
                    <w14:schemeClr w14:val="tx1"/>
                  </w14:solidFill>
                </w14:textFill>
              </w:rPr>
              <w:t>2</w:t>
            </w:r>
            <w:r>
              <w:rPr>
                <w:rFonts w:ascii="Times New Roman" w:hAnsi="Times New Roman" w:eastAsia="宋体"/>
                <w:color w:val="000000" w:themeColor="text1"/>
                <w:sz w:val="24"/>
                <w:szCs w:val="24"/>
                <w:highlight w:val="none"/>
                <w14:textFill>
                  <w14:solidFill>
                    <w14:schemeClr w14:val="tx1"/>
                  </w14:solidFill>
                </w14:textFill>
              </w:rPr>
              <w:t>，潮间带底栖生物多样性指数（H′）范围为1.557~3.696，均值为2.407；均匀度（J）范围为0.664~0.982，均值为0.870；丰度（d）范围为0.712~2.411，均值1.413；优势度（D2）范围为0.286~0.750，均值0.578。调查断面A的高潮区，断面C的高潮区和低端区多样性指数介于1和2之间，均匀度及丰度较低，优势度较高，表明这些调查海区潮间带底栖生物多样性较低，种间分布较不均匀；调查断面A的低潮区、断面B的高潮区和低潮区、断面C的中潮区的多样性指数均介于2和3之间，均匀度及丰度较高，优势度较低，表明这些调查潮区潮间带底栖生物多样性较高，种间分布较均匀；调查断面A的中潮区和断面B的中潮区的多样性指数大于3，均匀度及丰度高，优势度低，表明这些调查潮区潮间带底栖生物多样性高，种间分布均匀。</w:t>
            </w:r>
          </w:p>
          <w:p>
            <w:pPr>
              <w:pageBreakBefore w:val="0"/>
              <w:kinsoku/>
              <w:bidi w:val="0"/>
              <w:adjustRightInd w:val="0"/>
              <w:snapToGrid w:val="0"/>
              <w:spacing w:beforeAutospacing="0" w:afterAutospacing="0" w:line="360" w:lineRule="auto"/>
              <w:ind w:firstLine="480" w:firstLineChars="200"/>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⑥鱼卵、仔稚鱼调查结果</w:t>
            </w:r>
          </w:p>
          <w:p>
            <w:pPr>
              <w:pageBreakBefore w:val="0"/>
              <w:kinsoku/>
              <w:bidi w:val="0"/>
              <w:adjustRightInd w:val="0"/>
              <w:snapToGrid w:val="0"/>
              <w:spacing w:beforeAutospacing="0" w:afterAutospacing="0" w:line="360" w:lineRule="auto"/>
              <w:ind w:firstLine="480" w:firstLineChars="200"/>
              <w:rPr>
                <w:rFonts w:hint="eastAsia" w:ascii="Times New Roman" w:hAnsi="Times New Roman" w:eastAsia="宋体"/>
                <w:color w:val="000000" w:themeColor="text1"/>
                <w:sz w:val="24"/>
                <w:szCs w:val="24"/>
                <w:highlight w:val="none"/>
                <w:lang w:eastAsia="zh-CN"/>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本次调查，共采获到鱼卵8989粒，采获仔稚鱼27尾。其中鱼卵9种，为石首鱼科、鲻科、鲱科、小黄鱼、狗母鱼科、黑棘鲷、鲷科、鲳科和鮨科；仔稚鱼6种，为鲱科、石首鱼科、蜂科、鳗科、鲻科和大棱。本次调查采获的鱼卵优势种为石首鱼科，仔稚鱼无明显优势种。垂直拖网中采获的鱼卵平均密度为32.174ind/m</w:t>
            </w:r>
            <w:r>
              <w:rPr>
                <w:rFonts w:ascii="Times New Roman" w:hAnsi="Times New Roman" w:eastAsia="宋体"/>
                <w:color w:val="000000" w:themeColor="text1"/>
                <w:sz w:val="24"/>
                <w:szCs w:val="24"/>
                <w:highlight w:val="none"/>
                <w:vertAlign w:val="superscript"/>
                <w14:textFill>
                  <w14:solidFill>
                    <w14:schemeClr w14:val="tx1"/>
                  </w14:solidFill>
                </w14:textFill>
              </w:rPr>
              <w:t>3</w:t>
            </w:r>
            <w:r>
              <w:rPr>
                <w:rFonts w:ascii="Times New Roman" w:hAnsi="Times New Roman" w:eastAsia="宋体"/>
                <w:color w:val="000000" w:themeColor="text1"/>
                <w:sz w:val="24"/>
                <w:szCs w:val="24"/>
                <w:highlight w:val="none"/>
                <w14:textFill>
                  <w14:solidFill>
                    <w14:schemeClr w14:val="tx1"/>
                  </w14:solidFill>
                </w14:textFill>
              </w:rPr>
              <w:t>，变化范围为8.000~146.000ind/m</w:t>
            </w:r>
            <w:r>
              <w:rPr>
                <w:rFonts w:ascii="Times New Roman" w:hAnsi="Times New Roman" w:eastAsia="宋体"/>
                <w:color w:val="000000" w:themeColor="text1"/>
                <w:sz w:val="24"/>
                <w:szCs w:val="24"/>
                <w:highlight w:val="none"/>
                <w:vertAlign w:val="superscript"/>
                <w14:textFill>
                  <w14:solidFill>
                    <w14:schemeClr w14:val="tx1"/>
                  </w14:solidFill>
                </w14:textFill>
              </w:rPr>
              <w:t>3</w:t>
            </w:r>
            <w:r>
              <w:rPr>
                <w:rFonts w:ascii="Times New Roman" w:hAnsi="Times New Roman" w:eastAsia="宋体"/>
                <w:color w:val="000000" w:themeColor="text1"/>
                <w:sz w:val="24"/>
                <w:szCs w:val="24"/>
                <w:highlight w:val="none"/>
                <w14:textFill>
                  <w14:solidFill>
                    <w14:schemeClr w14:val="tx1"/>
                  </w14:solidFill>
                </w14:textFill>
              </w:rPr>
              <w:t>，采获的仔稚鱼平均密度为0.277ind/m</w:t>
            </w:r>
            <w:r>
              <w:rPr>
                <w:rFonts w:ascii="Times New Roman" w:hAnsi="Times New Roman" w:eastAsia="宋体"/>
                <w:color w:val="000000" w:themeColor="text1"/>
                <w:sz w:val="24"/>
                <w:szCs w:val="24"/>
                <w:highlight w:val="none"/>
                <w:vertAlign w:val="superscript"/>
                <w14:textFill>
                  <w14:solidFill>
                    <w14:schemeClr w14:val="tx1"/>
                  </w14:solidFill>
                </w14:textFill>
              </w:rPr>
              <w:t>3</w:t>
            </w:r>
            <w:r>
              <w:rPr>
                <w:rFonts w:ascii="Times New Roman" w:hAnsi="Times New Roman" w:eastAsia="宋体"/>
                <w:color w:val="000000" w:themeColor="text1"/>
                <w:sz w:val="24"/>
                <w:szCs w:val="24"/>
                <w:highlight w:val="none"/>
                <w14:textFill>
                  <w14:solidFill>
                    <w14:schemeClr w14:val="tx1"/>
                  </w14:solidFill>
                </w14:textFill>
              </w:rPr>
              <w:t>，变化范围为0~1.429ind/m</w:t>
            </w:r>
            <w:r>
              <w:rPr>
                <w:rFonts w:ascii="Times New Roman" w:hAnsi="Times New Roman" w:eastAsia="宋体"/>
                <w:color w:val="000000" w:themeColor="text1"/>
                <w:sz w:val="24"/>
                <w:szCs w:val="24"/>
                <w:highlight w:val="none"/>
                <w:vertAlign w:val="superscript"/>
                <w14:textFill>
                  <w14:solidFill>
                    <w14:schemeClr w14:val="tx1"/>
                  </w14:solidFill>
                </w14:textFill>
              </w:rPr>
              <w:t>3</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p>
          <w:p>
            <w:pPr>
              <w:pageBreakBefore w:val="0"/>
              <w:kinsoku/>
              <w:bidi w:val="0"/>
              <w:adjustRightInd w:val="0"/>
              <w:snapToGrid w:val="0"/>
              <w:spacing w:beforeAutospacing="0" w:afterAutospacing="0" w:line="360" w:lineRule="auto"/>
              <w:ind w:firstLine="480" w:firstLineChars="200"/>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⑦游泳动物调查结果</w:t>
            </w:r>
          </w:p>
          <w:p>
            <w:pPr>
              <w:pageBreakBefore w:val="0"/>
              <w:kinsoku/>
              <w:bidi w:val="0"/>
              <w:adjustRightInd w:val="0"/>
              <w:snapToGrid w:val="0"/>
              <w:spacing w:beforeAutospacing="0" w:afterAutospacing="0" w:line="360" w:lineRule="auto"/>
              <w:ind w:firstLine="480" w:firstLineChars="200"/>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经调查鉴定，2020年春季拖网定点调查作业渔获的游泳动物共计63种，10531.1g，731ind。其中鱼类38种，5494.4克，390ind；虾类11种，559.6g，158ind；蟹类8种，3182.3g，112ind；口足类3种，689.2g，60ind；头足类3种，605.6g，11ind。势种类有三统校子蟹、孔虎鱼、口虾蛄等4种，常见种类有龙头鱼等9种，一般种有鲻鱼等37种，少见种有细巧仿对虾等13种，没有捕获稀有种。渔获种类个体平均体重为14.4g；其中鱼类为14.1g，虾类为3.5g，蟹类为28.4g，口足类为11.5g，头足类为55.1g。从千克重尾数来看，鱼类为71ind，虾类为282ind，蟹类为35ind，口足类为87ind，头足类为18ind。各站位丰富度指数（D）范围为2.457~4.182，平均值为3.463；Shannon-Wines多样性指数（H′）范围为1.762~2.542，平均值为2.227；Pielou均匀度指数（J′）范围为0.687~0.928，均值为0.826。各站位平均质量密度为157.954kg/km</w:t>
            </w:r>
            <w:r>
              <w:rPr>
                <w:rFonts w:ascii="Times New Roman" w:hAnsi="Times New Roman" w:eastAsia="宋体"/>
                <w:color w:val="000000" w:themeColor="text1"/>
                <w:sz w:val="24"/>
                <w:szCs w:val="24"/>
                <w:highlight w:val="none"/>
                <w:vertAlign w:val="superscript"/>
                <w14:textFill>
                  <w14:solidFill>
                    <w14:schemeClr w14:val="tx1"/>
                  </w14:solidFill>
                </w14:textFill>
              </w:rPr>
              <w:t>2</w:t>
            </w:r>
            <w:r>
              <w:rPr>
                <w:rFonts w:ascii="Times New Roman" w:hAnsi="Times New Roman" w:eastAsia="宋体"/>
                <w:color w:val="000000" w:themeColor="text1"/>
                <w:sz w:val="24"/>
                <w:szCs w:val="24"/>
                <w:highlight w:val="none"/>
                <w14:textFill>
                  <w14:solidFill>
                    <w14:schemeClr w14:val="tx1"/>
                  </w14:solidFill>
                </w14:textFill>
              </w:rPr>
              <w:t>，各站位平均数量密度为10964ind/km</w:t>
            </w:r>
            <w:r>
              <w:rPr>
                <w:rFonts w:ascii="Times New Roman" w:hAnsi="Times New Roman" w:eastAsia="宋体"/>
                <w:color w:val="000000" w:themeColor="text1"/>
                <w:sz w:val="24"/>
                <w:szCs w:val="24"/>
                <w:highlight w:val="none"/>
                <w:vertAlign w:val="superscript"/>
                <w14:textFill>
                  <w14:solidFill>
                    <w14:schemeClr w14:val="tx1"/>
                  </w14:solidFill>
                </w14:textFill>
              </w:rPr>
              <w:t>2</w:t>
            </w:r>
            <w:r>
              <w:rPr>
                <w:rFonts w:ascii="Times New Roman" w:hAnsi="Times New Roman" w:eastAsia="宋体"/>
                <w:color w:val="000000" w:themeColor="text1"/>
                <w:sz w:val="24"/>
                <w:szCs w:val="24"/>
                <w:highlight w:val="none"/>
                <w14:textFill>
                  <w14:solidFill>
                    <w14:schemeClr w14:val="tx1"/>
                  </w14:solidFill>
                </w14:textFill>
              </w:rPr>
              <w:t>。各类别质量密度为；鱼类82.409kg/km</w:t>
            </w:r>
            <w:r>
              <w:rPr>
                <w:rFonts w:ascii="Times New Roman" w:hAnsi="Times New Roman" w:eastAsia="宋体"/>
                <w:color w:val="000000" w:themeColor="text1"/>
                <w:sz w:val="24"/>
                <w:szCs w:val="24"/>
                <w:highlight w:val="none"/>
                <w:vertAlign w:val="superscript"/>
                <w14:textFill>
                  <w14:solidFill>
                    <w14:schemeClr w14:val="tx1"/>
                  </w14:solidFill>
                </w14:textFill>
              </w:rPr>
              <w:t>2</w:t>
            </w:r>
            <w:r>
              <w:rPr>
                <w:rFonts w:ascii="Times New Roman" w:hAnsi="Times New Roman" w:eastAsia="宋体"/>
                <w:color w:val="000000" w:themeColor="text1"/>
                <w:sz w:val="24"/>
                <w:szCs w:val="24"/>
                <w:highlight w:val="none"/>
                <w14:textFill>
                  <w14:solidFill>
                    <w14:schemeClr w14:val="tx1"/>
                  </w14:solidFill>
                </w14:textFill>
              </w:rPr>
              <w:t>，虾类8.393kg/km</w:t>
            </w:r>
            <w:r>
              <w:rPr>
                <w:rFonts w:ascii="Times New Roman" w:hAnsi="Times New Roman" w:eastAsia="宋体"/>
                <w:color w:val="000000" w:themeColor="text1"/>
                <w:sz w:val="24"/>
                <w:szCs w:val="24"/>
                <w:highlight w:val="none"/>
                <w:vertAlign w:val="superscript"/>
                <w14:textFill>
                  <w14:solidFill>
                    <w14:schemeClr w14:val="tx1"/>
                  </w14:solidFill>
                </w14:textFill>
              </w:rPr>
              <w:t>2</w:t>
            </w:r>
            <w:r>
              <w:rPr>
                <w:rFonts w:ascii="Times New Roman" w:hAnsi="Times New Roman" w:eastAsia="宋体"/>
                <w:color w:val="000000" w:themeColor="text1"/>
                <w:sz w:val="24"/>
                <w:szCs w:val="24"/>
                <w:highlight w:val="none"/>
                <w14:textFill>
                  <w14:solidFill>
                    <w14:schemeClr w14:val="tx1"/>
                  </w14:solidFill>
                </w14:textFill>
              </w:rPr>
              <w:t>，蟹类为47.731kg/km</w:t>
            </w:r>
            <w:r>
              <w:rPr>
                <w:rFonts w:ascii="Times New Roman" w:hAnsi="Times New Roman" w:eastAsia="宋体"/>
                <w:color w:val="000000" w:themeColor="text1"/>
                <w:sz w:val="24"/>
                <w:szCs w:val="24"/>
                <w:highlight w:val="none"/>
                <w:vertAlign w:val="superscript"/>
                <w14:textFill>
                  <w14:solidFill>
                    <w14:schemeClr w14:val="tx1"/>
                  </w14:solidFill>
                </w14:textFill>
              </w:rPr>
              <w:t>2</w:t>
            </w:r>
            <w:r>
              <w:rPr>
                <w:rFonts w:ascii="Times New Roman" w:hAnsi="Times New Roman" w:eastAsia="宋体"/>
                <w:color w:val="000000" w:themeColor="text1"/>
                <w:sz w:val="24"/>
                <w:szCs w:val="24"/>
                <w:highlight w:val="none"/>
                <w14:textFill>
                  <w14:solidFill>
                    <w14:schemeClr w14:val="tx1"/>
                  </w14:solidFill>
                </w14:textFill>
              </w:rPr>
              <w:t>，口足类10.337kg/km</w:t>
            </w:r>
            <w:r>
              <w:rPr>
                <w:rFonts w:ascii="Times New Roman" w:hAnsi="Times New Roman" w:eastAsia="宋体"/>
                <w:color w:val="000000" w:themeColor="text1"/>
                <w:sz w:val="24"/>
                <w:szCs w:val="24"/>
                <w:highlight w:val="none"/>
                <w:vertAlign w:val="superscript"/>
                <w14:textFill>
                  <w14:solidFill>
                    <w14:schemeClr w14:val="tx1"/>
                  </w14:solidFill>
                </w14:textFill>
              </w:rPr>
              <w:t>2</w:t>
            </w:r>
            <w:r>
              <w:rPr>
                <w:rFonts w:ascii="Times New Roman" w:hAnsi="Times New Roman" w:eastAsia="宋体"/>
                <w:color w:val="000000" w:themeColor="text1"/>
                <w:sz w:val="24"/>
                <w:szCs w:val="24"/>
                <w:highlight w:val="none"/>
                <w14:textFill>
                  <w14:solidFill>
                    <w14:schemeClr w14:val="tx1"/>
                  </w14:solidFill>
                </w14:textFill>
              </w:rPr>
              <w:t>，头足类9.083kg/km</w:t>
            </w:r>
            <w:r>
              <w:rPr>
                <w:rFonts w:ascii="Times New Roman" w:hAnsi="Times New Roman" w:eastAsia="宋体"/>
                <w:color w:val="000000" w:themeColor="text1"/>
                <w:sz w:val="24"/>
                <w:szCs w:val="24"/>
                <w:highlight w:val="none"/>
                <w:vertAlign w:val="superscript"/>
                <w14:textFill>
                  <w14:solidFill>
                    <w14:schemeClr w14:val="tx1"/>
                  </w14:solidFill>
                </w14:textFill>
              </w:rPr>
              <w:t>2</w:t>
            </w:r>
            <w:r>
              <w:rPr>
                <w:rFonts w:ascii="Times New Roman" w:hAnsi="Times New Roman" w:eastAsia="宋体"/>
                <w:color w:val="000000" w:themeColor="text1"/>
                <w:sz w:val="24"/>
                <w:szCs w:val="24"/>
                <w:highlight w:val="none"/>
                <w14:textFill>
                  <w14:solidFill>
                    <w14:schemeClr w14:val="tx1"/>
                  </w14:solidFill>
                </w14:textFill>
              </w:rPr>
              <w:t>。各类别数量密度为：鱼类5850ind/km</w:t>
            </w:r>
            <w:r>
              <w:rPr>
                <w:rFonts w:ascii="Times New Roman" w:hAnsi="Times New Roman" w:eastAsia="宋体"/>
                <w:color w:val="000000" w:themeColor="text1"/>
                <w:sz w:val="24"/>
                <w:szCs w:val="24"/>
                <w:highlight w:val="none"/>
                <w:vertAlign w:val="superscript"/>
                <w14:textFill>
                  <w14:solidFill>
                    <w14:schemeClr w14:val="tx1"/>
                  </w14:solidFill>
                </w14:textFill>
              </w:rPr>
              <w:t>2</w:t>
            </w:r>
            <w:r>
              <w:rPr>
                <w:rFonts w:ascii="Times New Roman" w:hAnsi="Times New Roman" w:eastAsia="宋体"/>
                <w:color w:val="000000" w:themeColor="text1"/>
                <w:sz w:val="24"/>
                <w:szCs w:val="24"/>
                <w:highlight w:val="none"/>
                <w14:textFill>
                  <w14:solidFill>
                    <w14:schemeClr w14:val="tx1"/>
                  </w14:solidFill>
                </w14:textFill>
              </w:rPr>
              <w:t>，虾类2370ind/km</w:t>
            </w:r>
            <w:r>
              <w:rPr>
                <w:rFonts w:ascii="Times New Roman" w:hAnsi="Times New Roman" w:eastAsia="宋体"/>
                <w:color w:val="000000" w:themeColor="text1"/>
                <w:sz w:val="24"/>
                <w:szCs w:val="24"/>
                <w:highlight w:val="none"/>
                <w:vertAlign w:val="superscript"/>
                <w14:textFill>
                  <w14:solidFill>
                    <w14:schemeClr w14:val="tx1"/>
                  </w14:solidFill>
                </w14:textFill>
              </w:rPr>
              <w:t>2</w:t>
            </w:r>
            <w:r>
              <w:rPr>
                <w:rFonts w:ascii="Times New Roman" w:hAnsi="Times New Roman" w:eastAsia="宋体"/>
                <w:color w:val="000000" w:themeColor="text1"/>
                <w:sz w:val="24"/>
                <w:szCs w:val="24"/>
                <w:highlight w:val="none"/>
                <w14:textFill>
                  <w14:solidFill>
                    <w14:schemeClr w14:val="tx1"/>
                  </w14:solidFill>
                </w14:textFill>
              </w:rPr>
              <w:t>，蟹类1680ind/km</w:t>
            </w:r>
            <w:r>
              <w:rPr>
                <w:rFonts w:ascii="Times New Roman" w:hAnsi="Times New Roman" w:eastAsia="宋体"/>
                <w:color w:val="000000" w:themeColor="text1"/>
                <w:sz w:val="24"/>
                <w:szCs w:val="24"/>
                <w:highlight w:val="none"/>
                <w:vertAlign w:val="superscript"/>
                <w14:textFill>
                  <w14:solidFill>
                    <w14:schemeClr w14:val="tx1"/>
                  </w14:solidFill>
                </w14:textFill>
              </w:rPr>
              <w:t>2</w:t>
            </w:r>
            <w:r>
              <w:rPr>
                <w:rFonts w:ascii="Times New Roman" w:hAnsi="Times New Roman" w:eastAsia="宋体"/>
                <w:color w:val="000000" w:themeColor="text1"/>
                <w:sz w:val="24"/>
                <w:szCs w:val="24"/>
                <w:highlight w:val="none"/>
                <w14:textFill>
                  <w14:solidFill>
                    <w14:schemeClr w14:val="tx1"/>
                  </w14:solidFill>
                </w14:textFill>
              </w:rPr>
              <w:t>，口足类900ind/km</w:t>
            </w:r>
            <w:r>
              <w:rPr>
                <w:rFonts w:ascii="Times New Roman" w:hAnsi="Times New Roman" w:eastAsia="宋体"/>
                <w:color w:val="000000" w:themeColor="text1"/>
                <w:sz w:val="24"/>
                <w:szCs w:val="24"/>
                <w:highlight w:val="none"/>
                <w:vertAlign w:val="superscript"/>
                <w14:textFill>
                  <w14:solidFill>
                    <w14:schemeClr w14:val="tx1"/>
                  </w14:solidFill>
                </w14:textFill>
              </w:rPr>
              <w:t>2</w:t>
            </w:r>
            <w:r>
              <w:rPr>
                <w:rFonts w:ascii="Times New Roman" w:hAnsi="Times New Roman" w:eastAsia="宋体"/>
                <w:color w:val="000000" w:themeColor="text1"/>
                <w:sz w:val="24"/>
                <w:szCs w:val="24"/>
                <w:highlight w:val="none"/>
                <w14:textFill>
                  <w14:solidFill>
                    <w14:schemeClr w14:val="tx1"/>
                  </w14:solidFill>
                </w14:textFill>
              </w:rPr>
              <w:t>，头足类165ind/km</w:t>
            </w:r>
            <w:r>
              <w:rPr>
                <w:rFonts w:ascii="Times New Roman" w:hAnsi="Times New Roman" w:eastAsia="宋体"/>
                <w:color w:val="000000" w:themeColor="text1"/>
                <w:sz w:val="24"/>
                <w:szCs w:val="24"/>
                <w:highlight w:val="none"/>
                <w:vertAlign w:val="superscript"/>
                <w14:textFill>
                  <w14:solidFill>
                    <w14:schemeClr w14:val="tx1"/>
                  </w14:solidFill>
                </w14:textFill>
              </w:rPr>
              <w:t>2</w:t>
            </w:r>
            <w:r>
              <w:rPr>
                <w:rFonts w:ascii="Times New Roman" w:hAnsi="Times New Roman" w:eastAsia="宋体"/>
                <w:color w:val="000000" w:themeColor="text1"/>
                <w:sz w:val="24"/>
                <w:szCs w:val="24"/>
                <w:highlight w:val="none"/>
                <w14:textFill>
                  <w14:solidFill>
                    <w14:schemeClr w14:val="tx1"/>
                  </w14:solidFill>
                </w14:textFill>
              </w:rPr>
              <w:t>。</w:t>
            </w:r>
          </w:p>
          <w:p>
            <w:pPr>
              <w:pStyle w:val="22"/>
              <w:keepNext w:val="0"/>
              <w:keepLines w:val="0"/>
              <w:pageBreakBefore w:val="0"/>
              <w:widowControl w:val="0"/>
              <w:kinsoku/>
              <w:wordWrap/>
              <w:overflowPunct/>
              <w:topLinePunct w:val="0"/>
              <w:autoSpaceDE/>
              <w:autoSpaceDN/>
              <w:bidi w:val="0"/>
              <w:adjustRightInd/>
              <w:snapToGrid/>
              <w:spacing w:beforeAutospacing="0" w:after="0" w:afterAutospacing="0" w:line="360" w:lineRule="auto"/>
              <w:ind w:left="0" w:leftChars="0"/>
              <w:textAlignment w:val="auto"/>
              <w:rPr>
                <w:rFonts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olor w:val="000000" w:themeColor="text1"/>
                <w:sz w:val="24"/>
                <w:szCs w:val="24"/>
                <w:highlight w:val="none"/>
                <w:lang w:eastAsia="zh-CN"/>
                <w14:textFill>
                  <w14:solidFill>
                    <w14:schemeClr w14:val="tx1"/>
                  </w14:solidFill>
                </w14:textFill>
              </w:rPr>
              <w:t>综合上述调查结果</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及《万成港口开发有限公司用地围填海生态评估报告》</w:t>
            </w:r>
            <w:r>
              <w:rPr>
                <w:rFonts w:hint="eastAsia" w:ascii="Times New Roman" w:hAnsi="Times New Roman" w:eastAsia="宋体"/>
                <w:color w:val="000000" w:themeColor="text1"/>
                <w:sz w:val="24"/>
                <w:szCs w:val="24"/>
                <w:highlight w:val="none"/>
                <w:lang w:eastAsia="zh-CN"/>
                <w14:textFill>
                  <w14:solidFill>
                    <w14:schemeClr w14:val="tx1"/>
                  </w14:solidFill>
                </w14:textFill>
              </w:rPr>
              <w:t>，本项目区域附近海域动植物具有多样性，海域生态环境质量良好。</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14:textFill>
                  <w14:solidFill>
                    <w14:schemeClr w14:val="tx1"/>
                  </w14:solidFill>
                </w14:textFill>
              </w:rPr>
              <w:t>评价区气候类型属亚热带海洋性季风气候，四季分明，雨量充足，春夏多雨，秋冬干燥，水热条件丰富。项目占用的土地主要为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建设用地</w:t>
            </w:r>
            <w:r>
              <w:rPr>
                <w:rFonts w:hint="default" w:ascii="Times New Roman" w:hAnsi="Times New Roman" w:eastAsia="宋体" w:cs="Times New Roman"/>
                <w:color w:val="000000" w:themeColor="text1"/>
                <w:sz w:val="24"/>
                <w:szCs w:val="24"/>
                <w:highlight w:val="none"/>
                <w14:textFill>
                  <w14:solidFill>
                    <w14:schemeClr w14:val="tx1"/>
                  </w14:solidFill>
                </w14:textFill>
              </w:rPr>
              <w:t>，非生态保护区。植被主要是马尾松、灌木、芒萁、五节芒、茅草等，植被覆盖率20~30％， 未见国家、省级珍稀保护动植物。</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本次场地平整范围有大部分地表裸露，水土保持较差；外运道路中，基本利用现有水泥路面的乡道，不新增占地。</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项目评价范围不涉及饮用水源保护区、自然保护区、世界文化和自然遗产地、风景名胜区、地质公园、森林公园和重要湿地等特殊或重要生态敏感区。</w:t>
            </w:r>
          </w:p>
          <w:p>
            <w:pPr>
              <w:pStyle w:val="10"/>
              <w:pageBreakBefore w:val="0"/>
              <w:kinsoku/>
              <w:bidi w:val="0"/>
              <w:spacing w:before="0" w:beforeAutospacing="0" w:after="0" w:afterAutospacing="0"/>
              <w:ind w:left="0" w:leftChars="0" w:firstLine="0" w:firstLineChars="0"/>
              <w:rPr>
                <w:rFonts w:hint="default" w:ascii="Times New Roman" w:hAnsi="Times New Roman" w:eastAsia="宋体"/>
                <w:color w:val="000000" w:themeColor="text1"/>
                <w14:textFill>
                  <w14:solidFill>
                    <w14:schemeClr w14:val="tx1"/>
                  </w14:solidFill>
                </w14:textFill>
              </w:rPr>
            </w:pPr>
          </w:p>
          <w:p>
            <w:pPr>
              <w:pStyle w:val="22"/>
              <w:pageBreakBefore w:val="0"/>
              <w:kinsoku/>
              <w:bidi w:val="0"/>
              <w:spacing w:beforeAutospacing="0" w:after="0" w:afterAutospacing="0"/>
              <w:ind w:left="0" w:leftChars="0" w:firstLine="0" w:firstLineChars="0"/>
              <w:jc w:val="center"/>
              <w:rPr>
                <w:rFonts w:hint="default" w:ascii="Times New Roman" w:hAnsi="Times New Roman" w:eastAsia="宋体"/>
                <w:color w:val="000000" w:themeColor="text1"/>
                <w:highlight w:val="none"/>
                <w:lang w:eastAsia="zh-CN"/>
                <w14:textFill>
                  <w14:solidFill>
                    <w14:schemeClr w14:val="tx1"/>
                  </w14:solidFill>
                </w14:textFill>
              </w:rPr>
            </w:pPr>
            <w:r>
              <w:rPr>
                <w:rFonts w:ascii="Times New Roman" w:hAnsi="Times New Roman" w:eastAsia="宋体"/>
                <w:color w:val="000000" w:themeColor="text1"/>
                <w14:textFill>
                  <w14:solidFill>
                    <w14:schemeClr w14:val="tx1"/>
                  </w14:solidFill>
                </w14:textFill>
              </w:rPr>
              <w:drawing>
                <wp:inline distT="0" distB="0" distL="114300" distR="114300">
                  <wp:extent cx="4861560" cy="2647315"/>
                  <wp:effectExtent l="0" t="0" r="15240" b="635"/>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19"/>
                          <a:stretch>
                            <a:fillRect/>
                          </a:stretch>
                        </pic:blipFill>
                        <pic:spPr>
                          <a:xfrm>
                            <a:off x="0" y="0"/>
                            <a:ext cx="4861560" cy="2647315"/>
                          </a:xfrm>
                          <a:prstGeom prst="rect">
                            <a:avLst/>
                          </a:prstGeom>
                          <a:noFill/>
                          <a:ln>
                            <a:noFill/>
                          </a:ln>
                        </pic:spPr>
                      </pic:pic>
                    </a:graphicData>
                  </a:graphic>
                </wp:inline>
              </w:drawing>
            </w:r>
          </w:p>
          <w:p>
            <w:pPr>
              <w:pStyle w:val="134"/>
              <w:keepNext w:val="0"/>
              <w:keepLines w:val="0"/>
              <w:pageBreakBefore w:val="0"/>
              <w:widowControl w:val="0"/>
              <w:kinsoku/>
              <w:wordWrap/>
              <w:overflowPunct/>
              <w:autoSpaceDE/>
              <w:autoSpaceDN/>
              <w:bidi w:val="0"/>
              <w:spacing w:beforeAutospacing="0" w:afterAutospacing="0" w:line="360" w:lineRule="auto"/>
              <w:jc w:val="center"/>
              <w:rPr>
                <w:rFonts w:hint="default" w:ascii="Times New Roman" w:hAnsi="Times New Roman" w:eastAsia="宋体"/>
                <w:b/>
                <w:bCs/>
                <w:color w:val="000000" w:themeColor="text1"/>
                <w:sz w:val="24"/>
                <w:szCs w:val="24"/>
                <w:highlight w:val="none"/>
                <w:lang w:val="en-US"/>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图3.1-1 福建省生态环境厅网站截图</w:t>
            </w:r>
          </w:p>
          <w:p>
            <w:pPr>
              <w:pStyle w:val="11"/>
              <w:pageBreakBefore w:val="0"/>
              <w:kinsoku/>
              <w:bidi w:val="0"/>
              <w:spacing w:beforeAutospacing="0" w:afterAutospacing="0"/>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32"/>
                <w:szCs w:val="32"/>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大气环境质量现状</w:t>
            </w:r>
          </w:p>
          <w:p>
            <w:pPr>
              <w:pageBreakBefore w:val="0"/>
              <w:kinsoku/>
              <w:bidi w:val="0"/>
              <w:adjustRightInd w:val="0"/>
              <w:snapToGrid w:val="0"/>
              <w:spacing w:beforeAutospacing="0" w:afterAutospacing="0" w:line="360" w:lineRule="auto"/>
              <w:ind w:firstLine="480" w:firstLineChars="200"/>
              <w:rPr>
                <w:rFonts w:hint="default" w:ascii="Times New Roman" w:hAnsi="Times New Roman" w:eastAsia="宋体" w:cs="Times New Roman"/>
                <w:b/>
                <w:bCs/>
                <w:color w:val="000000" w:themeColor="text1"/>
                <w:sz w:val="24"/>
                <w:szCs w:val="24"/>
                <w:highlight w:val="none"/>
                <w14:textFill>
                  <w14:solidFill>
                    <w14:schemeClr w14:val="tx1"/>
                  </w14:solidFill>
                </w14:textFill>
              </w:rPr>
            </w:pPr>
            <w:bookmarkStart w:id="15" w:name="_Toc20336"/>
            <w:bookmarkStart w:id="16" w:name="_Toc29753"/>
            <w:bookmarkStart w:id="17" w:name="_Toc22279"/>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本项目位于</w:t>
            </w:r>
            <w:r>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t>福建省</w:t>
            </w:r>
            <w:r>
              <w:rPr>
                <w:rFonts w:hint="default"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宁德</w:t>
            </w:r>
            <w:r>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t>市</w:t>
            </w:r>
            <w:r>
              <w:rPr>
                <w:rFonts w:hint="default"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福鼎市</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白琳镇沿州村</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。本工程评价范围内为二类环境空气质量功能区，环境空气质量应执行《环境空气质量标准》（GB3095-2012）中的二级标准。</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具体标准值见表</w:t>
            </w:r>
            <w:r>
              <w:rPr>
                <w:rFonts w:hint="default" w:ascii="Times New Roman" w:hAnsi="Times New Roman" w:eastAsia="宋体" w:cs="Times New Roman"/>
                <w:color w:val="000000" w:themeColor="text1"/>
                <w:sz w:val="24"/>
                <w:szCs w:val="24"/>
                <w:highlight w:val="none"/>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1。</w:t>
            </w:r>
          </w:p>
          <w:p>
            <w:pPr>
              <w:pageBreakBefore w:val="0"/>
              <w:kinsoku/>
              <w:bidi w:val="0"/>
              <w:adjustRightInd w:val="0"/>
              <w:snapToGrid w:val="0"/>
              <w:spacing w:beforeAutospacing="0" w:afterAutospacing="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表3.</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1  环境质量评价标准</w:t>
            </w:r>
          </w:p>
          <w:tbl>
            <w:tblPr>
              <w:tblStyle w:val="33"/>
              <w:tblW w:w="842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3"/>
              <w:gridCol w:w="1681"/>
              <w:gridCol w:w="1256"/>
              <w:gridCol w:w="968"/>
              <w:gridCol w:w="30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443"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污染物名称</w:t>
                  </w:r>
                </w:p>
              </w:tc>
              <w:tc>
                <w:tcPr>
                  <w:tcW w:w="1681"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取值时间</w:t>
                  </w:r>
                </w:p>
              </w:tc>
              <w:tc>
                <w:tcPr>
                  <w:tcW w:w="1256"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浓度限值</w:t>
                  </w:r>
                </w:p>
              </w:tc>
              <w:tc>
                <w:tcPr>
                  <w:tcW w:w="968"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单位</w:t>
                  </w:r>
                </w:p>
              </w:tc>
              <w:tc>
                <w:tcPr>
                  <w:tcW w:w="3079"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43" w:type="dxa"/>
                  <w:vMerge w:val="restart"/>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1681"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w:t>
                  </w:r>
                </w:p>
              </w:tc>
              <w:tc>
                <w:tcPr>
                  <w:tcW w:w="1256"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60</w:t>
                  </w:r>
                </w:p>
              </w:tc>
              <w:tc>
                <w:tcPr>
                  <w:tcW w:w="968"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3079" w:type="dxa"/>
                  <w:vMerge w:val="restart"/>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《环境空气质量标准》（GB3095-2012）二级标准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43"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81"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24h平均</w:t>
                  </w:r>
                </w:p>
              </w:tc>
              <w:tc>
                <w:tcPr>
                  <w:tcW w:w="1256"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150</w:t>
                  </w:r>
                </w:p>
              </w:tc>
              <w:tc>
                <w:tcPr>
                  <w:tcW w:w="968"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3079"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43"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81"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1h平均</w:t>
                  </w:r>
                </w:p>
              </w:tc>
              <w:tc>
                <w:tcPr>
                  <w:tcW w:w="1256"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500</w:t>
                  </w:r>
                </w:p>
              </w:tc>
              <w:tc>
                <w:tcPr>
                  <w:tcW w:w="968"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3079"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43" w:type="dxa"/>
                  <w:vMerge w:val="restart"/>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1681"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w:t>
                  </w:r>
                </w:p>
              </w:tc>
              <w:tc>
                <w:tcPr>
                  <w:tcW w:w="1256"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w:t>
                  </w:r>
                </w:p>
              </w:tc>
              <w:tc>
                <w:tcPr>
                  <w:tcW w:w="968"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3079"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43"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81"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24h平均</w:t>
                  </w:r>
                </w:p>
              </w:tc>
              <w:tc>
                <w:tcPr>
                  <w:tcW w:w="1256"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80</w:t>
                  </w:r>
                </w:p>
              </w:tc>
              <w:tc>
                <w:tcPr>
                  <w:tcW w:w="968"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3079"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43"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81"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1h平均</w:t>
                  </w:r>
                </w:p>
              </w:tc>
              <w:tc>
                <w:tcPr>
                  <w:tcW w:w="1256"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200</w:t>
                  </w:r>
                </w:p>
              </w:tc>
              <w:tc>
                <w:tcPr>
                  <w:tcW w:w="968"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3079"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43" w:type="dxa"/>
                  <w:vMerge w:val="restart"/>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10</w:t>
                  </w:r>
                </w:p>
              </w:tc>
              <w:tc>
                <w:tcPr>
                  <w:tcW w:w="1681"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w:t>
                  </w:r>
                </w:p>
              </w:tc>
              <w:tc>
                <w:tcPr>
                  <w:tcW w:w="1256"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70</w:t>
                  </w:r>
                </w:p>
              </w:tc>
              <w:tc>
                <w:tcPr>
                  <w:tcW w:w="968"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3079"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43"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81"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24h平均</w:t>
                  </w:r>
                </w:p>
              </w:tc>
              <w:tc>
                <w:tcPr>
                  <w:tcW w:w="1256"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150</w:t>
                  </w:r>
                </w:p>
              </w:tc>
              <w:tc>
                <w:tcPr>
                  <w:tcW w:w="968"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3079"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43" w:type="dxa"/>
                  <w:vMerge w:val="restart"/>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2.5</w:t>
                  </w:r>
                </w:p>
              </w:tc>
              <w:tc>
                <w:tcPr>
                  <w:tcW w:w="1681"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w:t>
                  </w:r>
                </w:p>
              </w:tc>
              <w:tc>
                <w:tcPr>
                  <w:tcW w:w="1256"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35</w:t>
                  </w:r>
                </w:p>
              </w:tc>
              <w:tc>
                <w:tcPr>
                  <w:tcW w:w="968"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3079"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43"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81"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24h平均</w:t>
                  </w:r>
                </w:p>
              </w:tc>
              <w:tc>
                <w:tcPr>
                  <w:tcW w:w="1256"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75</w:t>
                  </w:r>
                </w:p>
              </w:tc>
              <w:tc>
                <w:tcPr>
                  <w:tcW w:w="968"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3079"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43" w:type="dxa"/>
                  <w:vMerge w:val="restart"/>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TSP</w:t>
                  </w:r>
                </w:p>
              </w:tc>
              <w:tc>
                <w:tcPr>
                  <w:tcW w:w="1681"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w:t>
                  </w:r>
                </w:p>
              </w:tc>
              <w:tc>
                <w:tcPr>
                  <w:tcW w:w="1256"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200</w:t>
                  </w:r>
                </w:p>
              </w:tc>
              <w:tc>
                <w:tcPr>
                  <w:tcW w:w="968"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3079"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43"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81"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24h平均</w:t>
                  </w:r>
                </w:p>
              </w:tc>
              <w:tc>
                <w:tcPr>
                  <w:tcW w:w="1256"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300</w:t>
                  </w:r>
                </w:p>
              </w:tc>
              <w:tc>
                <w:tcPr>
                  <w:tcW w:w="968"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3079"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43"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CO</w:t>
                  </w:r>
                </w:p>
              </w:tc>
              <w:tc>
                <w:tcPr>
                  <w:tcW w:w="1681"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24h平均</w:t>
                  </w:r>
                </w:p>
              </w:tc>
              <w:tc>
                <w:tcPr>
                  <w:tcW w:w="1256"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4000</w:t>
                  </w:r>
                </w:p>
              </w:tc>
              <w:tc>
                <w:tcPr>
                  <w:tcW w:w="968"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3079"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43"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3</w:t>
                  </w:r>
                </w:p>
              </w:tc>
              <w:tc>
                <w:tcPr>
                  <w:tcW w:w="1681"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日最大8h平均</w:t>
                  </w:r>
                </w:p>
              </w:tc>
              <w:tc>
                <w:tcPr>
                  <w:tcW w:w="1256"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160</w:t>
                  </w:r>
                </w:p>
              </w:tc>
              <w:tc>
                <w:tcPr>
                  <w:tcW w:w="968"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3079"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bl>
          <w:p>
            <w:pPr>
              <w:pStyle w:val="30"/>
              <w:keepNext w:val="0"/>
              <w:keepLines w:val="0"/>
              <w:pageBreakBefore w:val="0"/>
              <w:widowControl w:val="0"/>
              <w:suppressLineNumbers w:val="0"/>
              <w:kinsoku/>
              <w:bidi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按《环境影响评价技术导则大气环境》（HJ2.2-2018）要求，城市环境空气质量达标情况评价指标为SO</w:t>
            </w:r>
            <w:r>
              <w:rPr>
                <w:rFonts w:hint="default" w:ascii="Times New Roman" w:hAnsi="Times New Roman" w:eastAsia="宋体" w:cs="Times New Roman"/>
                <w:color w:val="000000" w:themeColor="text1"/>
                <w:kern w:val="0"/>
                <w:sz w:val="24"/>
                <w:szCs w:val="24"/>
                <w:highlight w:val="none"/>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、NO</w:t>
            </w:r>
            <w:r>
              <w:rPr>
                <w:rFonts w:hint="default" w:ascii="Times New Roman" w:hAnsi="Times New Roman" w:eastAsia="宋体" w:cs="Times New Roman"/>
                <w:color w:val="000000" w:themeColor="text1"/>
                <w:kern w:val="0"/>
                <w:sz w:val="24"/>
                <w:szCs w:val="24"/>
                <w:highlight w:val="none"/>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、PM</w:t>
            </w:r>
            <w:r>
              <w:rPr>
                <w:rFonts w:hint="default" w:ascii="Times New Roman" w:hAnsi="Times New Roman" w:eastAsia="宋体" w:cs="Times New Roman"/>
                <w:color w:val="000000" w:themeColor="text1"/>
                <w:kern w:val="0"/>
                <w:sz w:val="24"/>
                <w:szCs w:val="24"/>
                <w:highlight w:val="none"/>
                <w:vertAlign w:val="subscript"/>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、PM</w:t>
            </w:r>
            <w:r>
              <w:rPr>
                <w:rFonts w:hint="default" w:ascii="Times New Roman" w:hAnsi="Times New Roman" w:eastAsia="宋体" w:cs="Times New Roman"/>
                <w:color w:val="000000" w:themeColor="text1"/>
                <w:kern w:val="0"/>
                <w:sz w:val="24"/>
                <w:szCs w:val="24"/>
                <w:highlight w:val="none"/>
                <w:vertAlign w:val="subscript"/>
                <w:lang w:val="en-US" w:eastAsia="zh-CN" w:bidi="ar"/>
                <w14:textFill>
                  <w14:solidFill>
                    <w14:schemeClr w14:val="tx1"/>
                  </w14:solidFill>
                </w14:textFill>
              </w:rPr>
              <w:t>2.5</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、CO 和O</w:t>
            </w:r>
            <w:r>
              <w:rPr>
                <w:rFonts w:hint="default" w:ascii="Times New Roman" w:hAnsi="Times New Roman" w:eastAsia="宋体" w:cs="Times New Roman"/>
                <w:color w:val="000000" w:themeColor="text1"/>
                <w:kern w:val="0"/>
                <w:sz w:val="24"/>
                <w:szCs w:val="24"/>
                <w:highlight w:val="none"/>
                <w:vertAlign w:val="sub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，六项污染物全部达标即为城市环境空气质量达标。项目所在区域达标判定，优先采用国家或地方生态环境主管部门公开公布的评价基准年环境质量公告或环境质量报告中的数据或结论。</w:t>
            </w:r>
          </w:p>
          <w:p>
            <w:pPr>
              <w:pStyle w:val="30"/>
              <w:keepNext w:val="0"/>
              <w:keepLines w:val="0"/>
              <w:pageBreakBefore w:val="0"/>
              <w:widowControl w:val="0"/>
              <w:suppressLineNumbers w:val="0"/>
              <w:kinsoku/>
              <w:bidi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根据《宁德市环境质量概要（</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2022</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年度）》</w:t>
            </w:r>
            <w:r>
              <w:rPr>
                <w:rFonts w:hint="default" w:ascii="Times New Roman" w:hAnsi="Times New Roman" w:eastAsia="宋体" w:cs="Times New Roman"/>
                <w:color w:val="000000" w:themeColor="text1"/>
                <w:sz w:val="24"/>
                <w:szCs w:val="24"/>
                <w:highlight w:val="none"/>
                <w14:textFill>
                  <w14:solidFill>
                    <w14:schemeClr w14:val="tx1"/>
                  </w14:solidFill>
                </w14:textFill>
              </w:rPr>
              <w:t>，详见</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表3.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，福鼎市202</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年空气环境中SO</w:t>
            </w:r>
            <w:r>
              <w:rPr>
                <w:rFonts w:hint="default" w:ascii="Times New Roman" w:hAnsi="Times New Roman" w:eastAsia="宋体" w:cs="Times New Roman"/>
                <w:color w:val="000000" w:themeColor="text1"/>
                <w:kern w:val="0"/>
                <w:sz w:val="24"/>
                <w:szCs w:val="24"/>
                <w:highlight w:val="none"/>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、NO</w:t>
            </w:r>
            <w:r>
              <w:rPr>
                <w:rFonts w:hint="default" w:ascii="Times New Roman" w:hAnsi="Times New Roman" w:eastAsia="宋体" w:cs="Times New Roman"/>
                <w:color w:val="000000" w:themeColor="text1"/>
                <w:kern w:val="0"/>
                <w:sz w:val="24"/>
                <w:szCs w:val="24"/>
                <w:highlight w:val="none"/>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、PM</w:t>
            </w:r>
            <w:r>
              <w:rPr>
                <w:rFonts w:hint="default" w:ascii="Times New Roman" w:hAnsi="Times New Roman" w:eastAsia="宋体" w:cs="Times New Roman"/>
                <w:color w:val="000000" w:themeColor="text1"/>
                <w:kern w:val="0"/>
                <w:sz w:val="24"/>
                <w:szCs w:val="24"/>
                <w:highlight w:val="none"/>
                <w:vertAlign w:val="subscript"/>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和PM</w:t>
            </w:r>
            <w:r>
              <w:rPr>
                <w:rFonts w:hint="default" w:ascii="Times New Roman" w:hAnsi="Times New Roman" w:eastAsia="宋体" w:cs="Times New Roman"/>
                <w:color w:val="000000" w:themeColor="text1"/>
                <w:kern w:val="0"/>
                <w:sz w:val="24"/>
                <w:szCs w:val="24"/>
                <w:highlight w:val="none"/>
                <w:vertAlign w:val="subscript"/>
                <w:lang w:val="en-US" w:eastAsia="zh-CN" w:bidi="ar"/>
                <w14:textFill>
                  <w14:solidFill>
                    <w14:schemeClr w14:val="tx1"/>
                  </w14:solidFill>
                </w14:textFill>
              </w:rPr>
              <w:t>2.5</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均未超过国家二级标准，CO日均值第95百分数和O</w:t>
            </w:r>
            <w:r>
              <w:rPr>
                <w:rFonts w:hint="default" w:ascii="Times New Roman" w:hAnsi="Times New Roman" w:eastAsia="宋体" w:cs="Times New Roman"/>
                <w:color w:val="000000" w:themeColor="text1"/>
                <w:kern w:val="0"/>
                <w:sz w:val="24"/>
                <w:szCs w:val="24"/>
                <w:highlight w:val="none"/>
                <w:vertAlign w:val="sub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最大8小时值第90百分数未超过国家二级标准，福鼎市环境空气质量属于达标区。</w:t>
            </w:r>
          </w:p>
          <w:p>
            <w:pPr>
              <w:pageBreakBefore w:val="0"/>
              <w:kinsoku/>
              <w:bidi w:val="0"/>
              <w:adjustRightInd w:val="0"/>
              <w:snapToGrid w:val="0"/>
              <w:spacing w:beforeAutospacing="0" w:afterAutospacing="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 xml:space="preserve"> </w:t>
            </w:r>
            <w:bookmarkStart w:id="18" w:name="_Ref65681669"/>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表3.</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2  </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福鼎市区域空气质量现状评价表</w:t>
            </w:r>
            <w:bookmarkEnd w:id="18"/>
          </w:p>
          <w:tbl>
            <w:tblPr>
              <w:tblStyle w:val="33"/>
              <w:tblW w:w="843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613"/>
              <w:gridCol w:w="1045"/>
              <w:gridCol w:w="1120"/>
              <w:gridCol w:w="1120"/>
              <w:gridCol w:w="1131"/>
              <w:gridCol w:w="1241"/>
              <w:gridCol w:w="11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613"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时间</w:t>
                  </w:r>
                </w:p>
              </w:tc>
              <w:tc>
                <w:tcPr>
                  <w:tcW w:w="1045"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SO</w:t>
                  </w:r>
                  <w:r>
                    <w:rPr>
                      <w:rFonts w:hint="default" w:ascii="Times New Roman" w:hAnsi="Times New Roman" w:eastAsia="宋体" w:cs="Times New Roman"/>
                      <w:color w:val="000000" w:themeColor="text1"/>
                      <w:highlight w:val="none"/>
                      <w:vertAlign w:val="subscript"/>
                      <w14:textFill>
                        <w14:solidFill>
                          <w14:schemeClr w14:val="tx1"/>
                        </w14:solidFill>
                      </w14:textFill>
                    </w:rPr>
                    <w:t>2</w:t>
                  </w:r>
                </w:p>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mg/m³</w:t>
                  </w:r>
                </w:p>
              </w:tc>
              <w:tc>
                <w:tcPr>
                  <w:tcW w:w="1120"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NO</w:t>
                  </w:r>
                  <w:r>
                    <w:rPr>
                      <w:rFonts w:hint="default" w:ascii="Times New Roman" w:hAnsi="Times New Roman" w:eastAsia="宋体" w:cs="Times New Roman"/>
                      <w:color w:val="000000" w:themeColor="text1"/>
                      <w:highlight w:val="none"/>
                      <w:vertAlign w:val="subscript"/>
                      <w14:textFill>
                        <w14:solidFill>
                          <w14:schemeClr w14:val="tx1"/>
                        </w14:solidFill>
                      </w14:textFill>
                    </w:rPr>
                    <w:t>2</w:t>
                  </w:r>
                </w:p>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mg/m³</w:t>
                  </w:r>
                </w:p>
              </w:tc>
              <w:tc>
                <w:tcPr>
                  <w:tcW w:w="1120"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PM</w:t>
                  </w:r>
                  <w:r>
                    <w:rPr>
                      <w:rFonts w:hint="default" w:ascii="Times New Roman" w:hAnsi="Times New Roman" w:eastAsia="宋体" w:cs="Times New Roman"/>
                      <w:color w:val="000000" w:themeColor="text1"/>
                      <w:highlight w:val="none"/>
                      <w:vertAlign w:val="subscript"/>
                      <w14:textFill>
                        <w14:solidFill>
                          <w14:schemeClr w14:val="tx1"/>
                        </w14:solidFill>
                      </w14:textFill>
                    </w:rPr>
                    <w:t>10</w:t>
                  </w:r>
                </w:p>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mg/m³</w:t>
                  </w:r>
                </w:p>
              </w:tc>
              <w:tc>
                <w:tcPr>
                  <w:tcW w:w="1131"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PM</w:t>
                  </w:r>
                  <w:r>
                    <w:rPr>
                      <w:rFonts w:hint="default" w:ascii="Times New Roman" w:hAnsi="Times New Roman" w:eastAsia="宋体" w:cs="Times New Roman"/>
                      <w:color w:val="000000" w:themeColor="text1"/>
                      <w:highlight w:val="none"/>
                      <w:vertAlign w:val="subscript"/>
                      <w14:textFill>
                        <w14:solidFill>
                          <w14:schemeClr w14:val="tx1"/>
                        </w14:solidFill>
                      </w14:textFill>
                    </w:rPr>
                    <w:t>2.5</w:t>
                  </w:r>
                </w:p>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mg/m³</w:t>
                  </w:r>
                </w:p>
              </w:tc>
              <w:tc>
                <w:tcPr>
                  <w:tcW w:w="1241"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CO</w:t>
                  </w:r>
                </w:p>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mg/m³</w:t>
                  </w:r>
                </w:p>
              </w:tc>
              <w:tc>
                <w:tcPr>
                  <w:tcW w:w="1160"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O</w:t>
                  </w:r>
                  <w:r>
                    <w:rPr>
                      <w:rFonts w:hint="default" w:ascii="Times New Roman" w:hAnsi="Times New Roman" w:eastAsia="宋体" w:cs="Times New Roman"/>
                      <w:color w:val="000000" w:themeColor="text1"/>
                      <w:highlight w:val="none"/>
                      <w:vertAlign w:val="subscript"/>
                      <w14:textFill>
                        <w14:solidFill>
                          <w14:schemeClr w14:val="tx1"/>
                        </w14:solidFill>
                      </w14:textFill>
                    </w:rPr>
                    <w:t>3</w:t>
                  </w:r>
                </w:p>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mg/m³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613"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福鼎市</w:t>
                  </w:r>
                </w:p>
              </w:tc>
              <w:tc>
                <w:tcPr>
                  <w:tcW w:w="1045"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0.0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07</w:t>
                  </w:r>
                </w:p>
              </w:tc>
              <w:tc>
                <w:tcPr>
                  <w:tcW w:w="1120" w:type="dxa"/>
                  <w:tcBorders>
                    <w:tl2br w:val="nil"/>
                    <w:tr2bl w:val="nil"/>
                  </w:tcBorders>
                  <w:vAlign w:val="center"/>
                </w:tcPr>
                <w:p>
                  <w:pPr>
                    <w:pStyle w:val="141"/>
                    <w:pageBreakBefore w:val="0"/>
                    <w:kinsoku/>
                    <w:bidi w:val="0"/>
                    <w:spacing w:beforeAutospacing="0" w:afterAutospacing="0"/>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0.00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8</w:t>
                  </w:r>
                </w:p>
              </w:tc>
              <w:tc>
                <w:tcPr>
                  <w:tcW w:w="1120" w:type="dxa"/>
                  <w:tcBorders>
                    <w:tl2br w:val="nil"/>
                    <w:tr2bl w:val="nil"/>
                  </w:tcBorders>
                  <w:vAlign w:val="center"/>
                </w:tcPr>
                <w:p>
                  <w:pPr>
                    <w:pStyle w:val="141"/>
                    <w:pageBreakBefore w:val="0"/>
                    <w:kinsoku/>
                    <w:bidi w:val="0"/>
                    <w:spacing w:beforeAutospacing="0" w:afterAutospacing="0"/>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0.03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5</w:t>
                  </w:r>
                </w:p>
              </w:tc>
              <w:tc>
                <w:tcPr>
                  <w:tcW w:w="1131" w:type="dxa"/>
                  <w:tcBorders>
                    <w:tl2br w:val="nil"/>
                    <w:tr2bl w:val="nil"/>
                  </w:tcBorders>
                  <w:vAlign w:val="center"/>
                </w:tcPr>
                <w:p>
                  <w:pPr>
                    <w:pStyle w:val="141"/>
                    <w:pageBreakBefore w:val="0"/>
                    <w:kinsoku/>
                    <w:bidi w:val="0"/>
                    <w:spacing w:beforeAutospacing="0" w:afterAutospacing="0"/>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0.01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3</w:t>
                  </w:r>
                </w:p>
              </w:tc>
              <w:tc>
                <w:tcPr>
                  <w:tcW w:w="1241" w:type="dxa"/>
                  <w:tcBorders>
                    <w:tl2br w:val="nil"/>
                    <w:tr2bl w:val="nil"/>
                  </w:tcBorders>
                  <w:vAlign w:val="center"/>
                </w:tcPr>
                <w:p>
                  <w:pPr>
                    <w:pStyle w:val="141"/>
                    <w:pageBreakBefore w:val="0"/>
                    <w:kinsoku/>
                    <w:bidi w:val="0"/>
                    <w:spacing w:beforeAutospacing="0" w:afterAutospacing="0"/>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5</w:t>
                  </w:r>
                </w:p>
              </w:tc>
              <w:tc>
                <w:tcPr>
                  <w:tcW w:w="1160"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0.0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613"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国家二级标准</w:t>
                  </w:r>
                </w:p>
              </w:tc>
              <w:tc>
                <w:tcPr>
                  <w:tcW w:w="1045"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0.06</w:t>
                  </w:r>
                </w:p>
              </w:tc>
              <w:tc>
                <w:tcPr>
                  <w:tcW w:w="1120"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0.04</w:t>
                  </w:r>
                </w:p>
              </w:tc>
              <w:tc>
                <w:tcPr>
                  <w:tcW w:w="1120"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0.07</w:t>
                  </w:r>
                </w:p>
              </w:tc>
              <w:tc>
                <w:tcPr>
                  <w:tcW w:w="1131"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0.035</w:t>
                  </w:r>
                </w:p>
              </w:tc>
              <w:tc>
                <w:tcPr>
                  <w:tcW w:w="1241"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4</w:t>
                  </w:r>
                </w:p>
              </w:tc>
              <w:tc>
                <w:tcPr>
                  <w:tcW w:w="1160"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613"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达标情况</w:t>
                  </w:r>
                </w:p>
              </w:tc>
              <w:tc>
                <w:tcPr>
                  <w:tcW w:w="6817" w:type="dxa"/>
                  <w:gridSpan w:val="6"/>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8430" w:type="dxa"/>
                  <w:gridSpan w:val="7"/>
                  <w:tcBorders>
                    <w:tl2br w:val="nil"/>
                    <w:tr2bl w:val="nil"/>
                  </w:tcBorders>
                  <w:vAlign w:val="center"/>
                </w:tcPr>
                <w:p>
                  <w:pPr>
                    <w:pStyle w:val="141"/>
                    <w:pageBreakBefore w:val="0"/>
                    <w:kinsoku/>
                    <w:bidi w:val="0"/>
                    <w:spacing w:beforeAutospacing="0" w:afterAutospacing="0"/>
                    <w:ind w:firstLine="480"/>
                    <w:jc w:val="both"/>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注：CO为日均值第95百分位数，O</w:t>
                  </w:r>
                  <w:r>
                    <w:rPr>
                      <w:rFonts w:hint="default" w:ascii="Times New Roman" w:hAnsi="Times New Roman" w:eastAsia="宋体" w:cs="Times New Roman"/>
                      <w:color w:val="000000" w:themeColor="text1"/>
                      <w:highlight w:val="none"/>
                      <w:vertAlign w:val="subscript"/>
                      <w14:textFill>
                        <w14:solidFill>
                          <w14:schemeClr w14:val="tx1"/>
                        </w14:solidFill>
                      </w14:textFill>
                    </w:rPr>
                    <w:t>3</w:t>
                  </w:r>
                  <w:r>
                    <w:rPr>
                      <w:rFonts w:hint="default" w:ascii="Times New Roman" w:hAnsi="Times New Roman" w:eastAsia="宋体" w:cs="Times New Roman"/>
                      <w:color w:val="000000" w:themeColor="text1"/>
                      <w:highlight w:val="none"/>
                      <w14:textFill>
                        <w14:solidFill>
                          <w14:schemeClr w14:val="tx1"/>
                        </w14:solidFill>
                      </w14:textFill>
                    </w:rPr>
                    <w:t>为日最大8小时值第90百分位数。</w:t>
                  </w:r>
                </w:p>
              </w:tc>
            </w:tr>
          </w:tbl>
          <w:p>
            <w:pPr>
              <w:pStyle w:val="30"/>
              <w:keepNext w:val="0"/>
              <w:keepLines w:val="0"/>
              <w:pageBreakBefore w:val="0"/>
              <w:widowControl w:val="0"/>
              <w:suppressLineNumbers w:val="0"/>
              <w:kinsoku/>
              <w:bidi w:val="0"/>
              <w:spacing w:before="0" w:beforeAutospacing="0" w:after="0" w:afterAutospacing="0" w:line="360" w:lineRule="auto"/>
              <w:ind w:left="0" w:right="0" w:firstLine="480" w:firstLineChars="200"/>
              <w:jc w:val="both"/>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为了解区域</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TSP</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境质量现状，</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引用福建晟立监测技术有限公司2021年3月21~22日对白岩村的监测结果，白岩村位于本项目西南侧1425m处。监测结果见表3.2-3。根据监测结果，TSP符合</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《环境空气质量标准》（GB3095-2012）中的二级标准要求</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p>
          <w:p>
            <w:pPr>
              <w:pageBreakBefore w:val="0"/>
              <w:kinsoku/>
              <w:bidi w:val="0"/>
              <w:adjustRightInd w:val="0"/>
              <w:snapToGrid w:val="0"/>
              <w:spacing w:beforeAutospacing="0" w:afterAutospacing="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表3.</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2-3</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TSP</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现状监测结果一览表</w:t>
            </w:r>
          </w:p>
          <w:tbl>
            <w:tblPr>
              <w:tblStyle w:val="34"/>
              <w:tblW w:w="843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65"/>
              <w:gridCol w:w="3514"/>
              <w:gridCol w:w="30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5" w:type="dxa"/>
                  <w:vAlign w:val="center"/>
                </w:tcPr>
                <w:p>
                  <w:pPr>
                    <w:pStyle w:val="141"/>
                    <w:pageBreakBefore w:val="0"/>
                    <w:kinsoku/>
                    <w:bidi w:val="0"/>
                    <w:spacing w:beforeAutospacing="0" w:afterAutospacing="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污染物名称</w:t>
                  </w:r>
                </w:p>
              </w:tc>
              <w:tc>
                <w:tcPr>
                  <w:tcW w:w="3514" w:type="dxa"/>
                  <w:vAlign w:val="center"/>
                </w:tcPr>
                <w:p>
                  <w:pPr>
                    <w:pStyle w:val="141"/>
                    <w:pageBreakBefore w:val="0"/>
                    <w:kinsoku/>
                    <w:bidi w:val="0"/>
                    <w:spacing w:beforeAutospacing="0" w:afterAutospacing="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监测值范围 (mg/m³)</w:t>
                  </w:r>
                </w:p>
              </w:tc>
              <w:tc>
                <w:tcPr>
                  <w:tcW w:w="3051" w:type="dxa"/>
                  <w:vAlign w:val="center"/>
                </w:tcPr>
                <w:p>
                  <w:pPr>
                    <w:pStyle w:val="141"/>
                    <w:pageBreakBefore w:val="0"/>
                    <w:kinsoku/>
                    <w:bidi w:val="0"/>
                    <w:spacing w:beforeAutospacing="0" w:afterAutospacing="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监测均值(mg/m³)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65" w:type="dxa"/>
                  <w:vAlign w:val="center"/>
                </w:tcPr>
                <w:p>
                  <w:pPr>
                    <w:pStyle w:val="141"/>
                    <w:pageBreakBefore w:val="0"/>
                    <w:kinsoku/>
                    <w:bidi w:val="0"/>
                    <w:spacing w:beforeAutospacing="0" w:afterAutospacing="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TSP</w:t>
                  </w:r>
                </w:p>
              </w:tc>
              <w:tc>
                <w:tcPr>
                  <w:tcW w:w="3514" w:type="dxa"/>
                  <w:vAlign w:val="center"/>
                </w:tcPr>
                <w:p>
                  <w:pPr>
                    <w:pStyle w:val="141"/>
                    <w:pageBreakBefore w:val="0"/>
                    <w:kinsoku/>
                    <w:bidi w:val="0"/>
                    <w:spacing w:beforeAutospacing="0" w:afterAutospacing="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083~0.117</w:t>
                  </w:r>
                </w:p>
              </w:tc>
              <w:tc>
                <w:tcPr>
                  <w:tcW w:w="3051" w:type="dxa"/>
                  <w:vAlign w:val="center"/>
                </w:tcPr>
                <w:p>
                  <w:pPr>
                    <w:pStyle w:val="141"/>
                    <w:pageBreakBefore w:val="0"/>
                    <w:kinsoku/>
                    <w:bidi w:val="0"/>
                    <w:spacing w:beforeAutospacing="0" w:afterAutospacing="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102</w:t>
                  </w:r>
                </w:p>
              </w:tc>
            </w:tr>
          </w:tbl>
          <w:p>
            <w:pPr>
              <w:pStyle w:val="30"/>
              <w:keepNext w:val="0"/>
              <w:keepLines w:val="0"/>
              <w:pageBreakBefore w:val="0"/>
              <w:widowControl w:val="0"/>
              <w:suppressLineNumbers w:val="0"/>
              <w:kinsoku/>
              <w:bidi w:val="0"/>
              <w:spacing w:before="0" w:beforeAutospacing="0" w:after="0" w:afterAutospacing="0" w:line="360" w:lineRule="auto"/>
              <w:ind w:right="0"/>
              <w:jc w:val="both"/>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drawing>
                <wp:inline distT="0" distB="0" distL="114300" distR="114300">
                  <wp:extent cx="5347335" cy="3940810"/>
                  <wp:effectExtent l="0" t="0" r="5715" b="2540"/>
                  <wp:docPr id="4" name="图片 4" descr="引用监测点位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引用监测点位示意图"/>
                          <pic:cNvPicPr>
                            <a:picLocks noChangeAspect="1"/>
                          </pic:cNvPicPr>
                        </pic:nvPicPr>
                        <pic:blipFill>
                          <a:blip r:embed="rId20"/>
                          <a:stretch>
                            <a:fillRect/>
                          </a:stretch>
                        </pic:blipFill>
                        <pic:spPr>
                          <a:xfrm>
                            <a:off x="0" y="0"/>
                            <a:ext cx="5347335" cy="3940810"/>
                          </a:xfrm>
                          <a:prstGeom prst="rect">
                            <a:avLst/>
                          </a:prstGeom>
                        </pic:spPr>
                      </pic:pic>
                    </a:graphicData>
                  </a:graphic>
                </wp:inline>
              </w:drawing>
            </w:r>
          </w:p>
          <w:p>
            <w:pPr>
              <w:pageBreakBefore w:val="0"/>
              <w:kinsoku/>
              <w:bidi w:val="0"/>
              <w:adjustRightInd w:val="0"/>
              <w:snapToGrid w:val="0"/>
              <w:spacing w:beforeAutospacing="0" w:afterAutospacing="0"/>
              <w:jc w:val="cente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图</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3.</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2-1</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TSP</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现状监测</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引用点位示意图</w:t>
            </w:r>
          </w:p>
          <w:p>
            <w:pPr>
              <w:pStyle w:val="11"/>
              <w:pageBreakBefore w:val="0"/>
              <w:kinsoku/>
              <w:bidi w:val="0"/>
              <w:spacing w:beforeAutospacing="0" w:afterAutospacing="0"/>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 xml:space="preserve"> </w:t>
            </w:r>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32"/>
                <w:szCs w:val="32"/>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声环境质量现状</w:t>
            </w:r>
            <w:bookmarkEnd w:id="15"/>
            <w:bookmarkEnd w:id="16"/>
            <w:bookmarkEnd w:id="17"/>
          </w:p>
          <w:p>
            <w:pPr>
              <w:pStyle w:val="30"/>
              <w:keepNext w:val="0"/>
              <w:keepLines w:val="0"/>
              <w:pageBreakBefore w:val="0"/>
              <w:widowControl w:val="0"/>
              <w:suppressLineNumbers w:val="0"/>
              <w:kinsoku/>
              <w:bidi w:val="0"/>
              <w:spacing w:before="0" w:beforeAutospacing="0" w:after="0" w:afterAutospacing="0" w:line="360" w:lineRule="auto"/>
              <w:ind w:left="0" w:right="0" w:firstLine="480" w:firstLineChars="200"/>
              <w:jc w:val="both"/>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bookmarkStart w:id="19" w:name="_Toc15160"/>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根据</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《建设项目环境影响报告表编制技术指南（生态影响类）》，</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厂界外周边50米范围内无声环境保护目标的建设项目，不再要求提供声环境质量现状监测数据。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根据现场踏勘调查，项目位于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福建省宁德市福鼎市白琳镇沿州村</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周边50m内不存在敏感目标，</w:t>
            </w:r>
            <w:bookmarkEnd w:id="19"/>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可不进行声环境质量现状的监测</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p>
          <w:p>
            <w:pPr>
              <w:pStyle w:val="11"/>
              <w:pageBreakBefore w:val="0"/>
              <w:kinsoku/>
              <w:bidi w:val="0"/>
              <w:spacing w:beforeAutospacing="0" w:afterAutospacing="0"/>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 xml:space="preserve"> </w:t>
            </w:r>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32"/>
                <w:szCs w:val="32"/>
                <w:highlight w:val="none"/>
                <w:lang w:val="en-US" w:eastAsia="zh-CN"/>
                <w14:textFill>
                  <w14:solidFill>
                    <w14:schemeClr w14:val="tx1"/>
                  </w14:solidFill>
                </w14:textFill>
              </w:rPr>
              <w:t>4土壤及地下水</w:t>
            </w:r>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环境质量现状</w:t>
            </w:r>
          </w:p>
          <w:p>
            <w:pPr>
              <w:keepNext w:val="0"/>
              <w:keepLines w:val="0"/>
              <w:pageBreakBefore w:val="0"/>
              <w:widowControl w:val="0"/>
              <w:kinsoku/>
              <w:wordWrap/>
              <w:overflowPunct/>
              <w:autoSpaceDE/>
              <w:autoSpaceDN/>
              <w:bidi w:val="0"/>
              <w:adjustRightInd w:val="0"/>
              <w:spacing w:beforeAutospacing="0" w:afterAutospacing="0" w:line="360" w:lineRule="auto"/>
              <w:ind w:firstLine="480" w:firstLineChars="200"/>
              <w:jc w:val="left"/>
              <w:textAlignment w:val="baseline"/>
              <w:outlineLvl w:val="9"/>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根据《建设项目环境影响报告表编制技术指南(</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生态</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影响类)（试行)》(环办环评〔2020〕33号)规定，建设项目存在土壤、地下水环境污染途径的，应结合污染源、保护目标分布情况开展现状调查以留作背景值。</w:t>
            </w:r>
          </w:p>
          <w:p>
            <w:pPr>
              <w:pStyle w:val="136"/>
              <w:keepNext w:val="0"/>
              <w:keepLines w:val="0"/>
              <w:pageBreakBefore w:val="0"/>
              <w:widowControl w:val="0"/>
              <w:kinsoku/>
              <w:wordWrap/>
              <w:overflowPunct/>
              <w:topLinePunct/>
              <w:autoSpaceDE/>
              <w:autoSpaceDN/>
              <w:bidi w:val="0"/>
              <w:adjustRightInd/>
              <w:snapToGrid w:val="0"/>
              <w:spacing w:beforeAutospacing="0" w:afterAutospacing="0" w:line="360" w:lineRule="auto"/>
              <w:textAlignment w:val="baseline"/>
              <w:outlineLvl w:val="9"/>
              <w:rPr>
                <w:rFonts w:hint="default" w:ascii="Times New Roman" w:hAnsi="Times New Roman" w:eastAsia="宋体" w:cs="Times New Roman"/>
                <w:color w:val="000000" w:themeColor="text1"/>
                <w:kern w:val="0"/>
                <w:szCs w:val="21"/>
                <w:highlight w:val="none"/>
                <w:lang w:val="en-US"/>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根据现场调查，项目周边地下水、土壤环境相对不敏感，采取有效的防渗措施后，项目对地下水、土壤环境影响很小，基本不存在土壤、地下水环境污染途径，因此，</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本评估报告</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不对项目地下水、土壤环境质量进行补充监测。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77" w:hRule="atLeast"/>
          <w:jc w:val="center"/>
        </w:trPr>
        <w:tc>
          <w:tcPr>
            <w:tcW w:w="415"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与项目有关的原有环境污染和生态破坏问题</w:t>
            </w:r>
          </w:p>
        </w:tc>
        <w:tc>
          <w:tcPr>
            <w:tcW w:w="8646" w:type="dxa"/>
            <w:vAlign w:val="center"/>
          </w:tcPr>
          <w:p>
            <w:pPr>
              <w:pStyle w:val="22"/>
              <w:pageBreakBefore w:val="0"/>
              <w:kinsoku/>
              <w:bidi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415"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生态环境保护目标</w:t>
            </w:r>
          </w:p>
        </w:tc>
        <w:tc>
          <w:tcPr>
            <w:tcW w:w="8646" w:type="dxa"/>
            <w:vAlign w:val="center"/>
          </w:tcPr>
          <w:p>
            <w:pPr>
              <w:pStyle w:val="11"/>
              <w:pageBreakBefore w:val="0"/>
              <w:kinsoku/>
              <w:bidi w:val="0"/>
              <w:spacing w:beforeAutospacing="0" w:afterAutospacing="0"/>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3.</w:t>
            </w:r>
            <w:r>
              <w:rPr>
                <w:rFonts w:hint="eastAsia" w:ascii="Times New Roman" w:hAnsi="Times New Roman" w:eastAsia="宋体"/>
                <w:color w:val="000000" w:themeColor="text1"/>
                <w:lang w:val="en-US" w:eastAsia="zh-CN"/>
                <w14:textFill>
                  <w14:solidFill>
                    <w14:schemeClr w14:val="tx1"/>
                  </w14:solidFill>
                </w14:textFill>
              </w:rPr>
              <w:t>5</w:t>
            </w:r>
            <w:r>
              <w:rPr>
                <w:rFonts w:hint="default" w:ascii="Times New Roman" w:hAnsi="Times New Roman" w:eastAsia="宋体"/>
                <w:color w:val="000000" w:themeColor="text1"/>
                <w:lang w:val="en-US" w:eastAsia="zh-CN"/>
                <w14:textFill>
                  <w14:solidFill>
                    <w14:schemeClr w14:val="tx1"/>
                  </w14:solidFill>
                </w14:textFill>
              </w:rPr>
              <w:t>评价范围及评价目标</w:t>
            </w:r>
          </w:p>
          <w:p>
            <w:pPr>
              <w:pageBreakBefore w:val="0"/>
              <w:kinsoku/>
              <w:bidi w:val="0"/>
              <w:spacing w:beforeAutospacing="0" w:afterAutospacing="0" w:line="360" w:lineRule="auto"/>
              <w:ind w:firstLine="480" w:firstLineChars="200"/>
              <w:rPr>
                <w:rFonts w:hint="default" w:ascii="Times New Roman" w:hAnsi="Times New Roman" w:eastAsia="宋体"/>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olor w:val="000000" w:themeColor="text1"/>
                <w:sz w:val="24"/>
                <w:szCs w:val="24"/>
                <w:highlight w:val="none"/>
                <w:lang w:val="en-US" w:eastAsia="zh-CN"/>
                <w14:textFill>
                  <w14:solidFill>
                    <w14:schemeClr w14:val="tx1"/>
                  </w14:solidFill>
                </w14:textFill>
              </w:rPr>
              <w:t>本项目为通用码头工程，根据《建设项目环境影响报告表编制技术指南》(</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生态影响类</w:t>
            </w:r>
            <w:r>
              <w:rPr>
                <w:rFonts w:hint="default" w:ascii="Times New Roman" w:hAnsi="Times New Roman" w:eastAsia="宋体"/>
                <w:color w:val="000000" w:themeColor="text1"/>
                <w:sz w:val="24"/>
                <w:szCs w:val="24"/>
                <w:highlight w:val="none"/>
                <w:lang w:val="en-US" w:eastAsia="zh-CN"/>
                <w14:textFill>
                  <w14:solidFill>
                    <w14:schemeClr w14:val="tx1"/>
                  </w14:solidFill>
                </w14:textFill>
              </w:rPr>
              <w:t>)、 《环境影响评价技术导则 大气环境》(HJ 2.2-2018) 相关要求，项目各环境要素评价范围见表</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3.5-1。</w:t>
            </w:r>
          </w:p>
          <w:p>
            <w:pPr>
              <w:pStyle w:val="15"/>
              <w:pageBreakBefore w:val="0"/>
              <w:kinsoku/>
              <w:bidi w:val="0"/>
              <w:spacing w:beforeAutospacing="0" w:afterAutospacing="0" w:line="240" w:lineRule="auto"/>
              <w:ind w:firstLine="0" w:firstLineChars="0"/>
              <w:jc w:val="center"/>
              <w:rPr>
                <w:rFonts w:hint="default" w:ascii="Times New Roman" w:hAnsi="Times New Roman" w:eastAsia="宋体"/>
                <w:color w:val="000000" w:themeColor="text1"/>
                <w14:textFill>
                  <w14:solidFill>
                    <w14:schemeClr w14:val="tx1"/>
                  </w14:solidFill>
                </w14:textFill>
              </w:rPr>
            </w:pP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表3.</w:t>
            </w:r>
            <w:r>
              <w:rPr>
                <w:rFonts w:hint="eastAsia"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5</w:t>
            </w:r>
            <w:r>
              <w:rPr>
                <w:rFonts w:hint="default" w:ascii="Times New Roman" w:hAnsi="Times New Roman" w:eastAsia="宋体" w:cs="Times New Roman"/>
                <w:b/>
                <w:color w:val="000000" w:themeColor="text1"/>
                <w:kern w:val="2"/>
                <w:sz w:val="24"/>
                <w:szCs w:val="24"/>
                <w:highlight w:val="none"/>
                <w:lang w:val="en-US" w:eastAsia="zh-CN" w:bidi="ar-SA"/>
                <w14:textFill>
                  <w14:solidFill>
                    <w14:schemeClr w14:val="tx1"/>
                  </w14:solidFill>
                </w14:textFill>
              </w:rPr>
              <w:t>-1   项目周边环境敏感目标和环境保护目标</w:t>
            </w:r>
          </w:p>
          <w:tbl>
            <w:tblPr>
              <w:tblStyle w:val="33"/>
              <w:tblW w:w="846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036"/>
              <w:gridCol w:w="1556"/>
              <w:gridCol w:w="786"/>
              <w:gridCol w:w="1135"/>
              <w:gridCol w:w="1093"/>
              <w:gridCol w:w="695"/>
              <w:gridCol w:w="216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7" w:hRule="atLeast"/>
                <w:jc w:val="center"/>
              </w:trPr>
              <w:tc>
                <w:tcPr>
                  <w:tcW w:w="1036" w:type="dxa"/>
                  <w:tcBorders>
                    <w:top w:val="single" w:color="000000" w:sz="18" w:space="0"/>
                    <w:left w:val="nil"/>
                    <w:right w:val="single" w:color="000000" w:sz="8" w:space="0"/>
                  </w:tcBorders>
                  <w:tcMar>
                    <w:top w:w="15" w:type="dxa"/>
                    <w:left w:w="108" w:type="dxa"/>
                    <w:bottom w:w="0" w:type="dxa"/>
                    <w:right w:w="108" w:type="dxa"/>
                  </w:tcMar>
                  <w:vAlign w:val="center"/>
                </w:tcPr>
                <w:p>
                  <w:pPr>
                    <w:pStyle w:val="15"/>
                    <w:pageBreakBefore w:val="0"/>
                    <w:tabs>
                      <w:tab w:val="left" w:pos="1620"/>
                    </w:tabs>
                    <w:kinsoku/>
                    <w:wordWrap/>
                    <w:bidi w:val="0"/>
                    <w:spacing w:beforeAutospacing="0" w:afterAutospacing="0" w:line="240" w:lineRule="auto"/>
                    <w:ind w:firstLine="0" w:firstLineChars="0"/>
                    <w:jc w:val="center"/>
                    <w:rPr>
                      <w:rFonts w:hint="default" w:ascii="Times New Roman" w:hAnsi="Times New Roman" w:eastAsia="宋体"/>
                      <w:color w:val="000000" w:themeColor="text1"/>
                      <w14:textFill>
                        <w14:solidFill>
                          <w14:schemeClr w14:val="tx1"/>
                        </w14:solidFill>
                      </w14:textFill>
                    </w:rPr>
                  </w:pPr>
                  <w:r>
                    <w:rPr>
                      <w:rFonts w:hint="default" w:ascii="Times New Roman" w:hAnsi="Times New Roman" w:eastAsia="宋体"/>
                      <w:color w:val="000000" w:themeColor="text1"/>
                      <w14:textFill>
                        <w14:solidFill>
                          <w14:schemeClr w14:val="tx1"/>
                        </w14:solidFill>
                      </w14:textFill>
                    </w:rPr>
                    <w:t>环境要素</w:t>
                  </w:r>
                </w:p>
              </w:tc>
              <w:tc>
                <w:tcPr>
                  <w:tcW w:w="1556" w:type="dxa"/>
                  <w:tcBorders>
                    <w:top w:val="single" w:color="000000" w:sz="18" w:space="0"/>
                    <w:left w:val="single" w:color="000000" w:sz="8" w:space="0"/>
                    <w:right w:val="single" w:color="000000" w:sz="8" w:space="0"/>
                  </w:tcBorders>
                  <w:tcMar>
                    <w:top w:w="15" w:type="dxa"/>
                    <w:left w:w="108" w:type="dxa"/>
                    <w:bottom w:w="0" w:type="dxa"/>
                    <w:right w:w="108" w:type="dxa"/>
                  </w:tcMar>
                  <w:vAlign w:val="center"/>
                </w:tcPr>
                <w:p>
                  <w:pPr>
                    <w:pStyle w:val="15"/>
                    <w:pageBreakBefore w:val="0"/>
                    <w:tabs>
                      <w:tab w:val="left" w:pos="1620"/>
                    </w:tabs>
                    <w:kinsoku/>
                    <w:wordWrap/>
                    <w:bidi w:val="0"/>
                    <w:spacing w:beforeAutospacing="0" w:afterAutospacing="0" w:line="240" w:lineRule="auto"/>
                    <w:ind w:firstLine="0" w:firstLineChars="0"/>
                    <w:jc w:val="center"/>
                    <w:rPr>
                      <w:rFonts w:hint="default" w:ascii="Times New Roman" w:hAnsi="Times New Roman" w:eastAsia="宋体"/>
                      <w:color w:val="000000" w:themeColor="text1"/>
                      <w14:textFill>
                        <w14:solidFill>
                          <w14:schemeClr w14:val="tx1"/>
                        </w14:solidFill>
                      </w14:textFill>
                    </w:rPr>
                  </w:pPr>
                  <w:r>
                    <w:rPr>
                      <w:rFonts w:hint="default" w:ascii="Times New Roman" w:hAnsi="Times New Roman" w:eastAsia="宋体"/>
                      <w:color w:val="000000" w:themeColor="text1"/>
                      <w14:textFill>
                        <w14:solidFill>
                          <w14:schemeClr w14:val="tx1"/>
                        </w14:solidFill>
                      </w14:textFill>
                    </w:rPr>
                    <w:t>敏感目标/环境保护目标</w:t>
                  </w:r>
                </w:p>
              </w:tc>
              <w:tc>
                <w:tcPr>
                  <w:tcW w:w="786" w:type="dxa"/>
                  <w:tcBorders>
                    <w:top w:val="single" w:color="000000" w:sz="18" w:space="0"/>
                    <w:left w:val="single" w:color="000000" w:sz="8" w:space="0"/>
                    <w:right w:val="single" w:color="000000" w:sz="8" w:space="0"/>
                  </w:tcBorders>
                  <w:tcMar>
                    <w:top w:w="15" w:type="dxa"/>
                    <w:left w:w="108" w:type="dxa"/>
                    <w:bottom w:w="0" w:type="dxa"/>
                    <w:right w:w="108" w:type="dxa"/>
                  </w:tcMar>
                  <w:vAlign w:val="center"/>
                </w:tcPr>
                <w:p>
                  <w:pPr>
                    <w:pStyle w:val="15"/>
                    <w:pageBreakBefore w:val="0"/>
                    <w:tabs>
                      <w:tab w:val="left" w:pos="1620"/>
                    </w:tabs>
                    <w:kinsoku/>
                    <w:wordWrap/>
                    <w:bidi w:val="0"/>
                    <w:spacing w:beforeAutospacing="0" w:afterAutospacing="0" w:line="240" w:lineRule="auto"/>
                    <w:ind w:firstLine="0" w:firstLineChars="0"/>
                    <w:jc w:val="center"/>
                    <w:rPr>
                      <w:rFonts w:hint="default" w:ascii="Times New Roman" w:hAnsi="Times New Roman" w:eastAsia="宋体"/>
                      <w:color w:val="000000" w:themeColor="text1"/>
                      <w14:textFill>
                        <w14:solidFill>
                          <w14:schemeClr w14:val="tx1"/>
                        </w14:solidFill>
                      </w14:textFill>
                    </w:rPr>
                  </w:pPr>
                  <w:r>
                    <w:rPr>
                      <w:rFonts w:hint="default" w:ascii="Times New Roman" w:hAnsi="Times New Roman" w:eastAsia="宋体"/>
                      <w:color w:val="000000" w:themeColor="text1"/>
                      <w14:textFill>
                        <w14:solidFill>
                          <w14:schemeClr w14:val="tx1"/>
                        </w14:solidFill>
                      </w14:textFill>
                    </w:rPr>
                    <w:t>方位</w:t>
                  </w:r>
                </w:p>
              </w:tc>
              <w:tc>
                <w:tcPr>
                  <w:tcW w:w="1135" w:type="dxa"/>
                  <w:tcBorders>
                    <w:top w:val="single" w:color="000000" w:sz="18" w:space="0"/>
                    <w:left w:val="single" w:color="000000" w:sz="8" w:space="0"/>
                    <w:right w:val="single" w:color="000000" w:sz="8" w:space="0"/>
                  </w:tcBorders>
                  <w:tcMar>
                    <w:top w:w="15" w:type="dxa"/>
                    <w:left w:w="108" w:type="dxa"/>
                    <w:bottom w:w="0" w:type="dxa"/>
                    <w:right w:w="108" w:type="dxa"/>
                  </w:tcMar>
                  <w:vAlign w:val="center"/>
                </w:tcPr>
                <w:p>
                  <w:pPr>
                    <w:pStyle w:val="15"/>
                    <w:pageBreakBefore w:val="0"/>
                    <w:tabs>
                      <w:tab w:val="left" w:pos="1620"/>
                    </w:tabs>
                    <w:kinsoku/>
                    <w:wordWrap/>
                    <w:bidi w:val="0"/>
                    <w:spacing w:beforeAutospacing="0" w:afterAutospacing="0" w:line="240" w:lineRule="auto"/>
                    <w:ind w:firstLine="0" w:firstLineChars="0"/>
                    <w:jc w:val="center"/>
                    <w:rPr>
                      <w:rFonts w:hint="default" w:ascii="Times New Roman" w:hAnsi="Times New Roman" w:eastAsia="宋体"/>
                      <w:color w:val="000000" w:themeColor="text1"/>
                      <w14:textFill>
                        <w14:solidFill>
                          <w14:schemeClr w14:val="tx1"/>
                        </w14:solidFill>
                      </w14:textFill>
                    </w:rPr>
                  </w:pPr>
                  <w:r>
                    <w:rPr>
                      <w:rFonts w:hint="default" w:ascii="Times New Roman" w:hAnsi="Times New Roman" w:eastAsia="宋体"/>
                      <w:color w:val="000000" w:themeColor="text1"/>
                      <w14:textFill>
                        <w14:solidFill>
                          <w14:schemeClr w14:val="tx1"/>
                        </w14:solidFill>
                      </w14:textFill>
                    </w:rPr>
                    <w:t>与本项目的距离</w:t>
                  </w:r>
                </w:p>
              </w:tc>
              <w:tc>
                <w:tcPr>
                  <w:tcW w:w="1093" w:type="dxa"/>
                  <w:tcBorders>
                    <w:top w:val="single" w:color="000000" w:sz="18" w:space="0"/>
                    <w:left w:val="single" w:color="000000" w:sz="8" w:space="0"/>
                    <w:right w:val="single" w:color="000000" w:sz="8" w:space="0"/>
                  </w:tcBorders>
                  <w:tcMar>
                    <w:top w:w="15" w:type="dxa"/>
                    <w:left w:w="108" w:type="dxa"/>
                    <w:bottom w:w="0" w:type="dxa"/>
                    <w:right w:w="108" w:type="dxa"/>
                  </w:tcMar>
                  <w:vAlign w:val="center"/>
                </w:tcPr>
                <w:p>
                  <w:pPr>
                    <w:pStyle w:val="15"/>
                    <w:pageBreakBefore w:val="0"/>
                    <w:tabs>
                      <w:tab w:val="left" w:pos="1620"/>
                    </w:tabs>
                    <w:kinsoku/>
                    <w:wordWrap/>
                    <w:bidi w:val="0"/>
                    <w:spacing w:beforeAutospacing="0" w:afterAutospacing="0" w:line="240" w:lineRule="auto"/>
                    <w:ind w:firstLine="0" w:firstLineChars="0"/>
                    <w:jc w:val="center"/>
                    <w:rPr>
                      <w:rFonts w:hint="default" w:ascii="Times New Roman" w:hAnsi="Times New Roman" w:eastAsia="宋体"/>
                      <w:color w:val="000000" w:themeColor="text1"/>
                      <w14:textFill>
                        <w14:solidFill>
                          <w14:schemeClr w14:val="tx1"/>
                        </w14:solidFill>
                      </w14:textFill>
                    </w:rPr>
                  </w:pPr>
                  <w:r>
                    <w:rPr>
                      <w:rFonts w:hint="default" w:ascii="Times New Roman" w:hAnsi="Times New Roman" w:eastAsia="宋体"/>
                      <w:color w:val="000000" w:themeColor="text1"/>
                      <w14:textFill>
                        <w14:solidFill>
                          <w14:schemeClr w14:val="tx1"/>
                        </w14:solidFill>
                      </w14:textFill>
                    </w:rPr>
                    <w:t>规模</w:t>
                  </w:r>
                </w:p>
              </w:tc>
              <w:tc>
                <w:tcPr>
                  <w:tcW w:w="695" w:type="dxa"/>
                  <w:tcBorders>
                    <w:top w:val="single" w:color="000000" w:sz="18" w:space="0"/>
                    <w:left w:val="single" w:color="000000" w:sz="8" w:space="0"/>
                    <w:right w:val="nil"/>
                  </w:tcBorders>
                  <w:tcMar>
                    <w:top w:w="15" w:type="dxa"/>
                    <w:left w:w="108" w:type="dxa"/>
                    <w:bottom w:w="0" w:type="dxa"/>
                    <w:right w:w="108" w:type="dxa"/>
                  </w:tcMar>
                  <w:vAlign w:val="center"/>
                </w:tcPr>
                <w:p>
                  <w:pPr>
                    <w:pStyle w:val="15"/>
                    <w:pageBreakBefore w:val="0"/>
                    <w:tabs>
                      <w:tab w:val="left" w:pos="1620"/>
                    </w:tabs>
                    <w:kinsoku/>
                    <w:wordWrap/>
                    <w:bidi w:val="0"/>
                    <w:spacing w:beforeAutospacing="0" w:afterAutospacing="0" w:line="240" w:lineRule="auto"/>
                    <w:ind w:firstLine="0" w:firstLineChars="0"/>
                    <w:jc w:val="center"/>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功能</w:t>
                  </w:r>
                </w:p>
              </w:tc>
              <w:tc>
                <w:tcPr>
                  <w:tcW w:w="2167" w:type="dxa"/>
                  <w:tcBorders>
                    <w:top w:val="single" w:color="000000" w:sz="18" w:space="0"/>
                    <w:left w:val="single" w:color="000000" w:sz="8" w:space="0"/>
                    <w:right w:val="nil"/>
                  </w:tcBorders>
                  <w:tcMar>
                    <w:top w:w="15" w:type="dxa"/>
                    <w:left w:w="108" w:type="dxa"/>
                    <w:bottom w:w="0" w:type="dxa"/>
                    <w:right w:w="108" w:type="dxa"/>
                  </w:tcMar>
                  <w:vAlign w:val="center"/>
                </w:tcPr>
                <w:p>
                  <w:pPr>
                    <w:pStyle w:val="15"/>
                    <w:pageBreakBefore w:val="0"/>
                    <w:tabs>
                      <w:tab w:val="left" w:pos="1620"/>
                    </w:tabs>
                    <w:kinsoku/>
                    <w:wordWrap/>
                    <w:bidi w:val="0"/>
                    <w:spacing w:beforeAutospacing="0" w:afterAutospacing="0" w:line="240" w:lineRule="auto"/>
                    <w:ind w:firstLine="0" w:firstLineChars="0"/>
                    <w:jc w:val="center"/>
                    <w:rPr>
                      <w:rFonts w:hint="default" w:ascii="Times New Roman" w:hAnsi="Times New Roman" w:eastAsia="宋体"/>
                      <w:color w:val="000000" w:themeColor="text1"/>
                      <w14:textFill>
                        <w14:solidFill>
                          <w14:schemeClr w14:val="tx1"/>
                        </w14:solidFill>
                      </w14:textFill>
                    </w:rPr>
                  </w:pPr>
                  <w:r>
                    <w:rPr>
                      <w:rFonts w:hint="default" w:ascii="Times New Roman" w:hAnsi="Times New Roman" w:eastAsia="宋体"/>
                      <w:color w:val="000000" w:themeColor="text1"/>
                      <w14:textFill>
                        <w14:solidFill>
                          <w14:schemeClr w14:val="tx1"/>
                        </w14:solidFill>
                      </w14:textFill>
                    </w:rPr>
                    <w:t>环境功能</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36" w:type="dxa"/>
                  <w:vMerge w:val="restart"/>
                  <w:tcBorders>
                    <w:left w:val="nil"/>
                    <w:right w:val="single" w:color="000000" w:sz="8" w:space="0"/>
                  </w:tcBorders>
                  <w:tcMar>
                    <w:top w:w="15" w:type="dxa"/>
                    <w:left w:w="108" w:type="dxa"/>
                    <w:bottom w:w="0" w:type="dxa"/>
                    <w:right w:w="108" w:type="dxa"/>
                  </w:tcMar>
                  <w:vAlign w:val="center"/>
                </w:tcPr>
                <w:p>
                  <w:pPr>
                    <w:pStyle w:val="15"/>
                    <w:pageBreakBefore w:val="0"/>
                    <w:tabs>
                      <w:tab w:val="left" w:pos="1620"/>
                    </w:tabs>
                    <w:kinsoku/>
                    <w:bidi w:val="0"/>
                    <w:spacing w:beforeAutospacing="0" w:afterAutospacing="0"/>
                    <w:ind w:left="0" w:leftChars="0" w:firstLine="0" w:firstLineChars="0"/>
                    <w:jc w:val="center"/>
                    <w:rPr>
                      <w:rFonts w:hint="default" w:ascii="Times New Roman" w:hAnsi="Times New Roman" w:eastAsia="宋体"/>
                      <w:color w:val="000000" w:themeColor="text1"/>
                      <w14:textFill>
                        <w14:solidFill>
                          <w14:schemeClr w14:val="tx1"/>
                        </w14:solidFill>
                      </w14:textFill>
                    </w:rPr>
                  </w:pPr>
                  <w:r>
                    <w:rPr>
                      <w:rFonts w:hint="default" w:ascii="Times New Roman" w:hAnsi="Times New Roman" w:eastAsia="宋体"/>
                      <w:color w:val="000000" w:themeColor="text1"/>
                      <w14:textFill>
                        <w14:solidFill>
                          <w14:schemeClr w14:val="tx1"/>
                        </w14:solidFill>
                      </w14:textFill>
                    </w:rPr>
                    <w:t>大气环境</w:t>
                  </w:r>
                </w:p>
              </w:tc>
              <w:tc>
                <w:tcPr>
                  <w:tcW w:w="1556" w:type="dxa"/>
                  <w:tcBorders>
                    <w:left w:val="single" w:color="000000" w:sz="8" w:space="0"/>
                    <w:right w:val="single" w:color="000000" w:sz="8" w:space="0"/>
                  </w:tcBorders>
                  <w:tcMar>
                    <w:top w:w="15" w:type="dxa"/>
                    <w:left w:w="108" w:type="dxa"/>
                    <w:bottom w:w="0" w:type="dxa"/>
                    <w:right w:w="108" w:type="dxa"/>
                  </w:tcMar>
                  <w:vAlign w:val="center"/>
                </w:tcPr>
                <w:p>
                  <w:pPr>
                    <w:pStyle w:val="15"/>
                    <w:pageBreakBefore w:val="0"/>
                    <w:tabs>
                      <w:tab w:val="left" w:pos="1620"/>
                    </w:tabs>
                    <w:kinsoku/>
                    <w:wordWrap/>
                    <w:bidi w:val="0"/>
                    <w:spacing w:beforeAutospacing="0" w:afterAutospacing="0" w:line="240" w:lineRule="auto"/>
                    <w:ind w:firstLine="0" w:firstLineChars="0"/>
                    <w:jc w:val="center"/>
                    <w:rPr>
                      <w:rFonts w:hint="default"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沿州村</w:t>
                  </w:r>
                </w:p>
              </w:tc>
              <w:tc>
                <w:tcPr>
                  <w:tcW w:w="786" w:type="dxa"/>
                  <w:tcBorders>
                    <w:left w:val="single" w:color="000000" w:sz="8" w:space="0"/>
                    <w:right w:val="single" w:color="000000" w:sz="8" w:space="0"/>
                  </w:tcBorders>
                  <w:tcMar>
                    <w:top w:w="15" w:type="dxa"/>
                    <w:left w:w="108" w:type="dxa"/>
                    <w:bottom w:w="0" w:type="dxa"/>
                    <w:right w:w="108" w:type="dxa"/>
                  </w:tcMar>
                  <w:vAlign w:val="center"/>
                </w:tcPr>
                <w:p>
                  <w:pPr>
                    <w:pStyle w:val="15"/>
                    <w:pageBreakBefore w:val="0"/>
                    <w:tabs>
                      <w:tab w:val="left" w:pos="1620"/>
                    </w:tabs>
                    <w:kinsoku/>
                    <w:wordWrap/>
                    <w:bidi w:val="0"/>
                    <w:spacing w:beforeAutospacing="0" w:afterAutospacing="0" w:line="240" w:lineRule="auto"/>
                    <w:ind w:firstLine="0" w:firstLineChars="0"/>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西南</w:t>
                  </w:r>
                </w:p>
              </w:tc>
              <w:tc>
                <w:tcPr>
                  <w:tcW w:w="1135" w:type="dxa"/>
                  <w:tcBorders>
                    <w:left w:val="single" w:color="000000" w:sz="8" w:space="0"/>
                    <w:right w:val="single" w:color="000000" w:sz="8" w:space="0"/>
                  </w:tcBorders>
                  <w:tcMar>
                    <w:top w:w="15" w:type="dxa"/>
                    <w:left w:w="108" w:type="dxa"/>
                    <w:bottom w:w="0" w:type="dxa"/>
                    <w:right w:w="108" w:type="dxa"/>
                  </w:tcMar>
                  <w:vAlign w:val="center"/>
                </w:tcPr>
                <w:p>
                  <w:pPr>
                    <w:pStyle w:val="15"/>
                    <w:pageBreakBefore w:val="0"/>
                    <w:tabs>
                      <w:tab w:val="left" w:pos="1620"/>
                    </w:tabs>
                    <w:kinsoku/>
                    <w:wordWrap/>
                    <w:bidi w:val="0"/>
                    <w:spacing w:beforeAutospacing="0" w:afterAutospacing="0" w:line="240" w:lineRule="auto"/>
                    <w:ind w:firstLine="0" w:firstLineChars="0"/>
                    <w:jc w:val="center"/>
                    <w:rPr>
                      <w:rFonts w:hint="default"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917</w:t>
                  </w:r>
                  <w:r>
                    <w:rPr>
                      <w:rFonts w:hint="default" w:ascii="Times New Roman" w:hAnsi="Times New Roman" w:eastAsia="宋体"/>
                      <w:color w:val="000000" w:themeColor="text1"/>
                      <w14:textFill>
                        <w14:solidFill>
                          <w14:schemeClr w14:val="tx1"/>
                        </w14:solidFill>
                      </w14:textFill>
                    </w:rPr>
                    <w:t>m</w:t>
                  </w:r>
                </w:p>
              </w:tc>
              <w:tc>
                <w:tcPr>
                  <w:tcW w:w="1093" w:type="dxa"/>
                  <w:tcBorders>
                    <w:left w:val="single" w:color="000000" w:sz="8" w:space="0"/>
                    <w:right w:val="single" w:color="000000" w:sz="8" w:space="0"/>
                  </w:tcBorders>
                  <w:tcMar>
                    <w:top w:w="15" w:type="dxa"/>
                    <w:left w:w="108" w:type="dxa"/>
                    <w:bottom w:w="0" w:type="dxa"/>
                    <w:right w:w="108" w:type="dxa"/>
                  </w:tcMar>
                  <w:vAlign w:val="center"/>
                </w:tcPr>
                <w:p>
                  <w:pPr>
                    <w:pageBreakBefore w:val="0"/>
                    <w:kinsoku/>
                    <w:wordWrap/>
                    <w:autoSpaceDN w:val="0"/>
                    <w:bidi w:val="0"/>
                    <w:spacing w:beforeAutospacing="0" w:afterAutospacing="0" w:line="240" w:lineRule="auto"/>
                    <w:jc w:val="center"/>
                    <w:rPr>
                      <w:rFonts w:hint="default" w:ascii="Times New Roman" w:hAnsi="Times New Roman" w:eastAsia="宋体"/>
                      <w:color w:val="000000" w:themeColor="text1"/>
                      <w14:textFill>
                        <w14:solidFill>
                          <w14:schemeClr w14:val="tx1"/>
                        </w14:solidFill>
                      </w14:textFill>
                    </w:rPr>
                  </w:pPr>
                  <w:r>
                    <w:rPr>
                      <w:rFonts w:hint="default" w:ascii="Times New Roman" w:hAnsi="Times New Roman" w:eastAsia="宋体"/>
                      <w:color w:val="000000" w:themeColor="text1"/>
                      <w14:textFill>
                        <w14:solidFill>
                          <w14:schemeClr w14:val="tx1"/>
                        </w14:solidFill>
                      </w14:textFill>
                    </w:rPr>
                    <w:t>约</w:t>
                  </w:r>
                  <w:r>
                    <w:rPr>
                      <w:rFonts w:hint="eastAsia" w:ascii="Times New Roman" w:hAnsi="Times New Roman" w:eastAsia="宋体"/>
                      <w:color w:val="000000" w:themeColor="text1"/>
                      <w:lang w:val="en-US" w:eastAsia="zh-CN"/>
                      <w14:textFill>
                        <w14:solidFill>
                          <w14:schemeClr w14:val="tx1"/>
                        </w14:solidFill>
                      </w14:textFill>
                    </w:rPr>
                    <w:t>100</w:t>
                  </w:r>
                  <w:r>
                    <w:rPr>
                      <w:rFonts w:hint="default" w:ascii="Times New Roman" w:hAnsi="Times New Roman" w:eastAsia="宋体"/>
                      <w:color w:val="000000" w:themeColor="text1"/>
                      <w14:textFill>
                        <w14:solidFill>
                          <w14:schemeClr w14:val="tx1"/>
                        </w14:solidFill>
                      </w14:textFill>
                    </w:rPr>
                    <w:t>户</w:t>
                  </w:r>
                </w:p>
              </w:tc>
              <w:tc>
                <w:tcPr>
                  <w:tcW w:w="695" w:type="dxa"/>
                  <w:tcBorders>
                    <w:left w:val="single" w:color="000000" w:sz="8" w:space="0"/>
                    <w:right w:val="nil"/>
                  </w:tcBorders>
                  <w:tcMar>
                    <w:top w:w="15" w:type="dxa"/>
                    <w:left w:w="108" w:type="dxa"/>
                    <w:bottom w:w="0" w:type="dxa"/>
                    <w:right w:w="108" w:type="dxa"/>
                  </w:tcMar>
                  <w:vAlign w:val="center"/>
                </w:tcPr>
                <w:p>
                  <w:pPr>
                    <w:pageBreakBefore w:val="0"/>
                    <w:kinsoku/>
                    <w:wordWrap/>
                    <w:autoSpaceDN w:val="0"/>
                    <w:bidi w:val="0"/>
                    <w:spacing w:beforeAutospacing="0" w:afterAutospacing="0" w:line="240" w:lineRule="auto"/>
                    <w:jc w:val="center"/>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居住</w:t>
                  </w:r>
                </w:p>
              </w:tc>
              <w:tc>
                <w:tcPr>
                  <w:tcW w:w="2167" w:type="dxa"/>
                  <w:vMerge w:val="restart"/>
                  <w:tcBorders>
                    <w:left w:val="single" w:color="000000" w:sz="8" w:space="0"/>
                    <w:right w:val="nil"/>
                  </w:tcBorders>
                  <w:tcMar>
                    <w:top w:w="15" w:type="dxa"/>
                    <w:left w:w="108" w:type="dxa"/>
                    <w:bottom w:w="0" w:type="dxa"/>
                    <w:right w:w="108" w:type="dxa"/>
                  </w:tcMar>
                  <w:vAlign w:val="center"/>
                </w:tcPr>
                <w:p>
                  <w:pPr>
                    <w:pStyle w:val="15"/>
                    <w:pageBreakBefore w:val="0"/>
                    <w:tabs>
                      <w:tab w:val="left" w:pos="1620"/>
                    </w:tabs>
                    <w:kinsoku/>
                    <w:wordWrap/>
                    <w:bidi w:val="0"/>
                    <w:spacing w:beforeAutospacing="0" w:afterAutospacing="0" w:line="240" w:lineRule="auto"/>
                    <w:ind w:firstLine="0" w:firstLineChars="0"/>
                    <w:jc w:val="center"/>
                    <w:rPr>
                      <w:rFonts w:hint="default"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lang w:eastAsia="zh-CN"/>
                      <w14:textFill>
                        <w14:solidFill>
                          <w14:schemeClr w14:val="tx1"/>
                        </w14:solidFill>
                      </w14:textFill>
                    </w:rPr>
                    <w:t>《</w:t>
                  </w:r>
                  <w:r>
                    <w:rPr>
                      <w:rFonts w:hint="default" w:ascii="Times New Roman" w:hAnsi="Times New Roman" w:eastAsia="宋体"/>
                      <w:color w:val="000000" w:themeColor="text1"/>
                      <w14:textFill>
                        <w14:solidFill>
                          <w14:schemeClr w14:val="tx1"/>
                        </w14:solidFill>
                      </w14:textFill>
                    </w:rPr>
                    <w:t>环境空气质量标准</w:t>
                  </w:r>
                  <w:r>
                    <w:rPr>
                      <w:rFonts w:hint="eastAsia" w:ascii="Times New Roman" w:hAnsi="Times New Roman" w:eastAsia="宋体"/>
                      <w:color w:val="000000" w:themeColor="text1"/>
                      <w:lang w:eastAsia="zh-CN"/>
                      <w14:textFill>
                        <w14:solidFill>
                          <w14:schemeClr w14:val="tx1"/>
                        </w14:solidFill>
                      </w14:textFill>
                    </w:rPr>
                    <w:t>》（</w:t>
                  </w:r>
                  <w:r>
                    <w:rPr>
                      <w:rFonts w:hint="default" w:ascii="Times New Roman" w:hAnsi="Times New Roman" w:eastAsia="宋体"/>
                      <w:color w:val="000000" w:themeColor="text1"/>
                      <w14:textFill>
                        <w14:solidFill>
                          <w14:schemeClr w14:val="tx1"/>
                        </w14:solidFill>
                      </w14:textFill>
                    </w:rPr>
                    <w:t>GB3095-2012</w:t>
                  </w:r>
                  <w:r>
                    <w:rPr>
                      <w:rFonts w:hint="eastAsia" w:ascii="Times New Roman" w:hAnsi="Times New Roman" w:eastAsia="宋体"/>
                      <w:color w:val="000000" w:themeColor="text1"/>
                      <w:lang w:eastAsia="zh-CN"/>
                      <w14:textFill>
                        <w14:solidFill>
                          <w14:schemeClr w14:val="tx1"/>
                        </w14:solidFill>
                      </w14:textFill>
                    </w:rPr>
                    <w:t>）</w:t>
                  </w:r>
                </w:p>
                <w:p>
                  <w:pPr>
                    <w:pageBreakBefore w:val="0"/>
                    <w:kinsoku/>
                    <w:bidi w:val="0"/>
                    <w:spacing w:beforeAutospacing="0" w:afterAutospacing="0"/>
                    <w:jc w:val="center"/>
                    <w:rPr>
                      <w:rFonts w:hint="default" w:ascii="Times New Roman" w:hAnsi="Times New Roman" w:eastAsia="宋体"/>
                      <w:color w:val="000000" w:themeColor="text1"/>
                      <w14:textFill>
                        <w14:solidFill>
                          <w14:schemeClr w14:val="tx1"/>
                        </w14:solidFill>
                      </w14:textFill>
                    </w:rPr>
                  </w:pPr>
                  <w:r>
                    <w:rPr>
                      <w:rFonts w:hint="default" w:ascii="Times New Roman" w:hAnsi="Times New Roman" w:eastAsia="宋体"/>
                      <w:color w:val="000000" w:themeColor="text1"/>
                      <w14:textFill>
                        <w14:solidFill>
                          <w14:schemeClr w14:val="tx1"/>
                        </w14:solidFill>
                      </w14:textFill>
                    </w:rPr>
                    <w:t>二类区</w:t>
                  </w:r>
                </w:p>
                <w:p>
                  <w:pPr>
                    <w:pageBreakBefore w:val="0"/>
                    <w:kinsoku/>
                    <w:bidi w:val="0"/>
                    <w:spacing w:beforeAutospacing="0" w:afterAutospacing="0"/>
                    <w:jc w:val="center"/>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36" w:type="dxa"/>
                  <w:vMerge w:val="continue"/>
                  <w:tcBorders>
                    <w:left w:val="nil"/>
                    <w:right w:val="single" w:color="000000" w:sz="8" w:space="0"/>
                  </w:tcBorders>
                  <w:tcMar>
                    <w:top w:w="15" w:type="dxa"/>
                    <w:left w:w="108" w:type="dxa"/>
                    <w:bottom w:w="0" w:type="dxa"/>
                    <w:right w:w="108" w:type="dxa"/>
                  </w:tcMar>
                  <w:vAlign w:val="center"/>
                </w:tcPr>
                <w:p>
                  <w:pPr>
                    <w:pStyle w:val="15"/>
                    <w:pageBreakBefore w:val="0"/>
                    <w:tabs>
                      <w:tab w:val="left" w:pos="1620"/>
                    </w:tabs>
                    <w:kinsoku/>
                    <w:bidi w:val="0"/>
                    <w:spacing w:beforeAutospacing="0" w:afterAutospacing="0"/>
                    <w:ind w:left="0" w:leftChars="0" w:firstLine="0" w:firstLineChars="0"/>
                    <w:jc w:val="center"/>
                    <w:rPr>
                      <w:rFonts w:hint="default" w:ascii="Times New Roman" w:hAnsi="Times New Roman" w:eastAsia="宋体"/>
                      <w:color w:val="000000" w:themeColor="text1"/>
                      <w14:textFill>
                        <w14:solidFill>
                          <w14:schemeClr w14:val="tx1"/>
                        </w14:solidFill>
                      </w14:textFill>
                    </w:rPr>
                  </w:pPr>
                </w:p>
              </w:tc>
              <w:tc>
                <w:tcPr>
                  <w:tcW w:w="1556" w:type="dxa"/>
                  <w:tcBorders>
                    <w:left w:val="single" w:color="000000" w:sz="8" w:space="0"/>
                    <w:right w:val="single" w:color="000000" w:sz="8" w:space="0"/>
                  </w:tcBorders>
                  <w:tcMar>
                    <w:top w:w="15" w:type="dxa"/>
                    <w:left w:w="108" w:type="dxa"/>
                    <w:bottom w:w="0" w:type="dxa"/>
                    <w:right w:w="108" w:type="dxa"/>
                  </w:tcMar>
                  <w:vAlign w:val="center"/>
                </w:tcPr>
                <w:p>
                  <w:pPr>
                    <w:keepNext w:val="0"/>
                    <w:keepLines w:val="0"/>
                    <w:pageBreakBefore w:val="0"/>
                    <w:widowControl/>
                    <w:kinsoku/>
                    <w:wordWrap/>
                    <w:overflowPunct/>
                    <w:topLinePunct w:val="0"/>
                    <w:bidi w:val="0"/>
                    <w:snapToGrid w:val="0"/>
                    <w:spacing w:beforeAutospacing="0" w:afterAutospacing="0"/>
                    <w:jc w:val="center"/>
                    <w:textAlignment w:val="auto"/>
                    <w:outlineLvl w:val="9"/>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白岩村</w:t>
                  </w:r>
                </w:p>
              </w:tc>
              <w:tc>
                <w:tcPr>
                  <w:tcW w:w="786" w:type="dxa"/>
                  <w:tcBorders>
                    <w:left w:val="single" w:color="000000" w:sz="8" w:space="0"/>
                    <w:right w:val="single" w:color="000000" w:sz="8" w:space="0"/>
                  </w:tcBorders>
                  <w:tcMar>
                    <w:top w:w="15" w:type="dxa"/>
                    <w:left w:w="108" w:type="dxa"/>
                    <w:bottom w:w="0" w:type="dxa"/>
                    <w:right w:w="108" w:type="dxa"/>
                  </w:tcMar>
                  <w:vAlign w:val="center"/>
                </w:tcPr>
                <w:p>
                  <w:pPr>
                    <w:keepNext w:val="0"/>
                    <w:keepLines w:val="0"/>
                    <w:pageBreakBefore w:val="0"/>
                    <w:widowControl/>
                    <w:kinsoku/>
                    <w:wordWrap/>
                    <w:overflowPunct/>
                    <w:topLinePunct w:val="0"/>
                    <w:bidi w:val="0"/>
                    <w:snapToGrid w:val="0"/>
                    <w:spacing w:beforeAutospacing="0" w:afterAutospacing="0"/>
                    <w:jc w:val="center"/>
                    <w:textAlignment w:val="auto"/>
                    <w:outlineLvl w:val="9"/>
                    <w:rPr>
                      <w:rFonts w:hint="default" w:ascii="Times New Roman" w:hAnsi="Times New Roman" w:eastAsia="宋体"/>
                      <w:color w:val="000000" w:themeColor="text1"/>
                      <w:lang w:val="en-US" w:eastAsia="zh-CN"/>
                      <w14:textFill>
                        <w14:solidFill>
                          <w14:schemeClr w14:val="tx1"/>
                        </w14:solidFill>
                      </w14:textFill>
                    </w:rPr>
                  </w:pPr>
                  <w:r>
                    <w:rPr>
                      <w:rFonts w:ascii="Times New Roman" w:hAnsi="Times New Roman" w:eastAsia="宋体"/>
                      <w:color w:val="000000" w:themeColor="text1"/>
                      <w:lang w:val="zh-CN"/>
                      <w14:textFill>
                        <w14:solidFill>
                          <w14:schemeClr w14:val="tx1"/>
                        </w14:solidFill>
                      </w14:textFill>
                    </w:rPr>
                    <w:t>西</w:t>
                  </w:r>
                </w:p>
              </w:tc>
              <w:tc>
                <w:tcPr>
                  <w:tcW w:w="1135" w:type="dxa"/>
                  <w:tcBorders>
                    <w:left w:val="single" w:color="000000" w:sz="8" w:space="0"/>
                    <w:right w:val="single" w:color="000000" w:sz="8" w:space="0"/>
                  </w:tcBorders>
                  <w:tcMar>
                    <w:top w:w="15" w:type="dxa"/>
                    <w:left w:w="108" w:type="dxa"/>
                    <w:bottom w:w="0" w:type="dxa"/>
                    <w:right w:w="108" w:type="dxa"/>
                  </w:tcMar>
                  <w:vAlign w:val="center"/>
                </w:tcPr>
                <w:p>
                  <w:pPr>
                    <w:pStyle w:val="147"/>
                    <w:keepNext w:val="0"/>
                    <w:keepLines w:val="0"/>
                    <w:pageBreakBefore w:val="0"/>
                    <w:kinsoku/>
                    <w:wordWrap/>
                    <w:overflowPunct/>
                    <w:topLinePunct w:val="0"/>
                    <w:bidi w:val="0"/>
                    <w:snapToGrid w:val="0"/>
                    <w:spacing w:beforeAutospacing="0" w:afterAutospacing="0"/>
                    <w:textAlignment w:val="auto"/>
                    <w:outlineLvl w:val="9"/>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1241</w:t>
                  </w:r>
                </w:p>
              </w:tc>
              <w:tc>
                <w:tcPr>
                  <w:tcW w:w="1093" w:type="dxa"/>
                  <w:tcBorders>
                    <w:left w:val="single" w:color="000000" w:sz="8" w:space="0"/>
                    <w:right w:val="single" w:color="000000" w:sz="8" w:space="0"/>
                  </w:tcBorders>
                  <w:tcMar>
                    <w:top w:w="15" w:type="dxa"/>
                    <w:left w:w="108" w:type="dxa"/>
                    <w:bottom w:w="0" w:type="dxa"/>
                    <w:right w:w="108" w:type="dxa"/>
                  </w:tcMar>
                  <w:vAlign w:val="center"/>
                </w:tcPr>
                <w:p>
                  <w:pPr>
                    <w:pageBreakBefore w:val="0"/>
                    <w:kinsoku/>
                    <w:wordWrap/>
                    <w:autoSpaceDN w:val="0"/>
                    <w:bidi w:val="0"/>
                    <w:spacing w:beforeAutospacing="0" w:afterAutospacing="0" w:line="240" w:lineRule="auto"/>
                    <w:jc w:val="center"/>
                    <w:rPr>
                      <w:rFonts w:hint="eastAsia"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14:textFill>
                        <w14:solidFill>
                          <w14:schemeClr w14:val="tx1"/>
                        </w14:solidFill>
                      </w14:textFill>
                    </w:rPr>
                    <w:t>约</w:t>
                  </w:r>
                  <w:r>
                    <w:rPr>
                      <w:rFonts w:hint="eastAsia" w:ascii="Times New Roman" w:hAnsi="Times New Roman" w:eastAsia="宋体"/>
                      <w:color w:val="000000" w:themeColor="text1"/>
                      <w:lang w:val="en-US" w:eastAsia="zh-CN"/>
                      <w14:textFill>
                        <w14:solidFill>
                          <w14:schemeClr w14:val="tx1"/>
                        </w14:solidFill>
                      </w14:textFill>
                    </w:rPr>
                    <w:t>150</w:t>
                  </w:r>
                  <w:r>
                    <w:rPr>
                      <w:rFonts w:hint="default" w:ascii="Times New Roman" w:hAnsi="Times New Roman" w:eastAsia="宋体"/>
                      <w:color w:val="000000" w:themeColor="text1"/>
                      <w14:textFill>
                        <w14:solidFill>
                          <w14:schemeClr w14:val="tx1"/>
                        </w14:solidFill>
                      </w14:textFill>
                    </w:rPr>
                    <w:t>户</w:t>
                  </w:r>
                </w:p>
              </w:tc>
              <w:tc>
                <w:tcPr>
                  <w:tcW w:w="695" w:type="dxa"/>
                  <w:tcBorders>
                    <w:left w:val="single" w:color="000000" w:sz="8" w:space="0"/>
                    <w:right w:val="nil"/>
                  </w:tcBorders>
                  <w:tcMar>
                    <w:top w:w="15" w:type="dxa"/>
                    <w:left w:w="108" w:type="dxa"/>
                    <w:bottom w:w="0" w:type="dxa"/>
                    <w:right w:w="108" w:type="dxa"/>
                  </w:tcMar>
                  <w:vAlign w:val="center"/>
                </w:tcPr>
                <w:p>
                  <w:pPr>
                    <w:pageBreakBefore w:val="0"/>
                    <w:kinsoku/>
                    <w:wordWrap/>
                    <w:autoSpaceDN w:val="0"/>
                    <w:bidi w:val="0"/>
                    <w:spacing w:beforeAutospacing="0" w:afterAutospacing="0" w:line="240" w:lineRule="auto"/>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居住</w:t>
                  </w:r>
                </w:p>
              </w:tc>
              <w:tc>
                <w:tcPr>
                  <w:tcW w:w="2167" w:type="dxa"/>
                  <w:vMerge w:val="continue"/>
                  <w:tcBorders>
                    <w:left w:val="single" w:color="000000" w:sz="8" w:space="0"/>
                    <w:right w:val="nil"/>
                  </w:tcBorders>
                  <w:tcMar>
                    <w:top w:w="15" w:type="dxa"/>
                    <w:left w:w="108" w:type="dxa"/>
                    <w:bottom w:w="0" w:type="dxa"/>
                    <w:right w:w="108" w:type="dxa"/>
                  </w:tcMar>
                  <w:vAlign w:val="center"/>
                </w:tcPr>
                <w:p>
                  <w:pPr>
                    <w:pageBreakBefore w:val="0"/>
                    <w:kinsoku/>
                    <w:bidi w:val="0"/>
                    <w:spacing w:beforeAutospacing="0" w:afterAutospacing="0"/>
                    <w:jc w:val="center"/>
                    <w:rPr>
                      <w:rFonts w:hint="eastAsia" w:ascii="Times New Roman" w:hAnsi="Times New Roman" w:eastAsia="宋体"/>
                      <w:color w:val="000000" w:themeColor="text1"/>
                      <w:lang w:val="en-US" w:eastAsia="zh-CN"/>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36" w:type="dxa"/>
                  <w:vMerge w:val="continue"/>
                  <w:tcBorders>
                    <w:left w:val="nil"/>
                    <w:right w:val="single" w:color="000000" w:sz="8" w:space="0"/>
                  </w:tcBorders>
                  <w:tcMar>
                    <w:top w:w="15" w:type="dxa"/>
                    <w:left w:w="108" w:type="dxa"/>
                    <w:bottom w:w="0" w:type="dxa"/>
                    <w:right w:w="108" w:type="dxa"/>
                  </w:tcMar>
                  <w:vAlign w:val="center"/>
                </w:tcPr>
                <w:p>
                  <w:pPr>
                    <w:pStyle w:val="15"/>
                    <w:pageBreakBefore w:val="0"/>
                    <w:tabs>
                      <w:tab w:val="left" w:pos="1620"/>
                    </w:tabs>
                    <w:kinsoku/>
                    <w:bidi w:val="0"/>
                    <w:spacing w:beforeAutospacing="0" w:afterAutospacing="0"/>
                    <w:ind w:left="0" w:leftChars="0" w:firstLine="0" w:firstLineChars="0"/>
                    <w:jc w:val="center"/>
                    <w:rPr>
                      <w:rFonts w:hint="default" w:ascii="Times New Roman" w:hAnsi="Times New Roman" w:eastAsia="宋体"/>
                      <w:color w:val="000000" w:themeColor="text1"/>
                      <w14:textFill>
                        <w14:solidFill>
                          <w14:schemeClr w14:val="tx1"/>
                        </w14:solidFill>
                      </w14:textFill>
                    </w:rPr>
                  </w:pPr>
                </w:p>
              </w:tc>
              <w:tc>
                <w:tcPr>
                  <w:tcW w:w="1556" w:type="dxa"/>
                  <w:tcBorders>
                    <w:left w:val="single" w:color="000000" w:sz="8" w:space="0"/>
                    <w:right w:val="single" w:color="000000" w:sz="8" w:space="0"/>
                  </w:tcBorders>
                  <w:tcMar>
                    <w:top w:w="15" w:type="dxa"/>
                    <w:left w:w="108" w:type="dxa"/>
                    <w:bottom w:w="0" w:type="dxa"/>
                    <w:right w:w="108" w:type="dxa"/>
                  </w:tcMar>
                  <w:vAlign w:val="center"/>
                </w:tcPr>
                <w:p>
                  <w:pPr>
                    <w:keepNext w:val="0"/>
                    <w:keepLines w:val="0"/>
                    <w:pageBreakBefore w:val="0"/>
                    <w:widowControl/>
                    <w:kinsoku/>
                    <w:wordWrap/>
                    <w:overflowPunct/>
                    <w:topLinePunct w:val="0"/>
                    <w:bidi w:val="0"/>
                    <w:snapToGrid w:val="0"/>
                    <w:spacing w:beforeAutospacing="0" w:afterAutospacing="0"/>
                    <w:jc w:val="center"/>
                    <w:textAlignment w:val="auto"/>
                    <w:outlineLvl w:val="9"/>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双屿村</w:t>
                  </w:r>
                </w:p>
              </w:tc>
              <w:tc>
                <w:tcPr>
                  <w:tcW w:w="786" w:type="dxa"/>
                  <w:tcBorders>
                    <w:left w:val="single" w:color="000000" w:sz="8" w:space="0"/>
                    <w:right w:val="single" w:color="000000" w:sz="8" w:space="0"/>
                  </w:tcBorders>
                  <w:tcMar>
                    <w:top w:w="15" w:type="dxa"/>
                    <w:left w:w="108" w:type="dxa"/>
                    <w:bottom w:w="0" w:type="dxa"/>
                    <w:right w:w="108" w:type="dxa"/>
                  </w:tcMar>
                  <w:vAlign w:val="center"/>
                </w:tcPr>
                <w:p>
                  <w:pPr>
                    <w:keepNext w:val="0"/>
                    <w:keepLines w:val="0"/>
                    <w:pageBreakBefore w:val="0"/>
                    <w:widowControl/>
                    <w:kinsoku/>
                    <w:wordWrap/>
                    <w:overflowPunct/>
                    <w:topLinePunct w:val="0"/>
                    <w:bidi w:val="0"/>
                    <w:snapToGrid w:val="0"/>
                    <w:spacing w:beforeAutospacing="0" w:afterAutospacing="0"/>
                    <w:jc w:val="center"/>
                    <w:textAlignment w:val="auto"/>
                    <w:outlineLvl w:val="9"/>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东北</w:t>
                  </w:r>
                </w:p>
              </w:tc>
              <w:tc>
                <w:tcPr>
                  <w:tcW w:w="1135" w:type="dxa"/>
                  <w:tcBorders>
                    <w:left w:val="single" w:color="000000" w:sz="8" w:space="0"/>
                    <w:right w:val="single" w:color="000000" w:sz="8" w:space="0"/>
                  </w:tcBorders>
                  <w:tcMar>
                    <w:top w:w="15" w:type="dxa"/>
                    <w:left w:w="108" w:type="dxa"/>
                    <w:bottom w:w="0" w:type="dxa"/>
                    <w:right w:w="108" w:type="dxa"/>
                  </w:tcMar>
                  <w:vAlign w:val="center"/>
                </w:tcPr>
                <w:p>
                  <w:pPr>
                    <w:pStyle w:val="147"/>
                    <w:keepNext w:val="0"/>
                    <w:keepLines w:val="0"/>
                    <w:pageBreakBefore w:val="0"/>
                    <w:kinsoku/>
                    <w:wordWrap/>
                    <w:overflowPunct/>
                    <w:topLinePunct w:val="0"/>
                    <w:bidi w:val="0"/>
                    <w:snapToGrid w:val="0"/>
                    <w:spacing w:beforeAutospacing="0" w:afterAutospacing="0"/>
                    <w:textAlignment w:val="auto"/>
                    <w:outlineLvl w:val="9"/>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1989</w:t>
                  </w:r>
                </w:p>
              </w:tc>
              <w:tc>
                <w:tcPr>
                  <w:tcW w:w="1093" w:type="dxa"/>
                  <w:tcBorders>
                    <w:left w:val="single" w:color="000000" w:sz="8" w:space="0"/>
                    <w:right w:val="single" w:color="000000" w:sz="8" w:space="0"/>
                  </w:tcBorders>
                  <w:tcMar>
                    <w:top w:w="15" w:type="dxa"/>
                    <w:left w:w="108" w:type="dxa"/>
                    <w:bottom w:w="0" w:type="dxa"/>
                    <w:right w:w="108" w:type="dxa"/>
                  </w:tcMar>
                  <w:vAlign w:val="center"/>
                </w:tcPr>
                <w:p>
                  <w:pPr>
                    <w:pageBreakBefore w:val="0"/>
                    <w:kinsoku/>
                    <w:wordWrap/>
                    <w:autoSpaceDN w:val="0"/>
                    <w:bidi w:val="0"/>
                    <w:spacing w:beforeAutospacing="0" w:afterAutospacing="0" w:line="240" w:lineRule="auto"/>
                    <w:jc w:val="center"/>
                    <w:rPr>
                      <w:rFonts w:hint="eastAsia"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14:textFill>
                        <w14:solidFill>
                          <w14:schemeClr w14:val="tx1"/>
                        </w14:solidFill>
                      </w14:textFill>
                    </w:rPr>
                    <w:t>约</w:t>
                  </w:r>
                  <w:r>
                    <w:rPr>
                      <w:rFonts w:hint="eastAsia" w:ascii="Times New Roman" w:hAnsi="Times New Roman" w:eastAsia="宋体"/>
                      <w:color w:val="000000" w:themeColor="text1"/>
                      <w:lang w:val="en-US" w:eastAsia="zh-CN"/>
                      <w14:textFill>
                        <w14:solidFill>
                          <w14:schemeClr w14:val="tx1"/>
                        </w14:solidFill>
                      </w14:textFill>
                    </w:rPr>
                    <w:t>150</w:t>
                  </w:r>
                  <w:r>
                    <w:rPr>
                      <w:rFonts w:hint="default" w:ascii="Times New Roman" w:hAnsi="Times New Roman" w:eastAsia="宋体"/>
                      <w:color w:val="000000" w:themeColor="text1"/>
                      <w14:textFill>
                        <w14:solidFill>
                          <w14:schemeClr w14:val="tx1"/>
                        </w14:solidFill>
                      </w14:textFill>
                    </w:rPr>
                    <w:t>户</w:t>
                  </w:r>
                </w:p>
              </w:tc>
              <w:tc>
                <w:tcPr>
                  <w:tcW w:w="695" w:type="dxa"/>
                  <w:tcBorders>
                    <w:left w:val="single" w:color="000000" w:sz="8" w:space="0"/>
                    <w:right w:val="nil"/>
                  </w:tcBorders>
                  <w:tcMar>
                    <w:top w:w="15" w:type="dxa"/>
                    <w:left w:w="108" w:type="dxa"/>
                    <w:bottom w:w="0" w:type="dxa"/>
                    <w:right w:w="108" w:type="dxa"/>
                  </w:tcMar>
                  <w:vAlign w:val="center"/>
                </w:tcPr>
                <w:p>
                  <w:pPr>
                    <w:pageBreakBefore w:val="0"/>
                    <w:kinsoku/>
                    <w:wordWrap/>
                    <w:autoSpaceDN w:val="0"/>
                    <w:bidi w:val="0"/>
                    <w:spacing w:beforeAutospacing="0" w:afterAutospacing="0" w:line="240" w:lineRule="auto"/>
                    <w:jc w:val="center"/>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居住</w:t>
                  </w:r>
                </w:p>
              </w:tc>
              <w:tc>
                <w:tcPr>
                  <w:tcW w:w="2167" w:type="dxa"/>
                  <w:vMerge w:val="continue"/>
                  <w:tcBorders>
                    <w:left w:val="single" w:color="000000" w:sz="8" w:space="0"/>
                    <w:right w:val="nil"/>
                  </w:tcBorders>
                  <w:tcMar>
                    <w:top w:w="15" w:type="dxa"/>
                    <w:left w:w="108" w:type="dxa"/>
                    <w:bottom w:w="0" w:type="dxa"/>
                    <w:right w:w="108" w:type="dxa"/>
                  </w:tcMar>
                  <w:vAlign w:val="center"/>
                </w:tcPr>
                <w:p>
                  <w:pPr>
                    <w:pageBreakBefore w:val="0"/>
                    <w:kinsoku/>
                    <w:bidi w:val="0"/>
                    <w:spacing w:beforeAutospacing="0" w:afterAutospacing="0"/>
                    <w:jc w:val="center"/>
                    <w:rPr>
                      <w:rFonts w:hint="eastAsia" w:ascii="Times New Roman" w:hAnsi="Times New Roman" w:eastAsia="宋体"/>
                      <w:color w:val="000000" w:themeColor="text1"/>
                      <w:lang w:val="en-US" w:eastAsia="zh-CN"/>
                      <w14:textFill>
                        <w14:solidFill>
                          <w14:schemeClr w14:val="tx1"/>
                        </w14:solidFill>
                      </w14:textFill>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36" w:type="dxa"/>
                  <w:tcBorders>
                    <w:left w:val="nil"/>
                    <w:right w:val="single" w:color="000000" w:sz="8" w:space="0"/>
                  </w:tcBorders>
                  <w:tcMar>
                    <w:top w:w="15" w:type="dxa"/>
                    <w:left w:w="108" w:type="dxa"/>
                    <w:bottom w:w="0" w:type="dxa"/>
                    <w:right w:w="108" w:type="dxa"/>
                  </w:tcMar>
                  <w:vAlign w:val="center"/>
                </w:tcPr>
                <w:p>
                  <w:pPr>
                    <w:pStyle w:val="15"/>
                    <w:pageBreakBefore w:val="0"/>
                    <w:tabs>
                      <w:tab w:val="left" w:pos="1620"/>
                    </w:tabs>
                    <w:kinsoku/>
                    <w:wordWrap/>
                    <w:bidi w:val="0"/>
                    <w:spacing w:beforeAutospacing="0" w:afterAutospacing="0" w:line="240" w:lineRule="auto"/>
                    <w:ind w:firstLine="0" w:firstLineChars="0"/>
                    <w:jc w:val="center"/>
                    <w:rPr>
                      <w:rFonts w:hint="default" w:ascii="Times New Roman" w:hAnsi="Times New Roman" w:eastAsia="宋体"/>
                      <w:color w:val="000000" w:themeColor="text1"/>
                      <w14:textFill>
                        <w14:solidFill>
                          <w14:schemeClr w14:val="tx1"/>
                        </w14:solidFill>
                      </w14:textFill>
                    </w:rPr>
                  </w:pPr>
                  <w:r>
                    <w:rPr>
                      <w:rFonts w:hint="default" w:ascii="Times New Roman" w:hAnsi="Times New Roman" w:eastAsia="宋体"/>
                      <w:color w:val="000000" w:themeColor="text1"/>
                      <w14:textFill>
                        <w14:solidFill>
                          <w14:schemeClr w14:val="tx1"/>
                        </w14:solidFill>
                      </w14:textFill>
                    </w:rPr>
                    <w:t>地表水环境</w:t>
                  </w:r>
                </w:p>
              </w:tc>
              <w:tc>
                <w:tcPr>
                  <w:tcW w:w="1556" w:type="dxa"/>
                  <w:tcBorders>
                    <w:left w:val="single" w:color="000000" w:sz="8" w:space="0"/>
                    <w:right w:val="single" w:color="000000" w:sz="8" w:space="0"/>
                  </w:tcBorders>
                  <w:tcMar>
                    <w:top w:w="15" w:type="dxa"/>
                    <w:left w:w="108" w:type="dxa"/>
                    <w:bottom w:w="0" w:type="dxa"/>
                    <w:right w:w="108" w:type="dxa"/>
                  </w:tcMar>
                  <w:vAlign w:val="center"/>
                </w:tcPr>
                <w:p>
                  <w:pPr>
                    <w:pStyle w:val="15"/>
                    <w:pageBreakBefore w:val="0"/>
                    <w:tabs>
                      <w:tab w:val="left" w:pos="1620"/>
                    </w:tabs>
                    <w:kinsoku/>
                    <w:wordWrap/>
                    <w:bidi w:val="0"/>
                    <w:spacing w:beforeAutospacing="0" w:afterAutospacing="0" w:line="240" w:lineRule="auto"/>
                    <w:ind w:firstLine="0" w:firstLineChars="0"/>
                    <w:jc w:val="center"/>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沙埕港</w:t>
                  </w:r>
                </w:p>
              </w:tc>
              <w:tc>
                <w:tcPr>
                  <w:tcW w:w="786" w:type="dxa"/>
                  <w:tcBorders>
                    <w:left w:val="single" w:color="000000" w:sz="8" w:space="0"/>
                    <w:right w:val="single" w:color="000000" w:sz="8" w:space="0"/>
                  </w:tcBorders>
                  <w:tcMar>
                    <w:top w:w="15" w:type="dxa"/>
                    <w:left w:w="108" w:type="dxa"/>
                    <w:bottom w:w="0" w:type="dxa"/>
                    <w:right w:w="108" w:type="dxa"/>
                  </w:tcMar>
                  <w:vAlign w:val="center"/>
                </w:tcPr>
                <w:p>
                  <w:pPr>
                    <w:pStyle w:val="15"/>
                    <w:pageBreakBefore w:val="0"/>
                    <w:tabs>
                      <w:tab w:val="left" w:pos="1620"/>
                    </w:tabs>
                    <w:kinsoku/>
                    <w:wordWrap/>
                    <w:bidi w:val="0"/>
                    <w:spacing w:beforeAutospacing="0" w:afterAutospacing="0" w:line="240" w:lineRule="auto"/>
                    <w:ind w:firstLine="0" w:firstLineChars="0"/>
                    <w:jc w:val="center"/>
                    <w:rPr>
                      <w:rFonts w:hint="default" w:ascii="Times New Roman" w:hAnsi="Times New Roman" w:eastAsia="宋体"/>
                      <w:color w:val="000000" w:themeColor="text1"/>
                      <w:lang w:val="en-US"/>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西北</w:t>
                  </w:r>
                </w:p>
              </w:tc>
              <w:tc>
                <w:tcPr>
                  <w:tcW w:w="1135" w:type="dxa"/>
                  <w:tcBorders>
                    <w:left w:val="single" w:color="000000" w:sz="8" w:space="0"/>
                    <w:right w:val="single" w:color="000000" w:sz="8" w:space="0"/>
                  </w:tcBorders>
                  <w:tcMar>
                    <w:top w:w="15" w:type="dxa"/>
                    <w:left w:w="108" w:type="dxa"/>
                    <w:bottom w:w="0" w:type="dxa"/>
                    <w:right w:w="108" w:type="dxa"/>
                  </w:tcMar>
                  <w:vAlign w:val="center"/>
                </w:tcPr>
                <w:p>
                  <w:pPr>
                    <w:pStyle w:val="15"/>
                    <w:pageBreakBefore w:val="0"/>
                    <w:tabs>
                      <w:tab w:val="left" w:pos="1620"/>
                    </w:tabs>
                    <w:kinsoku/>
                    <w:wordWrap/>
                    <w:bidi w:val="0"/>
                    <w:spacing w:beforeAutospacing="0" w:afterAutospacing="0" w:line="240" w:lineRule="auto"/>
                    <w:ind w:firstLine="0" w:firstLineChars="0"/>
                    <w:jc w:val="center"/>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紧邻</w:t>
                  </w:r>
                </w:p>
              </w:tc>
              <w:tc>
                <w:tcPr>
                  <w:tcW w:w="1093" w:type="dxa"/>
                  <w:tcBorders>
                    <w:left w:val="single" w:color="000000" w:sz="8" w:space="0"/>
                    <w:right w:val="single" w:color="000000" w:sz="8" w:space="0"/>
                  </w:tcBorders>
                  <w:tcMar>
                    <w:top w:w="15" w:type="dxa"/>
                    <w:left w:w="108" w:type="dxa"/>
                    <w:bottom w:w="0" w:type="dxa"/>
                    <w:right w:w="108" w:type="dxa"/>
                  </w:tcMar>
                  <w:vAlign w:val="center"/>
                </w:tcPr>
                <w:p>
                  <w:pPr>
                    <w:pStyle w:val="15"/>
                    <w:pageBreakBefore w:val="0"/>
                    <w:tabs>
                      <w:tab w:val="left" w:pos="1620"/>
                    </w:tabs>
                    <w:kinsoku/>
                    <w:wordWrap/>
                    <w:bidi w:val="0"/>
                    <w:spacing w:beforeAutospacing="0" w:afterAutospacing="0" w:line="240" w:lineRule="auto"/>
                    <w:ind w:firstLine="0" w:firstLineChars="0"/>
                    <w:jc w:val="center"/>
                    <w:rPr>
                      <w:rFonts w:hint="eastAsia" w:ascii="Times New Roman" w:hAnsi="Times New Roman" w:eastAsia="宋体"/>
                      <w:color w:val="000000" w:themeColor="text1"/>
                      <w:lang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c>
                <w:tcPr>
                  <w:tcW w:w="695" w:type="dxa"/>
                  <w:tcBorders>
                    <w:left w:val="single" w:color="000000" w:sz="8" w:space="0"/>
                    <w:right w:val="nil"/>
                  </w:tcBorders>
                  <w:tcMar>
                    <w:top w:w="15" w:type="dxa"/>
                    <w:left w:w="108" w:type="dxa"/>
                    <w:bottom w:w="0" w:type="dxa"/>
                    <w:right w:w="108" w:type="dxa"/>
                  </w:tcMar>
                  <w:vAlign w:val="center"/>
                </w:tcPr>
                <w:p>
                  <w:pPr>
                    <w:pStyle w:val="15"/>
                    <w:pageBreakBefore w:val="0"/>
                    <w:tabs>
                      <w:tab w:val="left" w:pos="1620"/>
                    </w:tabs>
                    <w:kinsoku/>
                    <w:wordWrap/>
                    <w:bidi w:val="0"/>
                    <w:spacing w:beforeAutospacing="0" w:afterAutospacing="0" w:line="240" w:lineRule="auto"/>
                    <w:ind w:firstLine="0" w:firstLineChars="0"/>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水质</w:t>
                  </w:r>
                </w:p>
              </w:tc>
              <w:tc>
                <w:tcPr>
                  <w:tcW w:w="2167" w:type="dxa"/>
                  <w:tcBorders>
                    <w:left w:val="single" w:color="000000" w:sz="8" w:space="0"/>
                    <w:right w:val="nil"/>
                  </w:tcBorders>
                  <w:tcMar>
                    <w:top w:w="15" w:type="dxa"/>
                    <w:left w:w="108" w:type="dxa"/>
                    <w:bottom w:w="0" w:type="dxa"/>
                    <w:right w:w="108" w:type="dxa"/>
                  </w:tcMar>
                  <w:vAlign w:val="center"/>
                </w:tcPr>
                <w:p>
                  <w:pPr>
                    <w:pStyle w:val="15"/>
                    <w:pageBreakBefore w:val="0"/>
                    <w:tabs>
                      <w:tab w:val="left" w:pos="1620"/>
                    </w:tabs>
                    <w:kinsoku/>
                    <w:wordWrap/>
                    <w:bidi w:val="0"/>
                    <w:spacing w:beforeAutospacing="0" w:afterAutospacing="0" w:line="240" w:lineRule="auto"/>
                    <w:ind w:firstLine="0" w:firstLineChars="0"/>
                    <w:jc w:val="center"/>
                    <w:rPr>
                      <w:rFonts w:hint="default" w:ascii="Times New Roman" w:hAnsi="Times New Roman" w:eastAsia="宋体"/>
                      <w:color w:val="000000" w:themeColor="text1"/>
                      <w14:textFill>
                        <w14:solidFill>
                          <w14:schemeClr w14:val="tx1"/>
                        </w14:solidFill>
                      </w14:textFill>
                    </w:rPr>
                  </w:pPr>
                  <w:r>
                    <w:rPr>
                      <w:rFonts w:hint="default" w:ascii="Times New Roman" w:hAnsi="Times New Roman" w:eastAsia="宋体"/>
                      <w:color w:val="000000" w:themeColor="text1"/>
                      <w14:textFill>
                        <w14:solidFill>
                          <w14:schemeClr w14:val="tx1"/>
                        </w14:solidFill>
                      </w14:textFill>
                    </w:rPr>
                    <w:t>《海水水质标准》（GB3097-1997）第</w:t>
                  </w:r>
                  <w:r>
                    <w:rPr>
                      <w:rFonts w:hint="eastAsia" w:ascii="Times New Roman" w:hAnsi="Times New Roman" w:eastAsia="宋体"/>
                      <w:color w:val="000000" w:themeColor="text1"/>
                      <w:lang w:val="en-US" w:eastAsia="zh-CN"/>
                      <w14:textFill>
                        <w14:solidFill>
                          <w14:schemeClr w14:val="tx1"/>
                        </w14:solidFill>
                      </w14:textFill>
                    </w:rPr>
                    <w:t>二</w:t>
                  </w:r>
                  <w:r>
                    <w:rPr>
                      <w:rFonts w:hint="default" w:ascii="Times New Roman" w:hAnsi="Times New Roman" w:eastAsia="宋体"/>
                      <w:color w:val="000000" w:themeColor="text1"/>
                      <w14:textFill>
                        <w14:solidFill>
                          <w14:schemeClr w14:val="tx1"/>
                        </w14:solidFill>
                      </w14:textFill>
                    </w:rPr>
                    <w:t>类水质标准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36" w:type="dxa"/>
                  <w:tcBorders>
                    <w:left w:val="nil"/>
                    <w:right w:val="single" w:color="000000" w:sz="8" w:space="0"/>
                  </w:tcBorders>
                  <w:tcMar>
                    <w:top w:w="15" w:type="dxa"/>
                    <w:left w:w="108" w:type="dxa"/>
                    <w:bottom w:w="0" w:type="dxa"/>
                    <w:right w:w="108" w:type="dxa"/>
                  </w:tcMar>
                  <w:vAlign w:val="center"/>
                </w:tcPr>
                <w:p>
                  <w:pPr>
                    <w:pStyle w:val="15"/>
                    <w:pageBreakBefore w:val="0"/>
                    <w:tabs>
                      <w:tab w:val="left" w:pos="1620"/>
                    </w:tabs>
                    <w:kinsoku/>
                    <w:wordWrap/>
                    <w:bidi w:val="0"/>
                    <w:spacing w:beforeAutospacing="0" w:afterAutospacing="0" w:line="240" w:lineRule="auto"/>
                    <w:ind w:firstLine="0" w:firstLineChars="0"/>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声环境</w:t>
                  </w:r>
                </w:p>
              </w:tc>
              <w:tc>
                <w:tcPr>
                  <w:tcW w:w="7432" w:type="dxa"/>
                  <w:gridSpan w:val="6"/>
                  <w:tcBorders>
                    <w:left w:val="single" w:color="000000" w:sz="8" w:space="0"/>
                    <w:right w:val="nil"/>
                  </w:tcBorders>
                  <w:tcMar>
                    <w:top w:w="15" w:type="dxa"/>
                    <w:left w:w="108" w:type="dxa"/>
                    <w:bottom w:w="0" w:type="dxa"/>
                    <w:right w:w="108" w:type="dxa"/>
                  </w:tcMar>
                  <w:vAlign w:val="center"/>
                </w:tcPr>
                <w:p>
                  <w:pPr>
                    <w:pStyle w:val="15"/>
                    <w:pageBreakBefore w:val="0"/>
                    <w:tabs>
                      <w:tab w:val="left" w:pos="1620"/>
                    </w:tabs>
                    <w:kinsoku/>
                    <w:wordWrap/>
                    <w:bidi w:val="0"/>
                    <w:spacing w:beforeAutospacing="0" w:afterAutospacing="0" w:line="240" w:lineRule="auto"/>
                    <w:ind w:firstLine="0" w:firstLineChars="0"/>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目标50m范围内不存在声敏感点目标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7" w:hRule="atLeast"/>
                <w:jc w:val="center"/>
              </w:trPr>
              <w:tc>
                <w:tcPr>
                  <w:tcW w:w="1036" w:type="dxa"/>
                  <w:tcBorders>
                    <w:left w:val="nil"/>
                    <w:bottom w:val="single" w:color="000000" w:sz="18" w:space="0"/>
                    <w:right w:val="single" w:color="000000" w:sz="8" w:space="0"/>
                  </w:tcBorders>
                  <w:tcMar>
                    <w:top w:w="15" w:type="dxa"/>
                    <w:left w:w="108" w:type="dxa"/>
                    <w:bottom w:w="0" w:type="dxa"/>
                    <w:right w:w="108" w:type="dxa"/>
                  </w:tcMar>
                  <w:vAlign w:val="center"/>
                </w:tcPr>
                <w:p>
                  <w:pPr>
                    <w:pStyle w:val="15"/>
                    <w:pageBreakBefore w:val="0"/>
                    <w:tabs>
                      <w:tab w:val="left" w:pos="1620"/>
                    </w:tabs>
                    <w:kinsoku/>
                    <w:wordWrap/>
                    <w:bidi w:val="0"/>
                    <w:spacing w:beforeAutospacing="0" w:afterAutospacing="0" w:line="240" w:lineRule="auto"/>
                    <w:ind w:firstLine="0" w:firstLineChars="0"/>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生态环境</w:t>
                  </w:r>
                </w:p>
              </w:tc>
              <w:tc>
                <w:tcPr>
                  <w:tcW w:w="1556" w:type="dxa"/>
                  <w:tcBorders>
                    <w:left w:val="single" w:color="000000" w:sz="8" w:space="0"/>
                    <w:bottom w:val="single" w:color="000000" w:sz="18" w:space="0"/>
                    <w:right w:val="single" w:color="000000" w:sz="8" w:space="0"/>
                  </w:tcBorders>
                  <w:tcMar>
                    <w:top w:w="15" w:type="dxa"/>
                    <w:left w:w="108" w:type="dxa"/>
                    <w:bottom w:w="0" w:type="dxa"/>
                    <w:right w:w="108" w:type="dxa"/>
                  </w:tcMar>
                  <w:vAlign w:val="center"/>
                </w:tcPr>
                <w:p>
                  <w:pPr>
                    <w:pStyle w:val="15"/>
                    <w:pageBreakBefore w:val="0"/>
                    <w:tabs>
                      <w:tab w:val="left" w:pos="1620"/>
                    </w:tabs>
                    <w:kinsoku/>
                    <w:wordWrap/>
                    <w:bidi w:val="0"/>
                    <w:spacing w:beforeAutospacing="0" w:afterAutospacing="0" w:line="240" w:lineRule="auto"/>
                    <w:ind w:firstLine="0" w:firstLineChars="0"/>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场地平整范围</w:t>
                  </w:r>
                  <w:r>
                    <w:rPr>
                      <w:rFonts w:ascii="Times New Roman" w:hAnsi="Times New Roman" w:eastAsia="宋体"/>
                      <w:color w:val="000000" w:themeColor="text1"/>
                      <w14:textFill>
                        <w14:solidFill>
                          <w14:schemeClr w14:val="tx1"/>
                        </w14:solidFill>
                      </w14:textFill>
                    </w:rPr>
                    <w:t>及附近区域的生态系统</w:t>
                  </w:r>
                </w:p>
              </w:tc>
              <w:tc>
                <w:tcPr>
                  <w:tcW w:w="786" w:type="dxa"/>
                  <w:tcBorders>
                    <w:left w:val="single" w:color="000000" w:sz="8" w:space="0"/>
                    <w:bottom w:val="single" w:color="000000" w:sz="18" w:space="0"/>
                    <w:right w:val="single" w:color="000000" w:sz="8" w:space="0"/>
                  </w:tcBorders>
                  <w:tcMar>
                    <w:top w:w="15" w:type="dxa"/>
                    <w:left w:w="108" w:type="dxa"/>
                    <w:bottom w:w="0" w:type="dxa"/>
                    <w:right w:w="108" w:type="dxa"/>
                  </w:tcMar>
                  <w:vAlign w:val="center"/>
                </w:tcPr>
                <w:p>
                  <w:pPr>
                    <w:pStyle w:val="15"/>
                    <w:pageBreakBefore w:val="0"/>
                    <w:tabs>
                      <w:tab w:val="left" w:pos="1620"/>
                    </w:tabs>
                    <w:kinsoku/>
                    <w:wordWrap/>
                    <w:bidi w:val="0"/>
                    <w:spacing w:beforeAutospacing="0" w:afterAutospacing="0" w:line="240" w:lineRule="auto"/>
                    <w:ind w:firstLine="0" w:firstLineChars="0"/>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c>
                <w:tcPr>
                  <w:tcW w:w="1135" w:type="dxa"/>
                  <w:tcBorders>
                    <w:left w:val="single" w:color="000000" w:sz="8" w:space="0"/>
                    <w:bottom w:val="single" w:color="000000" w:sz="18" w:space="0"/>
                    <w:right w:val="single" w:color="000000" w:sz="8" w:space="0"/>
                  </w:tcBorders>
                  <w:tcMar>
                    <w:top w:w="15" w:type="dxa"/>
                    <w:left w:w="108" w:type="dxa"/>
                    <w:bottom w:w="0" w:type="dxa"/>
                    <w:right w:w="108" w:type="dxa"/>
                  </w:tcMar>
                  <w:vAlign w:val="center"/>
                </w:tcPr>
                <w:p>
                  <w:pPr>
                    <w:pStyle w:val="15"/>
                    <w:pageBreakBefore w:val="0"/>
                    <w:tabs>
                      <w:tab w:val="left" w:pos="1620"/>
                    </w:tabs>
                    <w:kinsoku/>
                    <w:wordWrap/>
                    <w:bidi w:val="0"/>
                    <w:spacing w:beforeAutospacing="0" w:afterAutospacing="0" w:line="240" w:lineRule="auto"/>
                    <w:ind w:firstLine="0" w:firstLineChars="0"/>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c>
                <w:tcPr>
                  <w:tcW w:w="1093" w:type="dxa"/>
                  <w:tcBorders>
                    <w:left w:val="single" w:color="000000" w:sz="8" w:space="0"/>
                    <w:bottom w:val="single" w:color="000000" w:sz="18" w:space="0"/>
                    <w:right w:val="single" w:color="000000" w:sz="8" w:space="0"/>
                  </w:tcBorders>
                  <w:tcMar>
                    <w:top w:w="15" w:type="dxa"/>
                    <w:left w:w="108" w:type="dxa"/>
                    <w:bottom w:w="0" w:type="dxa"/>
                    <w:right w:w="108" w:type="dxa"/>
                  </w:tcMar>
                  <w:vAlign w:val="center"/>
                </w:tcPr>
                <w:p>
                  <w:pPr>
                    <w:pageBreakBefore w:val="0"/>
                    <w:kinsoku/>
                    <w:wordWrap/>
                    <w:autoSpaceDN w:val="0"/>
                    <w:bidi w:val="0"/>
                    <w:spacing w:beforeAutospacing="0" w:afterAutospacing="0" w:line="240" w:lineRule="auto"/>
                    <w:jc w:val="center"/>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c>
                <w:tcPr>
                  <w:tcW w:w="695" w:type="dxa"/>
                  <w:tcBorders>
                    <w:left w:val="single" w:color="000000" w:sz="8" w:space="0"/>
                    <w:bottom w:val="single" w:color="000000" w:sz="18" w:space="0"/>
                    <w:right w:val="nil"/>
                  </w:tcBorders>
                  <w:tcMar>
                    <w:top w:w="15" w:type="dxa"/>
                    <w:left w:w="108" w:type="dxa"/>
                    <w:bottom w:w="0" w:type="dxa"/>
                    <w:right w:w="108" w:type="dxa"/>
                  </w:tcMar>
                  <w:vAlign w:val="center"/>
                </w:tcPr>
                <w:p>
                  <w:pPr>
                    <w:pageBreakBefore w:val="0"/>
                    <w:kinsoku/>
                    <w:wordWrap/>
                    <w:autoSpaceDN w:val="0"/>
                    <w:bidi w:val="0"/>
                    <w:spacing w:beforeAutospacing="0" w:afterAutospacing="0" w:line="240" w:lineRule="auto"/>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w:t>
                  </w:r>
                </w:p>
              </w:tc>
              <w:tc>
                <w:tcPr>
                  <w:tcW w:w="2167" w:type="dxa"/>
                  <w:tcBorders>
                    <w:left w:val="single" w:color="000000" w:sz="8" w:space="0"/>
                    <w:bottom w:val="single" w:color="000000" w:sz="18" w:space="0"/>
                    <w:right w:val="nil"/>
                  </w:tcBorders>
                  <w:tcMar>
                    <w:top w:w="15" w:type="dxa"/>
                    <w:left w:w="108" w:type="dxa"/>
                    <w:bottom w:w="0" w:type="dxa"/>
                    <w:right w:w="108" w:type="dxa"/>
                  </w:tcMar>
                  <w:vAlign w:val="center"/>
                </w:tcPr>
                <w:p>
                  <w:pPr>
                    <w:pStyle w:val="15"/>
                    <w:pageBreakBefore w:val="0"/>
                    <w:tabs>
                      <w:tab w:val="left" w:pos="1620"/>
                    </w:tabs>
                    <w:kinsoku/>
                    <w:wordWrap/>
                    <w:bidi w:val="0"/>
                    <w:spacing w:beforeAutospacing="0" w:afterAutospacing="0" w:line="240" w:lineRule="auto"/>
                    <w:ind w:firstLine="0" w:firstLineChars="0"/>
                    <w:jc w:val="center"/>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场地平整范围</w:t>
                  </w:r>
                  <w:r>
                    <w:rPr>
                      <w:rFonts w:hint="eastAsia" w:ascii="Times New Roman" w:hAnsi="Times New Roman" w:eastAsia="宋体"/>
                      <w:color w:val="000000" w:themeColor="text1"/>
                      <w14:textFill>
                        <w14:solidFill>
                          <w14:schemeClr w14:val="tx1"/>
                        </w14:solidFill>
                      </w14:textFill>
                    </w:rPr>
                    <w:t>以外生态系统不受明显影响</w:t>
                  </w:r>
                </w:p>
              </w:tc>
            </w:tr>
          </w:tbl>
          <w:p>
            <w:pPr>
              <w:pStyle w:val="23"/>
              <w:pageBreakBefore w:val="0"/>
              <w:kinsoku/>
              <w:bidi w:val="0"/>
              <w:spacing w:before="0" w:beforeAutospacing="0" w:after="0" w:afterAutospacing="0"/>
              <w:ind w:left="0" w:leftChars="0" w:firstLine="0" w:firstLineChars="0"/>
              <w:jc w:val="both"/>
              <w:rPr>
                <w:rFonts w:hint="default" w:ascii="Times New Roman" w:hAnsi="Times New Roman" w:eastAsia="宋体"/>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5"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firstLineChars="0"/>
              <w:jc w:val="center"/>
              <w:textAlignment w:val="auto"/>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评价</w:t>
            </w:r>
          </w:p>
          <w:p>
            <w:pPr>
              <w:pageBreakBefore w:val="0"/>
              <w:kinsoku/>
              <w:bidi w:val="0"/>
              <w:adjustRightInd w:val="0"/>
              <w:snapToGrid w:val="0"/>
              <w:spacing w:beforeAutospacing="0" w:afterAutospacing="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标准</w:t>
            </w:r>
          </w:p>
        </w:tc>
        <w:tc>
          <w:tcPr>
            <w:tcW w:w="8646" w:type="dxa"/>
            <w:vAlign w:val="center"/>
          </w:tcPr>
          <w:p>
            <w:pPr>
              <w:pStyle w:val="11"/>
              <w:pageBreakBefore w:val="0"/>
              <w:kinsoku/>
              <w:bidi w:val="0"/>
              <w:spacing w:beforeAutospacing="0" w:afterAutospacing="0"/>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pPr>
            <w:bookmarkStart w:id="20" w:name="_Toc31970"/>
            <w:bookmarkStart w:id="21" w:name="_Toc15447"/>
            <w:bookmarkStart w:id="22" w:name="_Toc8146"/>
            <w:bookmarkStart w:id="23" w:name="_Toc24119"/>
            <w:bookmarkStart w:id="24" w:name="_Toc15994"/>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32"/>
                <w:szCs w:val="32"/>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环境功能区划及质量标准</w:t>
            </w:r>
            <w:bookmarkEnd w:id="20"/>
          </w:p>
          <w:p>
            <w:pPr>
              <w:pStyle w:val="11"/>
              <w:pageBreakBefore w:val="0"/>
              <w:kinsoku/>
              <w:bidi w:val="0"/>
              <w:spacing w:beforeAutospacing="0" w:afterAutospacing="0"/>
              <w:rPr>
                <w:rFonts w:hint="default" w:ascii="Times New Roman" w:hAnsi="Times New Roman" w:eastAsia="宋体"/>
                <w:color w:val="000000" w:themeColor="text1"/>
                <w:sz w:val="28"/>
                <w:szCs w:val="28"/>
                <w:lang w:val="en-US" w:eastAsia="zh-CN"/>
                <w14:textFill>
                  <w14:solidFill>
                    <w14:schemeClr w14:val="tx1"/>
                  </w14:solidFill>
                </w14:textFill>
              </w:rPr>
            </w:pPr>
            <w:bookmarkStart w:id="25" w:name="_Toc16098"/>
            <w:bookmarkStart w:id="26" w:name="_Toc10064"/>
            <w:r>
              <w:rPr>
                <w:rFonts w:hint="default" w:ascii="Times New Roman" w:hAnsi="Times New Roman" w:eastAsia="宋体"/>
                <w:color w:val="000000" w:themeColor="text1"/>
                <w:sz w:val="28"/>
                <w:szCs w:val="28"/>
                <w:lang w:val="en-US" w:eastAsia="zh-CN"/>
                <w14:textFill>
                  <w14:solidFill>
                    <w14:schemeClr w14:val="tx1"/>
                  </w14:solidFill>
                </w14:textFill>
              </w:rPr>
              <w:t>3.</w:t>
            </w:r>
            <w:r>
              <w:rPr>
                <w:rFonts w:hint="eastAsia" w:ascii="Times New Roman" w:hAnsi="Times New Roman" w:eastAsia="宋体"/>
                <w:color w:val="000000" w:themeColor="text1"/>
                <w:sz w:val="28"/>
                <w:szCs w:val="28"/>
                <w:lang w:val="en-US" w:eastAsia="zh-CN"/>
                <w14:textFill>
                  <w14:solidFill>
                    <w14:schemeClr w14:val="tx1"/>
                  </w14:solidFill>
                </w14:textFill>
              </w:rPr>
              <w:t>6</w:t>
            </w:r>
            <w:r>
              <w:rPr>
                <w:rFonts w:hint="default" w:ascii="Times New Roman" w:hAnsi="Times New Roman" w:eastAsia="宋体"/>
                <w:color w:val="000000" w:themeColor="text1"/>
                <w:sz w:val="28"/>
                <w:szCs w:val="28"/>
                <w:lang w:val="en-US" w:eastAsia="zh-CN"/>
                <w14:textFill>
                  <w14:solidFill>
                    <w14:schemeClr w14:val="tx1"/>
                  </w14:solidFill>
                </w14:textFill>
              </w:rPr>
              <w:t>.1水环境功能区划及质量标准</w:t>
            </w:r>
            <w:bookmarkEnd w:id="25"/>
            <w:bookmarkEnd w:id="26"/>
          </w:p>
          <w:p>
            <w:pPr>
              <w:pageBreakBefore w:val="0"/>
              <w:kinsoku/>
              <w:bidi w:val="0"/>
              <w:spacing w:beforeAutospacing="0" w:afterAutospacing="0" w:line="360" w:lineRule="auto"/>
              <w:ind w:firstLine="480" w:firstLineChars="200"/>
              <w:rPr>
                <w:rFonts w:ascii="Times New Roman" w:hAnsi="Times New Roman" w:eastAsia="宋体"/>
                <w:color w:val="000000" w:themeColor="text1"/>
                <w:sz w:val="24"/>
                <w:szCs w:val="24"/>
                <w:highlight w:val="none"/>
                <w14:textFill>
                  <w14:solidFill>
                    <w14:schemeClr w14:val="tx1"/>
                  </w14:solidFill>
                </w14:textFill>
              </w:rPr>
            </w:pPr>
            <w:bookmarkStart w:id="27" w:name="_Toc20761"/>
            <w:bookmarkStart w:id="28" w:name="_Toc8890"/>
            <w:r>
              <w:rPr>
                <w:rFonts w:ascii="Times New Roman" w:hAnsi="Times New Roman" w:eastAsia="宋体"/>
                <w:color w:val="000000" w:themeColor="text1"/>
                <w:sz w:val="24"/>
                <w:szCs w:val="24"/>
                <w:highlight w:val="none"/>
                <w14:textFill>
                  <w14:solidFill>
                    <w14:schemeClr w14:val="tx1"/>
                  </w14:solidFill>
                </w14:textFill>
              </w:rPr>
              <w:t>根据《福建省近岸海域环境功能区划（2011</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ascii="Times New Roman" w:hAnsi="Times New Roman" w:eastAsia="宋体"/>
                <w:color w:val="000000" w:themeColor="text1"/>
                <w:sz w:val="24"/>
                <w:szCs w:val="24"/>
                <w:highlight w:val="none"/>
                <w14:textFill>
                  <w14:solidFill>
                    <w14:schemeClr w14:val="tx1"/>
                  </w14:solidFill>
                </w14:textFill>
              </w:rPr>
              <w:t>2020年）》，项目所在的近岸海域为沙埕港海域，其地块所在海域功能区名称为沙埕港内湾三类区，该海域主导功能为养殖，辅助功能为港口、纳污，水质环境保护目标为二类。水质执行GB3097-1997《海水水质标准》二类海水水质标准。</w:t>
            </w:r>
            <w:r>
              <w:rPr>
                <w:rFonts w:hint="eastAsia" w:ascii="Times New Roman" w:hAnsi="Times New Roman" w:eastAsia="宋体"/>
                <w:color w:val="000000" w:themeColor="text1"/>
                <w:sz w:val="24"/>
                <w:szCs w:val="24"/>
                <w:highlight w:val="none"/>
                <w14:textFill>
                  <w14:solidFill>
                    <w14:schemeClr w14:val="tx1"/>
                  </w14:solidFill>
                </w14:textFill>
              </w:rPr>
              <w:t>洋沉积物质量、海洋生物质量执行一类标准。</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82" w:firstLineChars="200"/>
              <w:jc w:val="center"/>
              <w:textAlignment w:val="baseline"/>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表</w:t>
            </w:r>
            <w:r>
              <w:rPr>
                <w:rFonts w:hint="eastAsia" w:ascii="Times New Roman" w:hAnsi="Times New Roman" w:eastAsia="宋体" w:cs="Times New Roman"/>
                <w:b/>
                <w:color w:val="000000" w:themeColor="text1"/>
                <w:sz w:val="24"/>
                <w:highlight w:val="none"/>
                <w:lang w:val="en-US" w:eastAsia="zh-CN"/>
                <w14:textFill>
                  <w14:solidFill>
                    <w14:schemeClr w14:val="tx1"/>
                  </w14:solidFill>
                </w14:textFill>
              </w:rPr>
              <w:t>3.6-1</w:t>
            </w:r>
            <w:r>
              <w:rPr>
                <w:rFonts w:hint="default" w:ascii="Times New Roman" w:hAnsi="Times New Roman" w:eastAsia="宋体" w:cs="Times New Roman"/>
                <w:b/>
                <w:color w:val="000000" w:themeColor="text1"/>
                <w:sz w:val="24"/>
                <w:highlight w:val="none"/>
                <w14:textFill>
                  <w14:solidFill>
                    <w14:schemeClr w14:val="tx1"/>
                  </w14:solidFill>
                </w14:textFill>
              </w:rPr>
              <w:t xml:space="preserve">   《海水水质执行标准》(GB3097-1997)   单位：mg/L</w:t>
            </w:r>
          </w:p>
          <w:tbl>
            <w:tblPr>
              <w:tblStyle w:val="128"/>
              <w:tblW w:w="10174" w:type="dxa"/>
              <w:tblInd w:w="9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24"/>
              <w:gridCol w:w="1233"/>
              <w:gridCol w:w="1393"/>
              <w:gridCol w:w="29"/>
              <w:gridCol w:w="1423"/>
              <w:gridCol w:w="1634"/>
              <w:gridCol w:w="1739"/>
              <w:gridCol w:w="179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99" w:type="dxa"/>
                <w:trHeight w:val="340" w:hRule="atLeast"/>
              </w:trPr>
              <w:tc>
                <w:tcPr>
                  <w:tcW w:w="924" w:type="dxa"/>
                  <w:tcBorders>
                    <w:top w:val="single" w:color="000000" w:sz="12" w:space="0"/>
                    <w:left w:val="nil"/>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序号</w:t>
                  </w:r>
                </w:p>
              </w:tc>
              <w:tc>
                <w:tcPr>
                  <w:tcW w:w="1233" w:type="dxa"/>
                  <w:tcBorders>
                    <w:top w:val="single" w:color="000000" w:sz="12"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项目</w:t>
                  </w:r>
                </w:p>
              </w:tc>
              <w:tc>
                <w:tcPr>
                  <w:tcW w:w="1393" w:type="dxa"/>
                  <w:tcBorders>
                    <w:top w:val="single" w:color="000000" w:sz="12"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第一类</w:t>
                  </w:r>
                </w:p>
              </w:tc>
              <w:tc>
                <w:tcPr>
                  <w:tcW w:w="1452" w:type="dxa"/>
                  <w:gridSpan w:val="2"/>
                  <w:tcBorders>
                    <w:top w:val="single" w:color="000000" w:sz="12" w:space="0"/>
                    <w:left w:val="single" w:color="000000" w:sz="4" w:space="0"/>
                    <w:bottom w:val="single" w:color="000000" w:sz="4" w:space="0"/>
                    <w:right w:val="single" w:color="000000" w:sz="4" w:space="0"/>
                  </w:tcBorders>
                  <w:shd w:val="clear" w:color="auto" w:fill="D9D9D9"/>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第二类</w:t>
                  </w:r>
                </w:p>
              </w:tc>
              <w:tc>
                <w:tcPr>
                  <w:tcW w:w="1634" w:type="dxa"/>
                  <w:tcBorders>
                    <w:top w:val="single" w:color="000000" w:sz="12"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第三类</w:t>
                  </w:r>
                </w:p>
              </w:tc>
              <w:tc>
                <w:tcPr>
                  <w:tcW w:w="1739" w:type="dxa"/>
                  <w:tcBorders>
                    <w:top w:val="single" w:color="000000" w:sz="12" w:space="0"/>
                    <w:left w:val="single" w:color="000000" w:sz="4" w:space="0"/>
                    <w:bottom w:val="single" w:color="000000" w:sz="4" w:space="0"/>
                    <w:right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第四类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99" w:type="dxa"/>
                <w:trHeight w:val="335" w:hRule="atLeast"/>
              </w:trPr>
              <w:tc>
                <w:tcPr>
                  <w:tcW w:w="924" w:type="dxa"/>
                  <w:tcBorders>
                    <w:top w:val="single" w:color="000000" w:sz="4" w:space="0"/>
                    <w:left w:val="nil"/>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1233" w:type="dxa"/>
                  <w:tcBorders>
                    <w:top w:val="single" w:color="000000" w:sz="4"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溶解氧≥</w:t>
                  </w:r>
                </w:p>
              </w:tc>
              <w:tc>
                <w:tcPr>
                  <w:tcW w:w="1393" w:type="dxa"/>
                  <w:tcBorders>
                    <w:top w:val="single" w:color="000000" w:sz="4"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1452" w:type="dxa"/>
                  <w:gridSpan w:val="2"/>
                  <w:tcBorders>
                    <w:top w:val="single" w:color="000000" w:sz="4" w:space="0"/>
                    <w:left w:val="single" w:color="000000" w:sz="4" w:space="0"/>
                    <w:bottom w:val="single" w:color="000000" w:sz="4" w:space="0"/>
                    <w:right w:val="single" w:color="000000" w:sz="4" w:space="0"/>
                  </w:tcBorders>
                  <w:shd w:val="clear" w:color="auto" w:fill="D9D9D9"/>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1634" w:type="dxa"/>
                  <w:tcBorders>
                    <w:top w:val="single" w:color="000000" w:sz="4"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1739" w:type="dxa"/>
                  <w:tcBorders>
                    <w:top w:val="single" w:color="000000" w:sz="4" w:space="0"/>
                    <w:left w:val="single" w:color="000000" w:sz="4" w:space="0"/>
                    <w:bottom w:val="single" w:color="000000" w:sz="4" w:space="0"/>
                    <w:right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99" w:type="dxa"/>
                <w:trHeight w:val="335" w:hRule="atLeast"/>
              </w:trPr>
              <w:tc>
                <w:tcPr>
                  <w:tcW w:w="924" w:type="dxa"/>
                  <w:tcBorders>
                    <w:top w:val="single" w:color="000000" w:sz="4" w:space="0"/>
                    <w:left w:val="nil"/>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233" w:type="dxa"/>
                  <w:tcBorders>
                    <w:top w:val="single" w:color="000000" w:sz="4"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pH≤</w:t>
                  </w:r>
                </w:p>
              </w:tc>
              <w:tc>
                <w:tcPr>
                  <w:tcW w:w="2845" w:type="dxa"/>
                  <w:gridSpan w:val="3"/>
                  <w:tcBorders>
                    <w:top w:val="single" w:color="000000" w:sz="4" w:space="0"/>
                    <w:left w:val="single" w:color="000000" w:sz="4" w:space="0"/>
                    <w:bottom w:val="single" w:color="000000" w:sz="4" w:space="0"/>
                    <w:right w:val="single" w:color="000000" w:sz="4" w:space="0"/>
                  </w:tcBorders>
                  <w:shd w:val="clear" w:color="auto" w:fill="D9D9D9"/>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7.8-8.5</w:t>
                  </w:r>
                </w:p>
              </w:tc>
              <w:tc>
                <w:tcPr>
                  <w:tcW w:w="3373" w:type="dxa"/>
                  <w:gridSpan w:val="2"/>
                  <w:tcBorders>
                    <w:top w:val="single" w:color="000000" w:sz="4" w:space="0"/>
                    <w:left w:val="single" w:color="000000" w:sz="4" w:space="0"/>
                    <w:bottom w:val="single" w:color="000000" w:sz="4" w:space="0"/>
                    <w:right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6.8-8.8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99" w:type="dxa"/>
                <w:trHeight w:val="336" w:hRule="atLeast"/>
              </w:trPr>
              <w:tc>
                <w:tcPr>
                  <w:tcW w:w="924" w:type="dxa"/>
                  <w:tcBorders>
                    <w:top w:val="single" w:color="000000" w:sz="4" w:space="0"/>
                    <w:left w:val="nil"/>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1233" w:type="dxa"/>
                  <w:tcBorders>
                    <w:top w:val="single" w:color="000000" w:sz="4"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石油类≤</w:t>
                  </w:r>
                </w:p>
              </w:tc>
              <w:tc>
                <w:tcPr>
                  <w:tcW w:w="2845" w:type="dxa"/>
                  <w:gridSpan w:val="3"/>
                  <w:tcBorders>
                    <w:top w:val="single" w:color="000000" w:sz="4" w:space="0"/>
                    <w:left w:val="single" w:color="000000" w:sz="4" w:space="0"/>
                    <w:bottom w:val="single" w:color="000000" w:sz="4" w:space="0"/>
                    <w:right w:val="single" w:color="000000" w:sz="4" w:space="0"/>
                  </w:tcBorders>
                  <w:shd w:val="clear" w:color="auto" w:fill="D9D9D9"/>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0.05</w:t>
                  </w:r>
                </w:p>
              </w:tc>
              <w:tc>
                <w:tcPr>
                  <w:tcW w:w="1634" w:type="dxa"/>
                  <w:tcBorders>
                    <w:top w:val="single" w:color="000000" w:sz="4"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0.30</w:t>
                  </w:r>
                </w:p>
              </w:tc>
              <w:tc>
                <w:tcPr>
                  <w:tcW w:w="1739" w:type="dxa"/>
                  <w:tcBorders>
                    <w:top w:val="single" w:color="000000" w:sz="4" w:space="0"/>
                    <w:left w:val="single" w:color="000000" w:sz="4" w:space="0"/>
                    <w:bottom w:val="single" w:color="000000" w:sz="4" w:space="0"/>
                    <w:right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99" w:type="dxa"/>
                <w:trHeight w:val="335" w:hRule="atLeast"/>
              </w:trPr>
              <w:tc>
                <w:tcPr>
                  <w:tcW w:w="924" w:type="dxa"/>
                  <w:tcBorders>
                    <w:top w:val="single" w:color="000000" w:sz="4" w:space="0"/>
                    <w:left w:val="nil"/>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1233" w:type="dxa"/>
                  <w:tcBorders>
                    <w:top w:val="single" w:color="000000" w:sz="4"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悬浮物≤</w:t>
                  </w:r>
                </w:p>
              </w:tc>
              <w:tc>
                <w:tcPr>
                  <w:tcW w:w="2845" w:type="dxa"/>
                  <w:gridSpan w:val="3"/>
                  <w:tcBorders>
                    <w:top w:val="single" w:color="000000" w:sz="4" w:space="0"/>
                    <w:left w:val="single" w:color="000000" w:sz="4" w:space="0"/>
                    <w:bottom w:val="single" w:color="000000" w:sz="4" w:space="0"/>
                    <w:right w:val="single" w:color="000000" w:sz="4" w:space="0"/>
                  </w:tcBorders>
                  <w:shd w:val="clear" w:color="auto" w:fill="D9D9D9"/>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人为增量≤10</w:t>
                  </w:r>
                </w:p>
              </w:tc>
              <w:tc>
                <w:tcPr>
                  <w:tcW w:w="1634" w:type="dxa"/>
                  <w:tcBorders>
                    <w:top w:val="single" w:color="000000" w:sz="4"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人为增量≤100</w:t>
                  </w:r>
                </w:p>
              </w:tc>
              <w:tc>
                <w:tcPr>
                  <w:tcW w:w="1739" w:type="dxa"/>
                  <w:tcBorders>
                    <w:top w:val="single" w:color="000000" w:sz="4" w:space="0"/>
                    <w:left w:val="single" w:color="000000" w:sz="4" w:space="0"/>
                    <w:bottom w:val="single" w:color="000000" w:sz="4" w:space="0"/>
                    <w:right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人为增量≤100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99" w:type="dxa"/>
                <w:trHeight w:val="334" w:hRule="atLeast"/>
              </w:trPr>
              <w:tc>
                <w:tcPr>
                  <w:tcW w:w="924" w:type="dxa"/>
                  <w:tcBorders>
                    <w:top w:val="single" w:color="000000" w:sz="4" w:space="0"/>
                    <w:left w:val="nil"/>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1233" w:type="dxa"/>
                  <w:tcBorders>
                    <w:top w:val="single" w:color="000000" w:sz="4"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COD≤</w:t>
                  </w:r>
                </w:p>
              </w:tc>
              <w:tc>
                <w:tcPr>
                  <w:tcW w:w="1422" w:type="dxa"/>
                  <w:gridSpan w:val="2"/>
                  <w:tcBorders>
                    <w:top w:val="single" w:color="000000" w:sz="4"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423" w:type="dxa"/>
                  <w:tcBorders>
                    <w:top w:val="single" w:color="000000" w:sz="4" w:space="0"/>
                    <w:left w:val="single" w:color="000000" w:sz="4" w:space="0"/>
                    <w:bottom w:val="single" w:color="000000" w:sz="4" w:space="0"/>
                    <w:right w:val="single" w:color="000000" w:sz="4" w:space="0"/>
                  </w:tcBorders>
                  <w:shd w:val="clear" w:color="auto" w:fill="D9D9D9"/>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1634" w:type="dxa"/>
                  <w:tcBorders>
                    <w:top w:val="single" w:color="000000" w:sz="4"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1739" w:type="dxa"/>
                  <w:tcBorders>
                    <w:top w:val="single" w:color="000000" w:sz="4" w:space="0"/>
                    <w:left w:val="single" w:color="000000" w:sz="4" w:space="0"/>
                    <w:bottom w:val="single" w:color="000000" w:sz="4" w:space="0"/>
                    <w:right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99" w:type="dxa"/>
                <w:trHeight w:val="336" w:hRule="atLeast"/>
              </w:trPr>
              <w:tc>
                <w:tcPr>
                  <w:tcW w:w="924" w:type="dxa"/>
                  <w:tcBorders>
                    <w:top w:val="single" w:color="000000" w:sz="4" w:space="0"/>
                    <w:left w:val="nil"/>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1233" w:type="dxa"/>
                  <w:tcBorders>
                    <w:top w:val="single" w:color="000000" w:sz="4"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无机氮≤</w:t>
                  </w:r>
                </w:p>
              </w:tc>
              <w:tc>
                <w:tcPr>
                  <w:tcW w:w="1422" w:type="dxa"/>
                  <w:gridSpan w:val="2"/>
                  <w:tcBorders>
                    <w:top w:val="single" w:color="000000" w:sz="4"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0.20</w:t>
                  </w:r>
                </w:p>
              </w:tc>
              <w:tc>
                <w:tcPr>
                  <w:tcW w:w="1423" w:type="dxa"/>
                  <w:tcBorders>
                    <w:top w:val="single" w:color="000000" w:sz="4" w:space="0"/>
                    <w:left w:val="single" w:color="000000" w:sz="4" w:space="0"/>
                    <w:bottom w:val="single" w:color="000000" w:sz="4" w:space="0"/>
                    <w:right w:val="single" w:color="000000" w:sz="4" w:space="0"/>
                  </w:tcBorders>
                  <w:shd w:val="clear" w:color="auto" w:fill="D9D9D9"/>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0.30</w:t>
                  </w:r>
                </w:p>
              </w:tc>
              <w:tc>
                <w:tcPr>
                  <w:tcW w:w="1634" w:type="dxa"/>
                  <w:tcBorders>
                    <w:top w:val="single" w:color="000000" w:sz="4"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0.40</w:t>
                  </w:r>
                </w:p>
              </w:tc>
              <w:tc>
                <w:tcPr>
                  <w:tcW w:w="1739" w:type="dxa"/>
                  <w:tcBorders>
                    <w:top w:val="single" w:color="000000" w:sz="4" w:space="0"/>
                    <w:left w:val="single" w:color="000000" w:sz="4" w:space="0"/>
                    <w:bottom w:val="single" w:color="000000" w:sz="4" w:space="0"/>
                    <w:right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99" w:type="dxa"/>
                <w:trHeight w:val="90" w:hRule="atLeast"/>
              </w:trPr>
              <w:tc>
                <w:tcPr>
                  <w:tcW w:w="924" w:type="dxa"/>
                  <w:tcBorders>
                    <w:top w:val="single" w:color="000000" w:sz="4" w:space="0"/>
                    <w:left w:val="nil"/>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1233" w:type="dxa"/>
                  <w:tcBorders>
                    <w:top w:val="single" w:color="000000" w:sz="4"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活性磷酸</w:t>
                  </w:r>
                </w:p>
              </w:tc>
              <w:tc>
                <w:tcPr>
                  <w:tcW w:w="1422" w:type="dxa"/>
                  <w:gridSpan w:val="2"/>
                  <w:tcBorders>
                    <w:top w:val="single" w:color="000000" w:sz="4"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0.015</w:t>
                  </w:r>
                </w:p>
              </w:tc>
              <w:tc>
                <w:tcPr>
                  <w:tcW w:w="3057" w:type="dxa"/>
                  <w:gridSpan w:val="2"/>
                  <w:tcBorders>
                    <w:top w:val="single" w:color="000000" w:sz="4" w:space="0"/>
                    <w:left w:val="single" w:color="000000" w:sz="4" w:space="0"/>
                    <w:bottom w:val="single" w:color="000000" w:sz="4" w:space="0"/>
                    <w:right w:val="single" w:color="000000" w:sz="4" w:space="0"/>
                  </w:tcBorders>
                  <w:shd w:val="clear" w:color="auto" w:fill="D9D9D9"/>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0.030</w:t>
                  </w:r>
                </w:p>
              </w:tc>
              <w:tc>
                <w:tcPr>
                  <w:tcW w:w="1739" w:type="dxa"/>
                  <w:tcBorders>
                    <w:top w:val="single" w:color="000000" w:sz="4" w:space="0"/>
                    <w:left w:val="single" w:color="000000" w:sz="4" w:space="0"/>
                    <w:bottom w:val="single" w:color="000000" w:sz="4" w:space="0"/>
                    <w:right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99" w:type="dxa"/>
                <w:trHeight w:val="334" w:hRule="atLeast"/>
              </w:trPr>
              <w:tc>
                <w:tcPr>
                  <w:tcW w:w="924" w:type="dxa"/>
                  <w:tcBorders>
                    <w:top w:val="single" w:color="000000" w:sz="4" w:space="0"/>
                    <w:left w:val="nil"/>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w:t>
                  </w:r>
                </w:p>
              </w:tc>
              <w:tc>
                <w:tcPr>
                  <w:tcW w:w="1233" w:type="dxa"/>
                  <w:tcBorders>
                    <w:top w:val="single" w:color="000000" w:sz="4"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drawing>
                      <wp:inline distT="0" distB="0" distL="0" distR="0">
                        <wp:extent cx="127635" cy="171450"/>
                        <wp:effectExtent l="0" t="0" r="5715" b="0"/>
                        <wp:docPr id="119" name="IM 119"/>
                        <wp:cNvGraphicFramePr/>
                        <a:graphic xmlns:a="http://schemas.openxmlformats.org/drawingml/2006/main">
                          <a:graphicData uri="http://schemas.openxmlformats.org/drawingml/2006/picture">
                            <pic:pic xmlns:pic="http://schemas.openxmlformats.org/drawingml/2006/picture">
                              <pic:nvPicPr>
                                <pic:cNvPr id="119" name="IM 119"/>
                                <pic:cNvPicPr/>
                              </pic:nvPicPr>
                              <pic:blipFill>
                                <a:blip r:embed="rId21"/>
                                <a:stretch>
                                  <a:fillRect/>
                                </a:stretch>
                              </pic:blipFill>
                              <pic:spPr>
                                <a:xfrm>
                                  <a:off x="0" y="0"/>
                                  <a:ext cx="128149" cy="171729"/>
                                </a:xfrm>
                                <a:prstGeom prst="rect">
                                  <a:avLst/>
                                </a:prstGeom>
                              </pic:spPr>
                            </pic:pic>
                          </a:graphicData>
                        </a:graphic>
                      </wp:inline>
                    </w:drawing>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422" w:type="dxa"/>
                  <w:gridSpan w:val="2"/>
                  <w:tcBorders>
                    <w:top w:val="single" w:color="000000" w:sz="4"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0.005</w:t>
                  </w:r>
                </w:p>
              </w:tc>
              <w:tc>
                <w:tcPr>
                  <w:tcW w:w="1423" w:type="dxa"/>
                  <w:tcBorders>
                    <w:top w:val="single" w:color="000000" w:sz="4" w:space="0"/>
                    <w:left w:val="single" w:color="000000" w:sz="4" w:space="0"/>
                    <w:bottom w:val="single" w:color="000000" w:sz="4" w:space="0"/>
                    <w:right w:val="single" w:color="000000" w:sz="4" w:space="0"/>
                  </w:tcBorders>
                  <w:shd w:val="clear" w:color="auto" w:fill="D9D9D9"/>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0.010</w:t>
                  </w:r>
                </w:p>
              </w:tc>
              <w:tc>
                <w:tcPr>
                  <w:tcW w:w="3373" w:type="dxa"/>
                  <w:gridSpan w:val="2"/>
                  <w:tcBorders>
                    <w:top w:val="single" w:color="000000" w:sz="4" w:space="0"/>
                    <w:left w:val="single" w:color="000000" w:sz="4" w:space="0"/>
                    <w:bottom w:val="single" w:color="000000" w:sz="4" w:space="0"/>
                    <w:right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99" w:type="dxa"/>
                <w:trHeight w:val="336" w:hRule="atLeast"/>
              </w:trPr>
              <w:tc>
                <w:tcPr>
                  <w:tcW w:w="924" w:type="dxa"/>
                  <w:tcBorders>
                    <w:top w:val="single" w:color="000000" w:sz="4" w:space="0"/>
                    <w:left w:val="nil"/>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w:t>
                  </w:r>
                </w:p>
              </w:tc>
              <w:tc>
                <w:tcPr>
                  <w:tcW w:w="1233" w:type="dxa"/>
                  <w:tcBorders>
                    <w:top w:val="single" w:color="000000" w:sz="4"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铅≤</w:t>
                  </w:r>
                </w:p>
              </w:tc>
              <w:tc>
                <w:tcPr>
                  <w:tcW w:w="1422" w:type="dxa"/>
                  <w:gridSpan w:val="2"/>
                  <w:tcBorders>
                    <w:top w:val="single" w:color="000000" w:sz="4"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0.001</w:t>
                  </w:r>
                </w:p>
              </w:tc>
              <w:tc>
                <w:tcPr>
                  <w:tcW w:w="1423" w:type="dxa"/>
                  <w:tcBorders>
                    <w:top w:val="single" w:color="000000" w:sz="4" w:space="0"/>
                    <w:left w:val="single" w:color="000000" w:sz="4" w:space="0"/>
                    <w:bottom w:val="single" w:color="000000" w:sz="4" w:space="0"/>
                    <w:right w:val="single" w:color="000000" w:sz="4" w:space="0"/>
                  </w:tcBorders>
                  <w:shd w:val="clear" w:color="auto" w:fill="D9D9D9"/>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0.005</w:t>
                  </w:r>
                </w:p>
              </w:tc>
              <w:tc>
                <w:tcPr>
                  <w:tcW w:w="1634" w:type="dxa"/>
                  <w:tcBorders>
                    <w:top w:val="single" w:color="000000" w:sz="4"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0.010</w:t>
                  </w:r>
                </w:p>
              </w:tc>
              <w:tc>
                <w:tcPr>
                  <w:tcW w:w="1739" w:type="dxa"/>
                  <w:tcBorders>
                    <w:top w:val="single" w:color="000000" w:sz="4" w:space="0"/>
                    <w:left w:val="single" w:color="000000" w:sz="4" w:space="0"/>
                    <w:bottom w:val="single" w:color="000000" w:sz="4" w:space="0"/>
                    <w:right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99" w:type="dxa"/>
                <w:trHeight w:val="335" w:hRule="atLeast"/>
              </w:trPr>
              <w:tc>
                <w:tcPr>
                  <w:tcW w:w="924" w:type="dxa"/>
                  <w:tcBorders>
                    <w:top w:val="single" w:color="000000" w:sz="4" w:space="0"/>
                    <w:left w:val="nil"/>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1233" w:type="dxa"/>
                  <w:tcBorders>
                    <w:top w:val="single" w:color="000000" w:sz="4"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镉≤</w:t>
                  </w:r>
                </w:p>
              </w:tc>
              <w:tc>
                <w:tcPr>
                  <w:tcW w:w="1422" w:type="dxa"/>
                  <w:gridSpan w:val="2"/>
                  <w:tcBorders>
                    <w:top w:val="single" w:color="000000" w:sz="4"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0.001</w:t>
                  </w:r>
                </w:p>
              </w:tc>
              <w:tc>
                <w:tcPr>
                  <w:tcW w:w="1423" w:type="dxa"/>
                  <w:tcBorders>
                    <w:top w:val="single" w:color="000000" w:sz="4" w:space="0"/>
                    <w:left w:val="single" w:color="000000" w:sz="4" w:space="0"/>
                    <w:bottom w:val="single" w:color="000000" w:sz="4" w:space="0"/>
                    <w:right w:val="single" w:color="000000" w:sz="4" w:space="0"/>
                  </w:tcBorders>
                  <w:shd w:val="clear" w:color="auto" w:fill="D9D9D9"/>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0.005</w:t>
                  </w:r>
                </w:p>
              </w:tc>
              <w:tc>
                <w:tcPr>
                  <w:tcW w:w="3373" w:type="dxa"/>
                  <w:gridSpan w:val="2"/>
                  <w:tcBorders>
                    <w:top w:val="single" w:color="000000" w:sz="4" w:space="0"/>
                    <w:left w:val="single" w:color="000000" w:sz="4" w:space="0"/>
                    <w:bottom w:val="single" w:color="000000" w:sz="4" w:space="0"/>
                    <w:right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99" w:type="dxa"/>
                <w:trHeight w:val="335" w:hRule="atLeast"/>
              </w:trPr>
              <w:tc>
                <w:tcPr>
                  <w:tcW w:w="924" w:type="dxa"/>
                  <w:tcBorders>
                    <w:top w:val="single" w:color="000000" w:sz="4" w:space="0"/>
                    <w:left w:val="nil"/>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11</w:t>
                  </w:r>
                </w:p>
              </w:tc>
              <w:tc>
                <w:tcPr>
                  <w:tcW w:w="1233" w:type="dxa"/>
                  <w:tcBorders>
                    <w:top w:val="single" w:color="000000" w:sz="4"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锌≤</w:t>
                  </w:r>
                </w:p>
              </w:tc>
              <w:tc>
                <w:tcPr>
                  <w:tcW w:w="1422" w:type="dxa"/>
                  <w:gridSpan w:val="2"/>
                  <w:tcBorders>
                    <w:top w:val="single" w:color="000000" w:sz="4"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0.020</w:t>
                  </w:r>
                </w:p>
              </w:tc>
              <w:tc>
                <w:tcPr>
                  <w:tcW w:w="1423" w:type="dxa"/>
                  <w:tcBorders>
                    <w:top w:val="single" w:color="000000" w:sz="4" w:space="0"/>
                    <w:left w:val="single" w:color="000000" w:sz="4" w:space="0"/>
                    <w:bottom w:val="single" w:color="000000" w:sz="4" w:space="0"/>
                    <w:right w:val="single" w:color="000000" w:sz="4" w:space="0"/>
                  </w:tcBorders>
                  <w:shd w:val="clear" w:color="auto" w:fill="D9D9D9"/>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0.050</w:t>
                  </w:r>
                </w:p>
              </w:tc>
              <w:tc>
                <w:tcPr>
                  <w:tcW w:w="1634" w:type="dxa"/>
                  <w:tcBorders>
                    <w:top w:val="single" w:color="000000" w:sz="4"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0.10</w:t>
                  </w:r>
                </w:p>
              </w:tc>
              <w:tc>
                <w:tcPr>
                  <w:tcW w:w="1739" w:type="dxa"/>
                  <w:tcBorders>
                    <w:top w:val="single" w:color="000000" w:sz="4" w:space="0"/>
                    <w:left w:val="single" w:color="000000" w:sz="4" w:space="0"/>
                    <w:bottom w:val="single" w:color="000000" w:sz="4" w:space="0"/>
                    <w:right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99" w:type="dxa"/>
                <w:trHeight w:val="336" w:hRule="atLeast"/>
              </w:trPr>
              <w:tc>
                <w:tcPr>
                  <w:tcW w:w="924" w:type="dxa"/>
                  <w:tcBorders>
                    <w:top w:val="single" w:color="000000" w:sz="4" w:space="0"/>
                    <w:left w:val="nil"/>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12</w:t>
                  </w:r>
                </w:p>
              </w:tc>
              <w:tc>
                <w:tcPr>
                  <w:tcW w:w="1233" w:type="dxa"/>
                  <w:tcBorders>
                    <w:top w:val="single" w:color="000000" w:sz="4"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总铬≤</w:t>
                  </w:r>
                </w:p>
              </w:tc>
              <w:tc>
                <w:tcPr>
                  <w:tcW w:w="1422" w:type="dxa"/>
                  <w:gridSpan w:val="2"/>
                  <w:tcBorders>
                    <w:top w:val="single" w:color="000000" w:sz="4"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0.05</w:t>
                  </w:r>
                </w:p>
              </w:tc>
              <w:tc>
                <w:tcPr>
                  <w:tcW w:w="1423" w:type="dxa"/>
                  <w:tcBorders>
                    <w:top w:val="single" w:color="000000" w:sz="4" w:space="0"/>
                    <w:left w:val="single" w:color="000000" w:sz="4" w:space="0"/>
                    <w:bottom w:val="single" w:color="000000" w:sz="4" w:space="0"/>
                    <w:right w:val="single" w:color="000000" w:sz="4" w:space="0"/>
                  </w:tcBorders>
                  <w:shd w:val="clear" w:color="auto" w:fill="D9D9D9"/>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0.10</w:t>
                  </w:r>
                </w:p>
              </w:tc>
              <w:tc>
                <w:tcPr>
                  <w:tcW w:w="1634" w:type="dxa"/>
                  <w:tcBorders>
                    <w:top w:val="single" w:color="000000" w:sz="4"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0.20</w:t>
                  </w:r>
                </w:p>
              </w:tc>
              <w:tc>
                <w:tcPr>
                  <w:tcW w:w="1739" w:type="dxa"/>
                  <w:tcBorders>
                    <w:top w:val="single" w:color="000000" w:sz="4" w:space="0"/>
                    <w:left w:val="single" w:color="000000" w:sz="4" w:space="0"/>
                    <w:bottom w:val="single" w:color="000000" w:sz="4" w:space="0"/>
                    <w:right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99" w:type="dxa"/>
                <w:trHeight w:val="334" w:hRule="atLeast"/>
              </w:trPr>
              <w:tc>
                <w:tcPr>
                  <w:tcW w:w="924" w:type="dxa"/>
                  <w:tcBorders>
                    <w:top w:val="single" w:color="000000" w:sz="4" w:space="0"/>
                    <w:left w:val="nil"/>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序号</w:t>
                  </w:r>
                </w:p>
              </w:tc>
              <w:tc>
                <w:tcPr>
                  <w:tcW w:w="1233" w:type="dxa"/>
                  <w:tcBorders>
                    <w:top w:val="single" w:color="000000" w:sz="4"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项目</w:t>
                  </w:r>
                </w:p>
              </w:tc>
              <w:tc>
                <w:tcPr>
                  <w:tcW w:w="1422" w:type="dxa"/>
                  <w:gridSpan w:val="2"/>
                  <w:tcBorders>
                    <w:top w:val="single" w:color="000000" w:sz="4"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第一类</w:t>
                  </w:r>
                </w:p>
              </w:tc>
              <w:tc>
                <w:tcPr>
                  <w:tcW w:w="1423" w:type="dxa"/>
                  <w:tcBorders>
                    <w:top w:val="single" w:color="000000" w:sz="4" w:space="0"/>
                    <w:left w:val="single" w:color="000000" w:sz="4" w:space="0"/>
                    <w:bottom w:val="single" w:color="000000" w:sz="4" w:space="0"/>
                    <w:right w:val="single" w:color="000000" w:sz="4" w:space="0"/>
                  </w:tcBorders>
                  <w:shd w:val="clear" w:color="auto" w:fill="D9D9D9"/>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第二类</w:t>
                  </w:r>
                </w:p>
              </w:tc>
              <w:tc>
                <w:tcPr>
                  <w:tcW w:w="1634" w:type="dxa"/>
                  <w:tcBorders>
                    <w:top w:val="single" w:color="000000" w:sz="4"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第三类</w:t>
                  </w:r>
                </w:p>
              </w:tc>
              <w:tc>
                <w:tcPr>
                  <w:tcW w:w="1739" w:type="dxa"/>
                  <w:tcBorders>
                    <w:top w:val="single" w:color="000000" w:sz="4" w:space="0"/>
                    <w:left w:val="single" w:color="000000" w:sz="4" w:space="0"/>
                    <w:bottom w:val="single" w:color="000000" w:sz="4" w:space="0"/>
                    <w:right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第四类</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99" w:type="dxa"/>
                <w:trHeight w:val="334" w:hRule="atLeast"/>
              </w:trPr>
              <w:tc>
                <w:tcPr>
                  <w:tcW w:w="924" w:type="dxa"/>
                  <w:tcBorders>
                    <w:top w:val="single" w:color="000000" w:sz="4" w:space="0"/>
                    <w:left w:val="nil"/>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13</w:t>
                  </w:r>
                </w:p>
              </w:tc>
              <w:tc>
                <w:tcPr>
                  <w:tcW w:w="1233" w:type="dxa"/>
                  <w:tcBorders>
                    <w:top w:val="single" w:color="000000" w:sz="4"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汞≤</w:t>
                  </w:r>
                </w:p>
              </w:tc>
              <w:tc>
                <w:tcPr>
                  <w:tcW w:w="1422" w:type="dxa"/>
                  <w:gridSpan w:val="2"/>
                  <w:tcBorders>
                    <w:top w:val="single" w:color="000000" w:sz="4"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0.00005</w:t>
                  </w:r>
                </w:p>
              </w:tc>
              <w:tc>
                <w:tcPr>
                  <w:tcW w:w="3057" w:type="dxa"/>
                  <w:gridSpan w:val="2"/>
                  <w:tcBorders>
                    <w:top w:val="single" w:color="000000" w:sz="4" w:space="0"/>
                    <w:left w:val="single" w:color="000000" w:sz="4" w:space="0"/>
                    <w:bottom w:val="single" w:color="000000" w:sz="4" w:space="0"/>
                    <w:right w:val="single" w:color="000000" w:sz="4" w:space="0"/>
                  </w:tcBorders>
                  <w:shd w:val="clear" w:color="auto" w:fill="D9D9D9"/>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0.0002</w:t>
                  </w:r>
                </w:p>
              </w:tc>
              <w:tc>
                <w:tcPr>
                  <w:tcW w:w="1739" w:type="dxa"/>
                  <w:tcBorders>
                    <w:top w:val="single" w:color="000000" w:sz="4" w:space="0"/>
                    <w:left w:val="single" w:color="000000" w:sz="4" w:space="0"/>
                    <w:bottom w:val="single" w:color="000000" w:sz="4" w:space="0"/>
                    <w:right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99" w:type="dxa"/>
                <w:trHeight w:val="331" w:hRule="atLeast"/>
              </w:trPr>
              <w:tc>
                <w:tcPr>
                  <w:tcW w:w="924" w:type="dxa"/>
                  <w:tcBorders>
                    <w:top w:val="single" w:color="000000" w:sz="4" w:space="0"/>
                    <w:left w:val="nil"/>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14</w:t>
                  </w:r>
                </w:p>
              </w:tc>
              <w:tc>
                <w:tcPr>
                  <w:tcW w:w="1233" w:type="dxa"/>
                  <w:tcBorders>
                    <w:top w:val="single" w:color="000000" w:sz="4"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砷≤</w:t>
                  </w:r>
                </w:p>
              </w:tc>
              <w:tc>
                <w:tcPr>
                  <w:tcW w:w="1422" w:type="dxa"/>
                  <w:gridSpan w:val="2"/>
                  <w:tcBorders>
                    <w:top w:val="single" w:color="000000" w:sz="4"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0.020</w:t>
                  </w:r>
                </w:p>
              </w:tc>
              <w:tc>
                <w:tcPr>
                  <w:tcW w:w="1423" w:type="dxa"/>
                  <w:tcBorders>
                    <w:top w:val="single" w:color="000000" w:sz="4" w:space="0"/>
                    <w:left w:val="single" w:color="000000" w:sz="4" w:space="0"/>
                    <w:bottom w:val="single" w:color="000000" w:sz="4" w:space="0"/>
                    <w:right w:val="single" w:color="000000" w:sz="4" w:space="0"/>
                  </w:tcBorders>
                  <w:shd w:val="clear" w:color="auto" w:fill="D9D9D9"/>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0.030</w:t>
                  </w:r>
                </w:p>
              </w:tc>
              <w:tc>
                <w:tcPr>
                  <w:tcW w:w="3373" w:type="dxa"/>
                  <w:gridSpan w:val="2"/>
                  <w:tcBorders>
                    <w:top w:val="single" w:color="000000" w:sz="4" w:space="0"/>
                    <w:left w:val="single" w:color="000000" w:sz="4" w:space="0"/>
                    <w:bottom w:val="single" w:color="000000" w:sz="4" w:space="0"/>
                    <w:right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 w:hRule="atLeast"/>
              </w:trPr>
              <w:tc>
                <w:tcPr>
                  <w:tcW w:w="924" w:type="dxa"/>
                  <w:tcBorders>
                    <w:top w:val="single" w:color="000000" w:sz="4" w:space="0"/>
                    <w:left w:val="nil"/>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1233" w:type="dxa"/>
                  <w:tcBorders>
                    <w:top w:val="single" w:color="000000" w:sz="4"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硫化物≤</w:t>
                  </w:r>
                </w:p>
              </w:tc>
              <w:tc>
                <w:tcPr>
                  <w:tcW w:w="1422" w:type="dxa"/>
                  <w:gridSpan w:val="2"/>
                  <w:tcBorders>
                    <w:top w:val="single" w:color="000000" w:sz="4" w:space="0"/>
                    <w:left w:val="single" w:color="000000" w:sz="4" w:space="0"/>
                    <w:bottom w:val="single" w:color="000000" w:sz="4"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0.02</w:t>
                  </w:r>
                </w:p>
              </w:tc>
              <w:tc>
                <w:tcPr>
                  <w:tcW w:w="1423" w:type="dxa"/>
                  <w:tcBorders>
                    <w:top w:val="single" w:color="000000" w:sz="4" w:space="0"/>
                    <w:left w:val="single" w:color="000000" w:sz="4" w:space="0"/>
                    <w:bottom w:val="single" w:color="000000" w:sz="4" w:space="0"/>
                    <w:right w:val="single" w:color="000000" w:sz="4" w:space="0"/>
                  </w:tcBorders>
                  <w:shd w:val="clear" w:color="auto" w:fill="D9D9D9"/>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0.05</w:t>
                  </w:r>
                </w:p>
              </w:tc>
              <w:tc>
                <w:tcPr>
                  <w:tcW w:w="3373" w:type="dxa"/>
                  <w:gridSpan w:val="2"/>
                  <w:tcBorders>
                    <w:top w:val="single" w:color="000000" w:sz="4" w:space="0"/>
                    <w:left w:val="single" w:color="000000" w:sz="4" w:space="0"/>
                    <w:bottom w:val="single" w:color="000000" w:sz="4" w:space="0"/>
                    <w:right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0.10</w:t>
                  </w:r>
                </w:p>
              </w:tc>
              <w:tc>
                <w:tcPr>
                  <w:tcW w:w="1799" w:type="dxa"/>
                  <w:tcBorders>
                    <w:right w:val="nil"/>
                  </w:tcBorders>
                  <w:vAlign w:val="top"/>
                </w:tcPr>
                <w:p>
                  <w:pPr>
                    <w:pageBreakBefore w:val="0"/>
                    <w:kinsoku/>
                    <w:bidi w:val="0"/>
                    <w:spacing w:beforeAutospacing="0" w:afterAutospacing="0" w:line="188" w:lineRule="auto"/>
                    <w:ind w:left="668" w:leftChars="0"/>
                    <w:rPr>
                      <w:rFonts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ascii="Times New Roman" w:hAnsi="Times New Roman" w:eastAsia="宋体" w:cs="Times New Roman"/>
                      <w:color w:val="000000" w:themeColor="text1"/>
                      <w:spacing w:val="-2"/>
                      <w:sz w:val="21"/>
                      <w:szCs w:val="21"/>
                      <w14:textFill>
                        <w14:solidFill>
                          <w14:schemeClr w14:val="tx1"/>
                        </w14:solidFill>
                      </w14:textFill>
                    </w:rPr>
                    <w:t>0.2</w:t>
                  </w:r>
                  <w:r>
                    <w:rPr>
                      <w:rFonts w:ascii="Times New Roman" w:hAnsi="Times New Roman" w:eastAsia="宋体" w:cs="Times New Roman"/>
                      <w:color w:val="000000" w:themeColor="text1"/>
                      <w:spacing w:val="-1"/>
                      <w:sz w:val="21"/>
                      <w:szCs w:val="21"/>
                      <w14:textFill>
                        <w14:solidFill>
                          <w14:schemeClr w14:val="tx1"/>
                        </w14:solidFill>
                      </w14:textFill>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1799" w:type="dxa"/>
                <w:trHeight w:val="331" w:hRule="atLeast"/>
              </w:trPr>
              <w:tc>
                <w:tcPr>
                  <w:tcW w:w="924" w:type="dxa"/>
                  <w:tcBorders>
                    <w:top w:val="single" w:color="000000" w:sz="4" w:space="0"/>
                    <w:left w:val="nil"/>
                    <w:bottom w:val="single" w:color="000000" w:sz="12"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16</w:t>
                  </w:r>
                </w:p>
              </w:tc>
              <w:tc>
                <w:tcPr>
                  <w:tcW w:w="1233" w:type="dxa"/>
                  <w:tcBorders>
                    <w:top w:val="single" w:color="000000" w:sz="4" w:space="0"/>
                    <w:left w:val="single" w:color="000000" w:sz="4" w:space="0"/>
                    <w:bottom w:val="single" w:color="000000" w:sz="12"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挥发性酚≤</w:t>
                  </w:r>
                </w:p>
              </w:tc>
              <w:tc>
                <w:tcPr>
                  <w:tcW w:w="1422" w:type="dxa"/>
                  <w:gridSpan w:val="2"/>
                  <w:tcBorders>
                    <w:top w:val="single" w:color="000000" w:sz="4" w:space="0"/>
                    <w:left w:val="single" w:color="000000" w:sz="4" w:space="0"/>
                    <w:bottom w:val="single" w:color="000000" w:sz="12" w:space="0"/>
                    <w:right w:val="single" w:color="000000" w:sz="4" w:space="0"/>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0.005</w:t>
                  </w:r>
                </w:p>
              </w:tc>
              <w:tc>
                <w:tcPr>
                  <w:tcW w:w="1423" w:type="dxa"/>
                  <w:tcBorders>
                    <w:top w:val="single" w:color="000000" w:sz="4" w:space="0"/>
                    <w:left w:val="single" w:color="000000" w:sz="4" w:space="0"/>
                    <w:bottom w:val="single" w:color="000000" w:sz="12" w:space="0"/>
                    <w:right w:val="single" w:color="000000" w:sz="4" w:space="0"/>
                  </w:tcBorders>
                  <w:shd w:val="clear" w:color="auto" w:fill="D9D9D9"/>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0.010</w:t>
                  </w:r>
                </w:p>
              </w:tc>
              <w:tc>
                <w:tcPr>
                  <w:tcW w:w="3373" w:type="dxa"/>
                  <w:gridSpan w:val="2"/>
                  <w:tcBorders>
                    <w:top w:val="single" w:color="000000" w:sz="4" w:space="0"/>
                    <w:left w:val="single" w:color="000000" w:sz="4" w:space="0"/>
                    <w:bottom w:val="single" w:color="000000" w:sz="12" w:space="0"/>
                    <w:right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0.050</w:t>
                  </w:r>
                </w:p>
              </w:tc>
            </w:tr>
          </w:tbl>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82" w:firstLineChars="200"/>
              <w:jc w:val="center"/>
              <w:textAlignment w:val="baseline"/>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表</w:t>
            </w:r>
            <w:r>
              <w:rPr>
                <w:rFonts w:hint="eastAsia" w:ascii="Times New Roman" w:hAnsi="Times New Roman" w:eastAsia="宋体" w:cs="Times New Roman"/>
                <w:b/>
                <w:color w:val="000000" w:themeColor="text1"/>
                <w:sz w:val="24"/>
                <w:highlight w:val="none"/>
                <w:lang w:val="en-US" w:eastAsia="zh-CN"/>
                <w14:textFill>
                  <w14:solidFill>
                    <w14:schemeClr w14:val="tx1"/>
                  </w14:solidFill>
                </w14:textFill>
              </w:rPr>
              <w:t>3.6-2</w:t>
            </w:r>
            <w:r>
              <w:rPr>
                <w:rFonts w:hint="default" w:ascii="Times New Roman" w:hAnsi="Times New Roman" w:eastAsia="宋体" w:cs="Times New Roman"/>
                <w:b/>
                <w:color w:val="000000" w:themeColor="text1"/>
                <w:sz w:val="24"/>
                <w:highlight w:val="none"/>
                <w14:textFill>
                  <w14:solidFill>
                    <w14:schemeClr w14:val="tx1"/>
                  </w14:solidFill>
                </w14:textFill>
              </w:rPr>
              <w:t xml:space="preserve">  海洋沉积物质量(GB18668-2002)单位：mg/kg (有机碳：%)</w:t>
            </w:r>
          </w:p>
          <w:tbl>
            <w:tblPr>
              <w:tblStyle w:val="34"/>
              <w:tblW w:w="842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05"/>
              <w:gridCol w:w="2106"/>
              <w:gridCol w:w="2106"/>
              <w:gridCol w:w="21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05" w:type="dxa"/>
                  <w:vMerge w:val="restart"/>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项目</w:t>
                  </w:r>
                </w:p>
              </w:tc>
              <w:tc>
                <w:tcPr>
                  <w:tcW w:w="6323" w:type="dxa"/>
                  <w:gridSpan w:val="3"/>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评价单位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05" w:type="dxa"/>
                  <w:vMerge w:val="continue"/>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2106"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第一类</w:t>
                  </w:r>
                </w:p>
              </w:tc>
              <w:tc>
                <w:tcPr>
                  <w:tcW w:w="2106"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第二类</w:t>
                  </w:r>
                </w:p>
              </w:tc>
              <w:tc>
                <w:tcPr>
                  <w:tcW w:w="2111"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第三类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05"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硫化物</w:t>
                  </w:r>
                </w:p>
              </w:tc>
              <w:tc>
                <w:tcPr>
                  <w:tcW w:w="2106"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≤300</w:t>
                  </w:r>
                </w:p>
              </w:tc>
              <w:tc>
                <w:tcPr>
                  <w:tcW w:w="2106"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≤500</w:t>
                  </w:r>
                </w:p>
              </w:tc>
              <w:tc>
                <w:tcPr>
                  <w:tcW w:w="2111"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05"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有机碳</w:t>
                  </w:r>
                </w:p>
              </w:tc>
              <w:tc>
                <w:tcPr>
                  <w:tcW w:w="2106"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2106"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≤3.0</w:t>
                  </w:r>
                </w:p>
              </w:tc>
              <w:tc>
                <w:tcPr>
                  <w:tcW w:w="2111"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05"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石油类</w:t>
                  </w:r>
                </w:p>
              </w:tc>
              <w:tc>
                <w:tcPr>
                  <w:tcW w:w="2106"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≤500</w:t>
                  </w:r>
                </w:p>
              </w:tc>
              <w:tc>
                <w:tcPr>
                  <w:tcW w:w="2106"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≤1000</w:t>
                  </w:r>
                </w:p>
              </w:tc>
              <w:tc>
                <w:tcPr>
                  <w:tcW w:w="2111"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05"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总汞</w:t>
                  </w:r>
                </w:p>
              </w:tc>
              <w:tc>
                <w:tcPr>
                  <w:tcW w:w="2106"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≤0.2</w:t>
                  </w:r>
                </w:p>
              </w:tc>
              <w:tc>
                <w:tcPr>
                  <w:tcW w:w="2106"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≤0.5</w:t>
                  </w:r>
                </w:p>
              </w:tc>
              <w:tc>
                <w:tcPr>
                  <w:tcW w:w="2111"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05"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铜</w:t>
                  </w:r>
                </w:p>
              </w:tc>
              <w:tc>
                <w:tcPr>
                  <w:tcW w:w="2106"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≤35</w:t>
                  </w:r>
                </w:p>
              </w:tc>
              <w:tc>
                <w:tcPr>
                  <w:tcW w:w="2106"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≤100</w:t>
                  </w:r>
                </w:p>
              </w:tc>
              <w:tc>
                <w:tcPr>
                  <w:tcW w:w="2111"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05"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铅</w:t>
                  </w:r>
                </w:p>
              </w:tc>
              <w:tc>
                <w:tcPr>
                  <w:tcW w:w="2106"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≤60</w:t>
                  </w:r>
                </w:p>
              </w:tc>
              <w:tc>
                <w:tcPr>
                  <w:tcW w:w="2106"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≤130</w:t>
                  </w:r>
                </w:p>
              </w:tc>
              <w:tc>
                <w:tcPr>
                  <w:tcW w:w="2111"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05"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镉</w:t>
                  </w:r>
                </w:p>
              </w:tc>
              <w:tc>
                <w:tcPr>
                  <w:tcW w:w="2106"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≤0.5</w:t>
                  </w:r>
                </w:p>
              </w:tc>
              <w:tc>
                <w:tcPr>
                  <w:tcW w:w="2106"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2111"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05"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锌</w:t>
                  </w:r>
                </w:p>
              </w:tc>
              <w:tc>
                <w:tcPr>
                  <w:tcW w:w="2106"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≤150</w:t>
                  </w:r>
                </w:p>
              </w:tc>
              <w:tc>
                <w:tcPr>
                  <w:tcW w:w="2106"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≤350</w:t>
                  </w:r>
                </w:p>
              </w:tc>
              <w:tc>
                <w:tcPr>
                  <w:tcW w:w="2111"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05"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铬</w:t>
                  </w:r>
                </w:p>
              </w:tc>
              <w:tc>
                <w:tcPr>
                  <w:tcW w:w="2106"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≤80</w:t>
                  </w:r>
                </w:p>
              </w:tc>
              <w:tc>
                <w:tcPr>
                  <w:tcW w:w="2106"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≤150</w:t>
                  </w:r>
                </w:p>
              </w:tc>
              <w:tc>
                <w:tcPr>
                  <w:tcW w:w="2111"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05"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砷</w:t>
                  </w:r>
                </w:p>
              </w:tc>
              <w:tc>
                <w:tcPr>
                  <w:tcW w:w="2106"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2106"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≤65</w:t>
                  </w:r>
                </w:p>
              </w:tc>
              <w:tc>
                <w:tcPr>
                  <w:tcW w:w="2111"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≤93</w:t>
                  </w:r>
                </w:p>
              </w:tc>
            </w:tr>
          </w:tbl>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82" w:firstLineChars="200"/>
              <w:jc w:val="center"/>
              <w:textAlignment w:val="baseline"/>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表</w:t>
            </w:r>
            <w:r>
              <w:rPr>
                <w:rFonts w:hint="eastAsia" w:ascii="Times New Roman" w:hAnsi="Times New Roman" w:eastAsia="宋体" w:cs="Times New Roman"/>
                <w:b/>
                <w:color w:val="000000" w:themeColor="text1"/>
                <w:sz w:val="24"/>
                <w:highlight w:val="none"/>
                <w:lang w:val="en-US" w:eastAsia="zh-CN"/>
                <w14:textFill>
                  <w14:solidFill>
                    <w14:schemeClr w14:val="tx1"/>
                  </w14:solidFill>
                </w14:textFill>
              </w:rPr>
              <w:t>3.6-3</w:t>
            </w:r>
            <w:r>
              <w:rPr>
                <w:rFonts w:hint="default" w:ascii="Times New Roman" w:hAnsi="Times New Roman" w:eastAsia="宋体" w:cs="Times New Roman"/>
                <w:b/>
                <w:color w:val="000000" w:themeColor="text1"/>
                <w:sz w:val="24"/>
                <w:highlight w:val="none"/>
                <w14:textFill>
                  <w14:solidFill>
                    <w14:schemeClr w14:val="tx1"/>
                  </w14:solidFill>
                </w14:textFill>
              </w:rPr>
              <w:t xml:space="preserve"> </w:t>
            </w:r>
            <w:bookmarkEnd w:id="27"/>
            <w:bookmarkEnd w:id="28"/>
            <w:bookmarkStart w:id="29" w:name="_Toc12240"/>
            <w:bookmarkStart w:id="30" w:name="_Toc8220"/>
            <w:r>
              <w:rPr>
                <w:rFonts w:hint="default" w:ascii="Times New Roman" w:hAnsi="Times New Roman" w:eastAsia="宋体" w:cs="Times New Roman"/>
                <w:b/>
                <w:color w:val="000000" w:themeColor="text1"/>
                <w:sz w:val="24"/>
                <w:highlight w:val="none"/>
                <w14:textFill>
                  <w14:solidFill>
                    <w14:schemeClr w14:val="tx1"/>
                  </w14:solidFill>
                </w14:textFill>
              </w:rPr>
              <w:t>海洋生物质量(GB18421-2001) 单位：mg/kg(鲜重)</w:t>
            </w:r>
          </w:p>
          <w:tbl>
            <w:tblPr>
              <w:tblStyle w:val="34"/>
              <w:tblW w:w="843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07"/>
              <w:gridCol w:w="2066"/>
              <w:gridCol w:w="2073"/>
              <w:gridCol w:w="21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107" w:type="dxa"/>
                  <w:vMerge w:val="restart"/>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项目</w:t>
                  </w:r>
                </w:p>
              </w:tc>
              <w:tc>
                <w:tcPr>
                  <w:tcW w:w="6328" w:type="dxa"/>
                  <w:gridSpan w:val="3"/>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评价标准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07" w:type="dxa"/>
                  <w:vMerge w:val="continue"/>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2066"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第一类</w:t>
                  </w:r>
                </w:p>
              </w:tc>
              <w:tc>
                <w:tcPr>
                  <w:tcW w:w="2073"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第二类</w:t>
                  </w:r>
                </w:p>
              </w:tc>
              <w:tc>
                <w:tcPr>
                  <w:tcW w:w="2189"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第三类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07" w:type="dxa"/>
                  <w:tcBorders>
                    <w:tl2br w:val="nil"/>
                    <w:tr2bl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总汞</w:t>
                  </w:r>
                </w:p>
              </w:tc>
              <w:tc>
                <w:tcPr>
                  <w:tcW w:w="2066" w:type="dxa"/>
                  <w:tcBorders>
                    <w:tl2br w:val="nil"/>
                    <w:tr2bl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≤0.05</w:t>
                  </w:r>
                </w:p>
              </w:tc>
              <w:tc>
                <w:tcPr>
                  <w:tcW w:w="2073" w:type="dxa"/>
                  <w:tcBorders>
                    <w:tl2br w:val="nil"/>
                    <w:tr2bl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 10</w:t>
                  </w:r>
                </w:p>
              </w:tc>
              <w:tc>
                <w:tcPr>
                  <w:tcW w:w="2189" w:type="dxa"/>
                  <w:tcBorders>
                    <w:tl2br w:val="nil"/>
                    <w:tr2bl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07" w:type="dxa"/>
                  <w:tcBorders>
                    <w:tl2br w:val="nil"/>
                    <w:tr2bl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镉</w:t>
                  </w:r>
                </w:p>
              </w:tc>
              <w:tc>
                <w:tcPr>
                  <w:tcW w:w="2066" w:type="dxa"/>
                  <w:tcBorders>
                    <w:tl2br w:val="nil"/>
                    <w:tr2bl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≤0.2</w:t>
                  </w:r>
                </w:p>
              </w:tc>
              <w:tc>
                <w:tcPr>
                  <w:tcW w:w="2073" w:type="dxa"/>
                  <w:tcBorders>
                    <w:tl2br w:val="nil"/>
                    <w:tr2bl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2189" w:type="dxa"/>
                  <w:tcBorders>
                    <w:tl2br w:val="nil"/>
                    <w:tr2bl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07" w:type="dxa"/>
                  <w:tcBorders>
                    <w:tl2br w:val="nil"/>
                    <w:tr2bl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铅</w:t>
                  </w:r>
                </w:p>
              </w:tc>
              <w:tc>
                <w:tcPr>
                  <w:tcW w:w="2066" w:type="dxa"/>
                  <w:tcBorders>
                    <w:tl2br w:val="nil"/>
                    <w:tr2bl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 1</w:t>
                  </w:r>
                </w:p>
              </w:tc>
              <w:tc>
                <w:tcPr>
                  <w:tcW w:w="2073" w:type="dxa"/>
                  <w:tcBorders>
                    <w:tl2br w:val="nil"/>
                    <w:tr2bl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2189" w:type="dxa"/>
                  <w:tcBorders>
                    <w:tl2br w:val="nil"/>
                    <w:tr2bl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07" w:type="dxa"/>
                  <w:tcBorders>
                    <w:tl2br w:val="nil"/>
                    <w:tr2bl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锌</w:t>
                  </w:r>
                </w:p>
              </w:tc>
              <w:tc>
                <w:tcPr>
                  <w:tcW w:w="2066" w:type="dxa"/>
                  <w:tcBorders>
                    <w:tl2br w:val="nil"/>
                    <w:tr2bl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2073" w:type="dxa"/>
                  <w:tcBorders>
                    <w:tl2br w:val="nil"/>
                    <w:tr2bl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w:t>
                  </w:r>
                </w:p>
              </w:tc>
              <w:tc>
                <w:tcPr>
                  <w:tcW w:w="2189" w:type="dxa"/>
                  <w:tcBorders>
                    <w:tl2br w:val="nil"/>
                    <w:tr2bl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≤100(牡蛎500)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07" w:type="dxa"/>
                  <w:tcBorders>
                    <w:tl2br w:val="nil"/>
                    <w:tr2bl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铜</w:t>
                  </w:r>
                </w:p>
              </w:tc>
              <w:tc>
                <w:tcPr>
                  <w:tcW w:w="2066" w:type="dxa"/>
                  <w:tcBorders>
                    <w:tl2br w:val="nil"/>
                    <w:tr2bl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2073" w:type="dxa"/>
                  <w:tcBorders>
                    <w:tl2br w:val="nil"/>
                    <w:tr2bl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w:t>
                  </w:r>
                </w:p>
              </w:tc>
              <w:tc>
                <w:tcPr>
                  <w:tcW w:w="2189" w:type="dxa"/>
                  <w:tcBorders>
                    <w:tl2br w:val="nil"/>
                    <w:tr2bl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≤50(牡蛎100)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07" w:type="dxa"/>
                  <w:tcBorders>
                    <w:tl2br w:val="nil"/>
                    <w:tr2bl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砷</w:t>
                  </w:r>
                </w:p>
              </w:tc>
              <w:tc>
                <w:tcPr>
                  <w:tcW w:w="2066" w:type="dxa"/>
                  <w:tcBorders>
                    <w:tl2br w:val="nil"/>
                    <w:tr2bl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2073" w:type="dxa"/>
                  <w:tcBorders>
                    <w:tl2br w:val="nil"/>
                    <w:tr2bl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w:t>
                  </w:r>
                </w:p>
              </w:tc>
              <w:tc>
                <w:tcPr>
                  <w:tcW w:w="2189" w:type="dxa"/>
                  <w:tcBorders>
                    <w:tl2br w:val="nil"/>
                    <w:tr2bl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07" w:type="dxa"/>
                  <w:tcBorders>
                    <w:tl2br w:val="nil"/>
                    <w:tr2bl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铬</w:t>
                  </w:r>
                </w:p>
              </w:tc>
              <w:tc>
                <w:tcPr>
                  <w:tcW w:w="2066" w:type="dxa"/>
                  <w:tcBorders>
                    <w:tl2br w:val="nil"/>
                    <w:tr2bl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≤0.5</w:t>
                  </w:r>
                </w:p>
              </w:tc>
              <w:tc>
                <w:tcPr>
                  <w:tcW w:w="2073" w:type="dxa"/>
                  <w:tcBorders>
                    <w:tl2br w:val="nil"/>
                    <w:tr2bl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c>
                <w:tcPr>
                  <w:tcW w:w="2189" w:type="dxa"/>
                  <w:tcBorders>
                    <w:tl2br w:val="nil"/>
                    <w:tr2bl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107" w:type="dxa"/>
                  <w:tcBorders>
                    <w:tl2br w:val="nil"/>
                    <w:tr2bl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石油烃</w:t>
                  </w:r>
                </w:p>
              </w:tc>
              <w:tc>
                <w:tcPr>
                  <w:tcW w:w="2066" w:type="dxa"/>
                  <w:tcBorders>
                    <w:tl2br w:val="nil"/>
                    <w:tr2bl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c>
                <w:tcPr>
                  <w:tcW w:w="2073" w:type="dxa"/>
                  <w:tcBorders>
                    <w:tl2br w:val="nil"/>
                    <w:tr2bl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≤50</w:t>
                  </w:r>
                </w:p>
              </w:tc>
              <w:tc>
                <w:tcPr>
                  <w:tcW w:w="2189" w:type="dxa"/>
                  <w:tcBorders>
                    <w:tl2br w:val="nil"/>
                    <w:tr2bl w:val="nil"/>
                  </w:tcBorders>
                  <w:vAlign w:val="top"/>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≤80</w:t>
                  </w:r>
                </w:p>
              </w:tc>
            </w:tr>
          </w:tbl>
          <w:p>
            <w:pPr>
              <w:pStyle w:val="11"/>
              <w:pageBreakBefore w:val="0"/>
              <w:kinsoku/>
              <w:bidi w:val="0"/>
              <w:spacing w:beforeAutospacing="0" w:afterAutospacing="0"/>
              <w:rPr>
                <w:rFonts w:hint="default" w:ascii="Times New Roman" w:hAnsi="Times New Roman" w:eastAsia="宋体"/>
                <w:color w:val="000000" w:themeColor="text1"/>
                <w:sz w:val="28"/>
                <w:szCs w:val="28"/>
                <w:lang w:val="en-US" w:eastAsia="zh-CN"/>
                <w14:textFill>
                  <w14:solidFill>
                    <w14:schemeClr w14:val="tx1"/>
                  </w14:solidFill>
                </w14:textFill>
              </w:rPr>
            </w:pPr>
            <w:r>
              <w:rPr>
                <w:rFonts w:hint="default" w:ascii="Times New Roman" w:hAnsi="Times New Roman" w:eastAsia="宋体"/>
                <w:color w:val="000000" w:themeColor="text1"/>
                <w:sz w:val="28"/>
                <w:szCs w:val="28"/>
                <w:lang w:val="en-US" w:eastAsia="zh-CN"/>
                <w14:textFill>
                  <w14:solidFill>
                    <w14:schemeClr w14:val="tx1"/>
                  </w14:solidFill>
                </w14:textFill>
              </w:rPr>
              <w:t>3.</w:t>
            </w:r>
            <w:r>
              <w:rPr>
                <w:rFonts w:hint="eastAsia" w:ascii="Times New Roman" w:hAnsi="Times New Roman" w:eastAsia="宋体"/>
                <w:color w:val="000000" w:themeColor="text1"/>
                <w:sz w:val="28"/>
                <w:szCs w:val="28"/>
                <w:lang w:val="en-US" w:eastAsia="zh-CN"/>
                <w14:textFill>
                  <w14:solidFill>
                    <w14:schemeClr w14:val="tx1"/>
                  </w14:solidFill>
                </w14:textFill>
              </w:rPr>
              <w:t>6</w:t>
            </w:r>
            <w:r>
              <w:rPr>
                <w:rFonts w:hint="default" w:ascii="Times New Roman" w:hAnsi="Times New Roman" w:eastAsia="宋体"/>
                <w:color w:val="000000" w:themeColor="text1"/>
                <w:sz w:val="28"/>
                <w:szCs w:val="28"/>
                <w:lang w:val="en-US" w:eastAsia="zh-CN"/>
                <w14:textFill>
                  <w14:solidFill>
                    <w14:schemeClr w14:val="tx1"/>
                  </w14:solidFill>
                </w14:textFill>
              </w:rPr>
              <w:t>.</w:t>
            </w:r>
            <w:r>
              <w:rPr>
                <w:rFonts w:hint="eastAsia" w:ascii="Times New Roman" w:hAnsi="Times New Roman" w:eastAsia="宋体"/>
                <w:color w:val="000000" w:themeColor="text1"/>
                <w:sz w:val="28"/>
                <w:szCs w:val="28"/>
                <w:lang w:val="en-US" w:eastAsia="zh-CN"/>
                <w14:textFill>
                  <w14:solidFill>
                    <w14:schemeClr w14:val="tx1"/>
                  </w14:solidFill>
                </w14:textFill>
              </w:rPr>
              <w:t>2</w:t>
            </w:r>
            <w:r>
              <w:rPr>
                <w:rFonts w:hint="default" w:ascii="Times New Roman" w:hAnsi="Times New Roman" w:eastAsia="宋体"/>
                <w:color w:val="000000" w:themeColor="text1"/>
                <w:sz w:val="28"/>
                <w:szCs w:val="28"/>
                <w:lang w:val="en-US" w:eastAsia="zh-CN"/>
                <w14:textFill>
                  <w14:solidFill>
                    <w14:schemeClr w14:val="tx1"/>
                  </w14:solidFill>
                </w14:textFill>
              </w:rPr>
              <w:t xml:space="preserve"> 环境空气功能区划及质量标准</w:t>
            </w:r>
            <w:bookmarkEnd w:id="29"/>
            <w:bookmarkEnd w:id="30"/>
          </w:p>
          <w:p>
            <w:pPr>
              <w:pageBreakBefore w:val="0"/>
              <w:kinsoku/>
              <w:wordWrap/>
              <w:overflowPunct/>
              <w:topLinePunct w:val="0"/>
              <w:autoSpaceDE/>
              <w:autoSpaceDN/>
              <w:bidi w:val="0"/>
              <w:spacing w:beforeAutospacing="0" w:afterAutospacing="0"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bookmarkStart w:id="31" w:name="_Toc17636"/>
            <w:bookmarkStart w:id="32" w:name="_Toc31204"/>
            <w:r>
              <w:rPr>
                <w:rFonts w:hint="default" w:ascii="Times New Roman" w:hAnsi="Times New Roman" w:eastAsia="宋体" w:cs="Times New Roman"/>
                <w:color w:val="000000" w:themeColor="text1"/>
                <w:sz w:val="24"/>
                <w:highlight w:val="none"/>
                <w:lang w:bidi="ar"/>
                <w14:textFill>
                  <w14:solidFill>
                    <w14:schemeClr w14:val="tx1"/>
                  </w14:solidFill>
                </w14:textFill>
              </w:rPr>
              <w:t>项目所在地大气环境功能区规划为二类区。因此，项目区大气环境质量执行《环境空气质量标准》（GB3095-2012）中的二级标准</w:t>
            </w:r>
            <w:r>
              <w:rPr>
                <w:rFonts w:hint="default" w:ascii="Times New Roman" w:hAnsi="Times New Roman" w:eastAsia="宋体" w:cs="Times New Roman"/>
                <w:color w:val="000000" w:themeColor="text1"/>
                <w:sz w:val="24"/>
                <w:highlight w:val="none"/>
                <w14:textFill>
                  <w14:solidFill>
                    <w14:schemeClr w14:val="tx1"/>
                  </w14:solidFill>
                </w14:textFill>
              </w:rPr>
              <w:t>，详情见表3.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highlight w:val="none"/>
                <w14:textFill>
                  <w14:solidFill>
                    <w14:schemeClr w14:val="tx1"/>
                  </w14:solidFill>
                </w14:textFill>
              </w:rPr>
              <w:t>。</w:t>
            </w:r>
          </w:p>
          <w:p>
            <w:pPr>
              <w:pageBreakBefore w:val="0"/>
              <w:kinsoku/>
              <w:wordWrap/>
              <w:overflowPunct/>
              <w:topLinePunct w:val="0"/>
              <w:autoSpaceDE/>
              <w:autoSpaceDN/>
              <w:bidi w:val="0"/>
              <w:adjustRightInd w:val="0"/>
              <w:snapToGrid w:val="0"/>
              <w:spacing w:beforeAutospacing="0" w:afterAutospacing="0" w:line="240" w:lineRule="auto"/>
              <w:ind w:firstLine="482" w:firstLineChars="200"/>
              <w:jc w:val="center"/>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表3.</w:t>
            </w:r>
            <w:r>
              <w:rPr>
                <w:rFonts w:hint="eastAsia" w:ascii="Times New Roman" w:hAnsi="Times New Roman" w:eastAsia="宋体" w:cs="Times New Roman"/>
                <w:b/>
                <w:color w:val="000000" w:themeColor="text1"/>
                <w:sz w:val="24"/>
                <w:highlight w:val="none"/>
                <w:lang w:val="en-US" w:eastAsia="zh-CN"/>
                <w14:textFill>
                  <w14:solidFill>
                    <w14:schemeClr w14:val="tx1"/>
                  </w14:solidFill>
                </w14:textFill>
              </w:rPr>
              <w:t xml:space="preserve">6-4 </w:t>
            </w:r>
            <w:r>
              <w:rPr>
                <w:rFonts w:hint="default" w:ascii="Times New Roman" w:hAnsi="Times New Roman" w:eastAsia="宋体" w:cs="Times New Roman"/>
                <w:b/>
                <w:color w:val="000000" w:themeColor="text1"/>
                <w:sz w:val="24"/>
                <w:highlight w:val="none"/>
                <w14:textFill>
                  <w14:solidFill>
                    <w14:schemeClr w14:val="tx1"/>
                  </w14:solidFill>
                </w14:textFill>
              </w:rPr>
              <w:t>环境空气</w:t>
            </w:r>
            <w:r>
              <w:rPr>
                <w:rFonts w:hint="default" w:ascii="Times New Roman" w:hAnsi="Times New Roman" w:eastAsia="宋体" w:cs="Times New Roman"/>
                <w:b/>
                <w:bCs/>
                <w:color w:val="000000" w:themeColor="text1"/>
                <w:sz w:val="24"/>
                <w:highlight w:val="none"/>
                <w14:textFill>
                  <w14:solidFill>
                    <w14:schemeClr w14:val="tx1"/>
                  </w14:solidFill>
                </w14:textFill>
              </w:rPr>
              <w:t>质量标准</w:t>
            </w:r>
          </w:p>
          <w:tbl>
            <w:tblPr>
              <w:tblStyle w:val="33"/>
              <w:tblW w:w="8427"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17"/>
              <w:gridCol w:w="1691"/>
              <w:gridCol w:w="2111"/>
              <w:gridCol w:w="1960"/>
              <w:gridCol w:w="194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3" w:hRule="atLeast"/>
                <w:jc w:val="center"/>
              </w:trPr>
              <w:tc>
                <w:tcPr>
                  <w:tcW w:w="717"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宋体"/>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宋体"/>
                      <w:b w:val="0"/>
                      <w:bCs w:val="0"/>
                      <w:color w:val="000000" w:themeColor="text1"/>
                      <w:sz w:val="21"/>
                      <w:szCs w:val="21"/>
                      <w:highlight w:val="none"/>
                      <w:lang w:val="en-US" w:eastAsia="zh-CN"/>
                      <w14:textFill>
                        <w14:solidFill>
                          <w14:schemeClr w14:val="tx1"/>
                        </w14:solidFill>
                      </w14:textFill>
                    </w:rPr>
                    <w:t>序号</w:t>
                  </w:r>
                </w:p>
              </w:tc>
              <w:tc>
                <w:tcPr>
                  <w:tcW w:w="1691"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宋体"/>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宋体"/>
                      <w:b w:val="0"/>
                      <w:bCs w:val="0"/>
                      <w:color w:val="000000" w:themeColor="text1"/>
                      <w:sz w:val="21"/>
                      <w:szCs w:val="21"/>
                      <w:highlight w:val="none"/>
                      <w:lang w:val="en-US" w:eastAsia="zh-CN"/>
                      <w14:textFill>
                        <w14:solidFill>
                          <w14:schemeClr w14:val="tx1"/>
                        </w14:solidFill>
                      </w14:textFill>
                    </w:rPr>
                    <w:t>污染物名称</w:t>
                  </w:r>
                </w:p>
              </w:tc>
              <w:tc>
                <w:tcPr>
                  <w:tcW w:w="2111"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宋体"/>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宋体"/>
                      <w:b w:val="0"/>
                      <w:bCs w:val="0"/>
                      <w:color w:val="000000" w:themeColor="text1"/>
                      <w:sz w:val="21"/>
                      <w:szCs w:val="21"/>
                      <w:highlight w:val="none"/>
                      <w:lang w:val="en-US" w:eastAsia="zh-CN"/>
                      <w14:textFill>
                        <w14:solidFill>
                          <w14:schemeClr w14:val="tx1"/>
                        </w14:solidFill>
                      </w14:textFill>
                    </w:rPr>
                    <w:t>取值时间</w:t>
                  </w:r>
                </w:p>
              </w:tc>
              <w:tc>
                <w:tcPr>
                  <w:tcW w:w="1960"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标准限值(mg/m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1948"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标准来源</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3" w:hRule="atLeast"/>
                <w:jc w:val="center"/>
              </w:trPr>
              <w:tc>
                <w:tcPr>
                  <w:tcW w:w="717" w:type="dxa"/>
                  <w:vMerge w:val="restart"/>
                  <w:tcBorders>
                    <w:tl2br w:val="nil"/>
                    <w:tr2bl w:val="nil"/>
                  </w:tcBorders>
                  <w:vAlign w:val="center"/>
                </w:tcPr>
                <w:p>
                  <w:pPr>
                    <w:pageBreakBefore w:val="0"/>
                    <w:kinsoku/>
                    <w:wordWrap/>
                    <w:overflowPunct/>
                    <w:topLinePunct w:val="0"/>
                    <w:autoSpaceDE/>
                    <w:autoSpaceDN/>
                    <w:bidi w:val="0"/>
                    <w:spacing w:beforeAutospacing="0" w:afterAutospacing="0" w:line="36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691" w:type="dxa"/>
                  <w:vMerge w:val="restart"/>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二氧化硫（SO</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111"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年平均</w:t>
                  </w:r>
                </w:p>
              </w:tc>
              <w:tc>
                <w:tcPr>
                  <w:tcW w:w="1960"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0.06</w:t>
                  </w:r>
                </w:p>
              </w:tc>
              <w:tc>
                <w:tcPr>
                  <w:tcW w:w="1948" w:type="dxa"/>
                  <w:vMerge w:val="restart"/>
                  <w:tcBorders>
                    <w:tl2br w:val="nil"/>
                    <w:tr2bl w:val="nil"/>
                  </w:tcBorders>
                  <w:vAlign w:val="center"/>
                </w:tcPr>
                <w:p>
                  <w:pPr>
                    <w:pageBreakBefore w:val="0"/>
                    <w:kinsoku/>
                    <w:wordWrap/>
                    <w:overflowPunct/>
                    <w:topLinePunct w:val="0"/>
                    <w:autoSpaceDE/>
                    <w:autoSpaceDN/>
                    <w:bidi w:val="0"/>
                    <w:spacing w:beforeAutospacing="0" w:afterAutospacing="0" w:line="36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《环境空气质量标准（GB3095-2012）二级标准</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3" w:hRule="atLeast"/>
                <w:jc w:val="center"/>
              </w:trPr>
              <w:tc>
                <w:tcPr>
                  <w:tcW w:w="717" w:type="dxa"/>
                  <w:vMerge w:val="continue"/>
                  <w:tcBorders>
                    <w:tl2br w:val="nil"/>
                    <w:tr2bl w:val="nil"/>
                  </w:tcBorders>
                  <w:vAlign w:val="center"/>
                </w:tcPr>
                <w:p>
                  <w:pPr>
                    <w:pageBreakBefore w:val="0"/>
                    <w:widowControl/>
                    <w:kinsoku/>
                    <w:wordWrap/>
                    <w:overflowPunct/>
                    <w:topLinePunct w:val="0"/>
                    <w:autoSpaceDE/>
                    <w:autoSpaceDN/>
                    <w:bidi w:val="0"/>
                    <w:spacing w:beforeAutospacing="0" w:afterAutospacing="0" w:line="360" w:lineRule="auto"/>
                    <w:ind w:firstLine="420" w:firstLineChars="20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91" w:type="dxa"/>
                  <w:vMerge w:val="continue"/>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111"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24小时平均</w:t>
                  </w:r>
                </w:p>
              </w:tc>
              <w:tc>
                <w:tcPr>
                  <w:tcW w:w="1960"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0.15</w:t>
                  </w:r>
                </w:p>
              </w:tc>
              <w:tc>
                <w:tcPr>
                  <w:tcW w:w="1948" w:type="dxa"/>
                  <w:vMerge w:val="continue"/>
                  <w:tcBorders>
                    <w:tl2br w:val="nil"/>
                    <w:tr2bl w:val="nil"/>
                  </w:tcBorders>
                  <w:vAlign w:val="center"/>
                </w:tcPr>
                <w:p>
                  <w:pPr>
                    <w:pageBreakBefore w:val="0"/>
                    <w:kinsoku/>
                    <w:wordWrap/>
                    <w:overflowPunct/>
                    <w:topLinePunct w:val="0"/>
                    <w:autoSpaceDE/>
                    <w:autoSpaceDN/>
                    <w:bidi w:val="0"/>
                    <w:spacing w:beforeAutospacing="0" w:afterAutospacing="0" w:line="360" w:lineRule="auto"/>
                    <w:ind w:firstLine="420" w:firstLineChars="20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3" w:hRule="atLeast"/>
                <w:jc w:val="center"/>
              </w:trPr>
              <w:tc>
                <w:tcPr>
                  <w:tcW w:w="717" w:type="dxa"/>
                  <w:vMerge w:val="continue"/>
                  <w:tcBorders>
                    <w:tl2br w:val="nil"/>
                    <w:tr2bl w:val="nil"/>
                  </w:tcBorders>
                  <w:vAlign w:val="center"/>
                </w:tcPr>
                <w:p>
                  <w:pPr>
                    <w:pageBreakBefore w:val="0"/>
                    <w:widowControl/>
                    <w:kinsoku/>
                    <w:wordWrap/>
                    <w:overflowPunct/>
                    <w:topLinePunct w:val="0"/>
                    <w:autoSpaceDE/>
                    <w:autoSpaceDN/>
                    <w:bidi w:val="0"/>
                    <w:spacing w:beforeAutospacing="0" w:afterAutospacing="0" w:line="360" w:lineRule="auto"/>
                    <w:ind w:firstLine="420" w:firstLineChars="20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91" w:type="dxa"/>
                  <w:vMerge w:val="continue"/>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111"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1小时平均</w:t>
                  </w:r>
                </w:p>
              </w:tc>
              <w:tc>
                <w:tcPr>
                  <w:tcW w:w="1960"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0.50</w:t>
                  </w:r>
                </w:p>
              </w:tc>
              <w:tc>
                <w:tcPr>
                  <w:tcW w:w="1948" w:type="dxa"/>
                  <w:vMerge w:val="continue"/>
                  <w:tcBorders>
                    <w:tl2br w:val="nil"/>
                    <w:tr2bl w:val="nil"/>
                  </w:tcBorders>
                  <w:vAlign w:val="center"/>
                </w:tcPr>
                <w:p>
                  <w:pPr>
                    <w:pageBreakBefore w:val="0"/>
                    <w:kinsoku/>
                    <w:wordWrap/>
                    <w:overflowPunct/>
                    <w:topLinePunct w:val="0"/>
                    <w:autoSpaceDE/>
                    <w:autoSpaceDN/>
                    <w:bidi w:val="0"/>
                    <w:spacing w:beforeAutospacing="0" w:afterAutospacing="0" w:line="360" w:lineRule="auto"/>
                    <w:ind w:firstLine="420" w:firstLineChars="20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3" w:hRule="atLeast"/>
                <w:jc w:val="center"/>
              </w:trPr>
              <w:tc>
                <w:tcPr>
                  <w:tcW w:w="717" w:type="dxa"/>
                  <w:vMerge w:val="restart"/>
                  <w:tcBorders>
                    <w:tl2br w:val="nil"/>
                    <w:tr2bl w:val="nil"/>
                  </w:tcBorders>
                  <w:vAlign w:val="center"/>
                </w:tcPr>
                <w:p>
                  <w:pPr>
                    <w:pageBreakBefore w:val="0"/>
                    <w:kinsoku/>
                    <w:wordWrap/>
                    <w:overflowPunct/>
                    <w:topLinePunct w:val="0"/>
                    <w:autoSpaceDE/>
                    <w:autoSpaceDN/>
                    <w:bidi w:val="0"/>
                    <w:spacing w:beforeAutospacing="0" w:afterAutospacing="0" w:line="36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w:t>
                  </w:r>
                </w:p>
              </w:tc>
              <w:tc>
                <w:tcPr>
                  <w:tcW w:w="1691" w:type="dxa"/>
                  <w:vMerge w:val="restart"/>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二氧化氮（NO</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111"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年平均</w:t>
                  </w:r>
                </w:p>
              </w:tc>
              <w:tc>
                <w:tcPr>
                  <w:tcW w:w="1960"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0.04</w:t>
                  </w:r>
                </w:p>
              </w:tc>
              <w:tc>
                <w:tcPr>
                  <w:tcW w:w="1948" w:type="dxa"/>
                  <w:vMerge w:val="continue"/>
                  <w:tcBorders>
                    <w:tl2br w:val="nil"/>
                    <w:tr2bl w:val="nil"/>
                  </w:tcBorders>
                  <w:vAlign w:val="center"/>
                </w:tcPr>
                <w:p>
                  <w:pPr>
                    <w:pageBreakBefore w:val="0"/>
                    <w:kinsoku/>
                    <w:wordWrap/>
                    <w:overflowPunct/>
                    <w:topLinePunct w:val="0"/>
                    <w:autoSpaceDE/>
                    <w:autoSpaceDN/>
                    <w:bidi w:val="0"/>
                    <w:spacing w:beforeAutospacing="0" w:afterAutospacing="0" w:line="360" w:lineRule="auto"/>
                    <w:ind w:firstLine="420" w:firstLineChars="20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3" w:hRule="atLeast"/>
                <w:jc w:val="center"/>
              </w:trPr>
              <w:tc>
                <w:tcPr>
                  <w:tcW w:w="717" w:type="dxa"/>
                  <w:vMerge w:val="continue"/>
                  <w:tcBorders>
                    <w:tl2br w:val="nil"/>
                    <w:tr2bl w:val="nil"/>
                  </w:tcBorders>
                  <w:vAlign w:val="center"/>
                </w:tcPr>
                <w:p>
                  <w:pPr>
                    <w:pageBreakBefore w:val="0"/>
                    <w:widowControl/>
                    <w:kinsoku/>
                    <w:wordWrap/>
                    <w:overflowPunct/>
                    <w:topLinePunct w:val="0"/>
                    <w:autoSpaceDE/>
                    <w:autoSpaceDN/>
                    <w:bidi w:val="0"/>
                    <w:spacing w:beforeAutospacing="0" w:afterAutospacing="0" w:line="360" w:lineRule="auto"/>
                    <w:ind w:firstLine="420" w:firstLineChars="20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91" w:type="dxa"/>
                  <w:vMerge w:val="continue"/>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111"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24小时平均</w:t>
                  </w:r>
                </w:p>
              </w:tc>
              <w:tc>
                <w:tcPr>
                  <w:tcW w:w="1960"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0.08</w:t>
                  </w:r>
                </w:p>
              </w:tc>
              <w:tc>
                <w:tcPr>
                  <w:tcW w:w="1948" w:type="dxa"/>
                  <w:vMerge w:val="continue"/>
                  <w:tcBorders>
                    <w:tl2br w:val="nil"/>
                    <w:tr2bl w:val="nil"/>
                  </w:tcBorders>
                  <w:vAlign w:val="center"/>
                </w:tcPr>
                <w:p>
                  <w:pPr>
                    <w:pageBreakBefore w:val="0"/>
                    <w:kinsoku/>
                    <w:wordWrap/>
                    <w:overflowPunct/>
                    <w:topLinePunct w:val="0"/>
                    <w:autoSpaceDE/>
                    <w:autoSpaceDN/>
                    <w:bidi w:val="0"/>
                    <w:spacing w:beforeAutospacing="0" w:afterAutospacing="0" w:line="360" w:lineRule="auto"/>
                    <w:ind w:firstLine="420" w:firstLineChars="20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90" w:hRule="atLeast"/>
                <w:jc w:val="center"/>
              </w:trPr>
              <w:tc>
                <w:tcPr>
                  <w:tcW w:w="717" w:type="dxa"/>
                  <w:vMerge w:val="continue"/>
                  <w:tcBorders>
                    <w:tl2br w:val="nil"/>
                    <w:tr2bl w:val="nil"/>
                  </w:tcBorders>
                  <w:vAlign w:val="center"/>
                </w:tcPr>
                <w:p>
                  <w:pPr>
                    <w:pageBreakBefore w:val="0"/>
                    <w:widowControl/>
                    <w:kinsoku/>
                    <w:wordWrap/>
                    <w:overflowPunct/>
                    <w:topLinePunct w:val="0"/>
                    <w:autoSpaceDE/>
                    <w:autoSpaceDN/>
                    <w:bidi w:val="0"/>
                    <w:spacing w:beforeAutospacing="0" w:afterAutospacing="0" w:line="360" w:lineRule="auto"/>
                    <w:ind w:firstLine="420" w:firstLineChars="20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91" w:type="dxa"/>
                  <w:vMerge w:val="continue"/>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111"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1小时平均</w:t>
                  </w:r>
                </w:p>
              </w:tc>
              <w:tc>
                <w:tcPr>
                  <w:tcW w:w="1960"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0.20</w:t>
                  </w:r>
                </w:p>
              </w:tc>
              <w:tc>
                <w:tcPr>
                  <w:tcW w:w="1948" w:type="dxa"/>
                  <w:vMerge w:val="continue"/>
                  <w:tcBorders>
                    <w:tl2br w:val="nil"/>
                    <w:tr2bl w:val="nil"/>
                  </w:tcBorders>
                  <w:vAlign w:val="center"/>
                </w:tcPr>
                <w:p>
                  <w:pPr>
                    <w:pageBreakBefore w:val="0"/>
                    <w:kinsoku/>
                    <w:wordWrap/>
                    <w:overflowPunct/>
                    <w:topLinePunct w:val="0"/>
                    <w:autoSpaceDE/>
                    <w:autoSpaceDN/>
                    <w:bidi w:val="0"/>
                    <w:spacing w:beforeAutospacing="0" w:afterAutospacing="0" w:line="360" w:lineRule="auto"/>
                    <w:ind w:firstLine="420" w:firstLineChars="20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51" w:hRule="atLeast"/>
                <w:jc w:val="center"/>
              </w:trPr>
              <w:tc>
                <w:tcPr>
                  <w:tcW w:w="717" w:type="dxa"/>
                  <w:vMerge w:val="restart"/>
                  <w:tcBorders>
                    <w:tl2br w:val="nil"/>
                    <w:tr2bl w:val="nil"/>
                  </w:tcBorders>
                  <w:vAlign w:val="center"/>
                </w:tcPr>
                <w:p>
                  <w:pPr>
                    <w:pageBreakBefore w:val="0"/>
                    <w:widowControl/>
                    <w:kinsoku/>
                    <w:wordWrap/>
                    <w:overflowPunct/>
                    <w:topLinePunct w:val="0"/>
                    <w:autoSpaceDE/>
                    <w:autoSpaceDN/>
                    <w:bidi w:val="0"/>
                    <w:spacing w:beforeAutospacing="0" w:afterAutospacing="0" w:line="36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w:t>
                  </w:r>
                </w:p>
              </w:tc>
              <w:tc>
                <w:tcPr>
                  <w:tcW w:w="1691" w:type="dxa"/>
                  <w:vMerge w:val="restart"/>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一氧化碳（CO）</w:t>
                  </w:r>
                </w:p>
              </w:tc>
              <w:tc>
                <w:tcPr>
                  <w:tcW w:w="2111"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24小时平均</w:t>
                  </w:r>
                </w:p>
              </w:tc>
              <w:tc>
                <w:tcPr>
                  <w:tcW w:w="1960"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1948" w:type="dxa"/>
                  <w:vMerge w:val="continue"/>
                  <w:tcBorders>
                    <w:tl2br w:val="nil"/>
                    <w:tr2bl w:val="nil"/>
                  </w:tcBorders>
                  <w:vAlign w:val="center"/>
                </w:tcPr>
                <w:p>
                  <w:pPr>
                    <w:pageBreakBefore w:val="0"/>
                    <w:kinsoku/>
                    <w:wordWrap/>
                    <w:overflowPunct/>
                    <w:topLinePunct w:val="0"/>
                    <w:autoSpaceDE/>
                    <w:autoSpaceDN/>
                    <w:bidi w:val="0"/>
                    <w:spacing w:beforeAutospacing="0" w:afterAutospacing="0" w:line="360" w:lineRule="auto"/>
                    <w:ind w:firstLine="420" w:firstLineChars="20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51" w:hRule="atLeast"/>
                <w:jc w:val="center"/>
              </w:trPr>
              <w:tc>
                <w:tcPr>
                  <w:tcW w:w="717" w:type="dxa"/>
                  <w:vMerge w:val="continue"/>
                  <w:tcBorders>
                    <w:tl2br w:val="nil"/>
                    <w:tr2bl w:val="nil"/>
                  </w:tcBorders>
                  <w:vAlign w:val="center"/>
                </w:tcPr>
                <w:p>
                  <w:pPr>
                    <w:pageBreakBefore w:val="0"/>
                    <w:kinsoku/>
                    <w:wordWrap/>
                    <w:overflowPunct/>
                    <w:topLinePunct w:val="0"/>
                    <w:autoSpaceDE/>
                    <w:autoSpaceDN/>
                    <w:bidi w:val="0"/>
                    <w:spacing w:beforeAutospacing="0" w:afterAutospacing="0" w:line="360" w:lineRule="auto"/>
                    <w:ind w:firstLine="420" w:firstLineChars="20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91" w:type="dxa"/>
                  <w:vMerge w:val="continue"/>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111"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1小时平均</w:t>
                  </w:r>
                </w:p>
              </w:tc>
              <w:tc>
                <w:tcPr>
                  <w:tcW w:w="1960"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10</w:t>
                  </w:r>
                </w:p>
              </w:tc>
              <w:tc>
                <w:tcPr>
                  <w:tcW w:w="1948" w:type="dxa"/>
                  <w:vMerge w:val="continue"/>
                  <w:tcBorders>
                    <w:tl2br w:val="nil"/>
                    <w:tr2bl w:val="nil"/>
                  </w:tcBorders>
                  <w:vAlign w:val="center"/>
                </w:tcPr>
                <w:p>
                  <w:pPr>
                    <w:pageBreakBefore w:val="0"/>
                    <w:kinsoku/>
                    <w:wordWrap/>
                    <w:overflowPunct/>
                    <w:topLinePunct w:val="0"/>
                    <w:autoSpaceDE/>
                    <w:autoSpaceDN/>
                    <w:bidi w:val="0"/>
                    <w:spacing w:beforeAutospacing="0" w:afterAutospacing="0" w:line="360" w:lineRule="auto"/>
                    <w:ind w:firstLine="420" w:firstLineChars="20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51" w:hRule="atLeast"/>
                <w:jc w:val="center"/>
              </w:trPr>
              <w:tc>
                <w:tcPr>
                  <w:tcW w:w="717" w:type="dxa"/>
                  <w:vMerge w:val="restart"/>
                  <w:tcBorders>
                    <w:tl2br w:val="nil"/>
                    <w:tr2bl w:val="nil"/>
                  </w:tcBorders>
                  <w:vAlign w:val="center"/>
                </w:tcPr>
                <w:p>
                  <w:pPr>
                    <w:pageBreakBefore w:val="0"/>
                    <w:widowControl/>
                    <w:kinsoku/>
                    <w:wordWrap/>
                    <w:overflowPunct/>
                    <w:topLinePunct w:val="0"/>
                    <w:autoSpaceDE/>
                    <w:autoSpaceDN/>
                    <w:bidi w:val="0"/>
                    <w:spacing w:beforeAutospacing="0" w:afterAutospacing="0" w:line="360" w:lineRule="auto"/>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w:t>
                  </w:r>
                </w:p>
              </w:tc>
              <w:tc>
                <w:tcPr>
                  <w:tcW w:w="1691" w:type="dxa"/>
                  <w:vMerge w:val="restart"/>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臭氧（O</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111"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日最大8小时平均</w:t>
                  </w:r>
                </w:p>
              </w:tc>
              <w:tc>
                <w:tcPr>
                  <w:tcW w:w="1960"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0.16</w:t>
                  </w:r>
                </w:p>
              </w:tc>
              <w:tc>
                <w:tcPr>
                  <w:tcW w:w="1948" w:type="dxa"/>
                  <w:vMerge w:val="continue"/>
                  <w:tcBorders>
                    <w:tl2br w:val="nil"/>
                    <w:tr2bl w:val="nil"/>
                  </w:tcBorders>
                  <w:vAlign w:val="center"/>
                </w:tcPr>
                <w:p>
                  <w:pPr>
                    <w:pageBreakBefore w:val="0"/>
                    <w:kinsoku/>
                    <w:wordWrap/>
                    <w:overflowPunct/>
                    <w:topLinePunct w:val="0"/>
                    <w:autoSpaceDE/>
                    <w:autoSpaceDN/>
                    <w:bidi w:val="0"/>
                    <w:spacing w:beforeAutospacing="0" w:afterAutospacing="0" w:line="360" w:lineRule="auto"/>
                    <w:ind w:firstLine="420" w:firstLineChars="20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51" w:hRule="atLeast"/>
                <w:jc w:val="center"/>
              </w:trPr>
              <w:tc>
                <w:tcPr>
                  <w:tcW w:w="717" w:type="dxa"/>
                  <w:vMerge w:val="continue"/>
                  <w:tcBorders>
                    <w:tl2br w:val="nil"/>
                    <w:tr2bl w:val="nil"/>
                  </w:tcBorders>
                  <w:vAlign w:val="center"/>
                </w:tcPr>
                <w:p>
                  <w:pPr>
                    <w:pageBreakBefore w:val="0"/>
                    <w:kinsoku/>
                    <w:wordWrap/>
                    <w:overflowPunct/>
                    <w:topLinePunct w:val="0"/>
                    <w:autoSpaceDE/>
                    <w:autoSpaceDN/>
                    <w:bidi w:val="0"/>
                    <w:spacing w:beforeAutospacing="0" w:afterAutospacing="0" w:line="360" w:lineRule="auto"/>
                    <w:ind w:firstLine="420" w:firstLineChars="20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91" w:type="dxa"/>
                  <w:vMerge w:val="continue"/>
                  <w:tcBorders>
                    <w:tl2br w:val="nil"/>
                    <w:tr2bl w:val="nil"/>
                  </w:tcBorders>
                  <w:vAlign w:val="center"/>
                </w:tcPr>
                <w:p>
                  <w:pPr>
                    <w:pageBreakBefore w:val="0"/>
                    <w:kinsoku/>
                    <w:wordWrap/>
                    <w:overflowPunct/>
                    <w:topLinePunct w:val="0"/>
                    <w:autoSpaceDE/>
                    <w:autoSpaceDN/>
                    <w:bidi w:val="0"/>
                    <w:spacing w:beforeAutospacing="0" w:afterAutospacing="0" w:line="360" w:lineRule="auto"/>
                    <w:ind w:firstLine="420" w:firstLineChars="20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111"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1小时平均</w:t>
                  </w:r>
                </w:p>
              </w:tc>
              <w:tc>
                <w:tcPr>
                  <w:tcW w:w="1960"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0.24</w:t>
                  </w:r>
                </w:p>
              </w:tc>
              <w:tc>
                <w:tcPr>
                  <w:tcW w:w="1948" w:type="dxa"/>
                  <w:vMerge w:val="continue"/>
                  <w:tcBorders>
                    <w:tl2br w:val="nil"/>
                    <w:tr2bl w:val="nil"/>
                  </w:tcBorders>
                  <w:vAlign w:val="center"/>
                </w:tcPr>
                <w:p>
                  <w:pPr>
                    <w:pageBreakBefore w:val="0"/>
                    <w:kinsoku/>
                    <w:wordWrap/>
                    <w:overflowPunct/>
                    <w:topLinePunct w:val="0"/>
                    <w:autoSpaceDE/>
                    <w:autoSpaceDN/>
                    <w:bidi w:val="0"/>
                    <w:spacing w:beforeAutospacing="0" w:afterAutospacing="0" w:line="360" w:lineRule="auto"/>
                    <w:ind w:firstLine="420" w:firstLineChars="20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3" w:hRule="atLeast"/>
                <w:jc w:val="center"/>
              </w:trPr>
              <w:tc>
                <w:tcPr>
                  <w:tcW w:w="717" w:type="dxa"/>
                  <w:vMerge w:val="restart"/>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1691" w:type="dxa"/>
                  <w:vMerge w:val="restart"/>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粒径小于等于10μm的颗粒物（PM</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111"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年平均</w:t>
                  </w:r>
                </w:p>
              </w:tc>
              <w:tc>
                <w:tcPr>
                  <w:tcW w:w="1960"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0.07</w:t>
                  </w:r>
                </w:p>
              </w:tc>
              <w:tc>
                <w:tcPr>
                  <w:tcW w:w="1948" w:type="dxa"/>
                  <w:vMerge w:val="continue"/>
                  <w:tcBorders>
                    <w:tl2br w:val="nil"/>
                    <w:tr2bl w:val="nil"/>
                  </w:tcBorders>
                  <w:vAlign w:val="center"/>
                </w:tcPr>
                <w:p>
                  <w:pPr>
                    <w:pageBreakBefore w:val="0"/>
                    <w:kinsoku/>
                    <w:wordWrap/>
                    <w:overflowPunct/>
                    <w:topLinePunct w:val="0"/>
                    <w:autoSpaceDE/>
                    <w:autoSpaceDN/>
                    <w:bidi w:val="0"/>
                    <w:spacing w:beforeAutospacing="0" w:afterAutospacing="0" w:line="360" w:lineRule="auto"/>
                    <w:ind w:firstLine="420" w:firstLineChars="20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658" w:hRule="atLeast"/>
                <w:jc w:val="center"/>
              </w:trPr>
              <w:tc>
                <w:tcPr>
                  <w:tcW w:w="717" w:type="dxa"/>
                  <w:vMerge w:val="continue"/>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691" w:type="dxa"/>
                  <w:vMerge w:val="continue"/>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111"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24小时平均</w:t>
                  </w:r>
                </w:p>
              </w:tc>
              <w:tc>
                <w:tcPr>
                  <w:tcW w:w="1960"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0.15</w:t>
                  </w:r>
                </w:p>
              </w:tc>
              <w:tc>
                <w:tcPr>
                  <w:tcW w:w="1948" w:type="dxa"/>
                  <w:vMerge w:val="continue"/>
                  <w:tcBorders>
                    <w:tl2br w:val="nil"/>
                    <w:tr2bl w:val="nil"/>
                  </w:tcBorders>
                  <w:vAlign w:val="center"/>
                </w:tcPr>
                <w:p>
                  <w:pPr>
                    <w:pageBreakBefore w:val="0"/>
                    <w:kinsoku/>
                    <w:wordWrap/>
                    <w:overflowPunct/>
                    <w:topLinePunct w:val="0"/>
                    <w:autoSpaceDE/>
                    <w:autoSpaceDN/>
                    <w:bidi w:val="0"/>
                    <w:spacing w:beforeAutospacing="0" w:afterAutospacing="0" w:line="360" w:lineRule="auto"/>
                    <w:ind w:firstLine="420" w:firstLineChars="20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51" w:hRule="atLeast"/>
                <w:jc w:val="center"/>
              </w:trPr>
              <w:tc>
                <w:tcPr>
                  <w:tcW w:w="717" w:type="dxa"/>
                  <w:vMerge w:val="restart"/>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p>
              </w:tc>
              <w:tc>
                <w:tcPr>
                  <w:tcW w:w="1691" w:type="dxa"/>
                  <w:vMerge w:val="restart"/>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粒径小于等于2.5μm的颗粒物（PM</w:t>
                  </w:r>
                  <w:r>
                    <w:rPr>
                      <w:rFonts w:hint="default" w:ascii="Times New Roman" w:hAnsi="Times New Roman" w:eastAsia="宋体" w:cs="Times New Roman"/>
                      <w:color w:val="000000" w:themeColor="text1"/>
                      <w:sz w:val="21"/>
                      <w:szCs w:val="21"/>
                      <w:highlight w:val="none"/>
                      <w:vertAlign w:val="subscript"/>
                      <w:lang w:val="en-US" w:eastAsia="zh-CN"/>
                      <w14:textFill>
                        <w14:solidFill>
                          <w14:schemeClr w14:val="tx1"/>
                        </w14:solidFill>
                      </w14:textFill>
                    </w:rPr>
                    <w:t>2.5</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111"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年平均</w:t>
                  </w:r>
                </w:p>
              </w:tc>
              <w:tc>
                <w:tcPr>
                  <w:tcW w:w="1960"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0.035</w:t>
                  </w:r>
                </w:p>
              </w:tc>
              <w:tc>
                <w:tcPr>
                  <w:tcW w:w="1948" w:type="dxa"/>
                  <w:vMerge w:val="continue"/>
                  <w:tcBorders>
                    <w:tl2br w:val="nil"/>
                    <w:tr2bl w:val="nil"/>
                  </w:tcBorders>
                  <w:vAlign w:val="center"/>
                </w:tcPr>
                <w:p>
                  <w:pPr>
                    <w:pageBreakBefore w:val="0"/>
                    <w:kinsoku/>
                    <w:wordWrap/>
                    <w:overflowPunct/>
                    <w:topLinePunct w:val="0"/>
                    <w:autoSpaceDE/>
                    <w:autoSpaceDN/>
                    <w:bidi w:val="0"/>
                    <w:spacing w:beforeAutospacing="0" w:afterAutospacing="0" w:line="360" w:lineRule="auto"/>
                    <w:ind w:firstLine="420" w:firstLineChars="20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151" w:hRule="atLeast"/>
                <w:jc w:val="center"/>
              </w:trPr>
              <w:tc>
                <w:tcPr>
                  <w:tcW w:w="717" w:type="dxa"/>
                  <w:vMerge w:val="continue"/>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1691" w:type="dxa"/>
                  <w:vMerge w:val="continue"/>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2111"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24小时平均</w:t>
                  </w:r>
                </w:p>
              </w:tc>
              <w:tc>
                <w:tcPr>
                  <w:tcW w:w="1960"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0.075</w:t>
                  </w:r>
                </w:p>
              </w:tc>
              <w:tc>
                <w:tcPr>
                  <w:tcW w:w="1948" w:type="dxa"/>
                  <w:vMerge w:val="continue"/>
                  <w:tcBorders>
                    <w:tl2br w:val="nil"/>
                    <w:tr2bl w:val="nil"/>
                  </w:tcBorders>
                  <w:vAlign w:val="center"/>
                </w:tcPr>
                <w:p>
                  <w:pPr>
                    <w:pageBreakBefore w:val="0"/>
                    <w:kinsoku/>
                    <w:wordWrap/>
                    <w:overflowPunct/>
                    <w:topLinePunct w:val="0"/>
                    <w:autoSpaceDE/>
                    <w:autoSpaceDN/>
                    <w:bidi w:val="0"/>
                    <w:spacing w:beforeAutospacing="0" w:afterAutospacing="0" w:line="360" w:lineRule="auto"/>
                    <w:ind w:firstLine="420" w:firstLineChars="20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3" w:hRule="atLeast"/>
                <w:jc w:val="center"/>
              </w:trPr>
              <w:tc>
                <w:tcPr>
                  <w:tcW w:w="717" w:type="dxa"/>
                  <w:vMerge w:val="restart"/>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w:t>
                  </w:r>
                </w:p>
              </w:tc>
              <w:tc>
                <w:tcPr>
                  <w:tcW w:w="1691" w:type="dxa"/>
                  <w:vMerge w:val="restart"/>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总悬浮颗粒（TSP）</w:t>
                  </w:r>
                </w:p>
              </w:tc>
              <w:tc>
                <w:tcPr>
                  <w:tcW w:w="2111"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年平均</w:t>
                  </w:r>
                </w:p>
              </w:tc>
              <w:tc>
                <w:tcPr>
                  <w:tcW w:w="1960"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0.20</w:t>
                  </w:r>
                </w:p>
              </w:tc>
              <w:tc>
                <w:tcPr>
                  <w:tcW w:w="1948" w:type="dxa"/>
                  <w:vMerge w:val="continue"/>
                  <w:tcBorders>
                    <w:tl2br w:val="nil"/>
                    <w:tr2bl w:val="nil"/>
                  </w:tcBorders>
                  <w:vAlign w:val="center"/>
                </w:tcPr>
                <w:p>
                  <w:pPr>
                    <w:pageBreakBefore w:val="0"/>
                    <w:kinsoku/>
                    <w:wordWrap/>
                    <w:overflowPunct/>
                    <w:topLinePunct w:val="0"/>
                    <w:autoSpaceDE/>
                    <w:autoSpaceDN/>
                    <w:bidi w:val="0"/>
                    <w:spacing w:beforeAutospacing="0" w:afterAutospacing="0" w:line="360" w:lineRule="auto"/>
                    <w:ind w:firstLine="420" w:firstLineChars="20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cantSplit/>
                <w:trHeight w:val="23" w:hRule="atLeast"/>
                <w:jc w:val="center"/>
              </w:trPr>
              <w:tc>
                <w:tcPr>
                  <w:tcW w:w="717" w:type="dxa"/>
                  <w:vMerge w:val="continue"/>
                  <w:tcBorders>
                    <w:tl2br w:val="nil"/>
                    <w:tr2bl w:val="nil"/>
                  </w:tcBorders>
                  <w:vAlign w:val="center"/>
                </w:tcPr>
                <w:p>
                  <w:pPr>
                    <w:pageBreakBefore w:val="0"/>
                    <w:widowControl/>
                    <w:kinsoku/>
                    <w:wordWrap/>
                    <w:overflowPunct/>
                    <w:topLinePunct w:val="0"/>
                    <w:autoSpaceDE/>
                    <w:autoSpaceDN/>
                    <w:bidi w:val="0"/>
                    <w:spacing w:beforeAutospacing="0" w:afterAutospacing="0" w:line="360" w:lineRule="auto"/>
                    <w:ind w:firstLine="420" w:firstLineChars="20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691" w:type="dxa"/>
                  <w:vMerge w:val="continue"/>
                  <w:tcBorders>
                    <w:tl2br w:val="nil"/>
                    <w:tr2bl w:val="nil"/>
                  </w:tcBorders>
                  <w:vAlign w:val="center"/>
                </w:tcPr>
                <w:p>
                  <w:pPr>
                    <w:pageBreakBefore w:val="0"/>
                    <w:widowControl/>
                    <w:kinsoku/>
                    <w:wordWrap/>
                    <w:overflowPunct/>
                    <w:topLinePunct w:val="0"/>
                    <w:autoSpaceDE/>
                    <w:autoSpaceDN/>
                    <w:bidi w:val="0"/>
                    <w:spacing w:beforeAutospacing="0" w:afterAutospacing="0" w:line="360" w:lineRule="auto"/>
                    <w:ind w:firstLine="420" w:firstLineChars="20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2111"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24小时平均</w:t>
                  </w:r>
                </w:p>
              </w:tc>
              <w:tc>
                <w:tcPr>
                  <w:tcW w:w="1960"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0.30</w:t>
                  </w:r>
                </w:p>
              </w:tc>
              <w:tc>
                <w:tcPr>
                  <w:tcW w:w="1948" w:type="dxa"/>
                  <w:vMerge w:val="continue"/>
                  <w:tcBorders>
                    <w:tl2br w:val="nil"/>
                    <w:tr2bl w:val="nil"/>
                  </w:tcBorders>
                  <w:vAlign w:val="center"/>
                </w:tcPr>
                <w:p>
                  <w:pPr>
                    <w:pageBreakBefore w:val="0"/>
                    <w:kinsoku/>
                    <w:wordWrap/>
                    <w:overflowPunct/>
                    <w:topLinePunct w:val="0"/>
                    <w:autoSpaceDE/>
                    <w:autoSpaceDN/>
                    <w:bidi w:val="0"/>
                    <w:spacing w:beforeAutospacing="0" w:afterAutospacing="0" w:line="360" w:lineRule="auto"/>
                    <w:ind w:firstLine="420" w:firstLineChars="20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bl>
          <w:p>
            <w:pPr>
              <w:pStyle w:val="11"/>
              <w:pageBreakBefore w:val="0"/>
              <w:kinsoku/>
              <w:bidi w:val="0"/>
              <w:spacing w:beforeAutospacing="0" w:afterAutospacing="0"/>
              <w:rPr>
                <w:rFonts w:hint="default" w:ascii="Times New Roman" w:hAnsi="Times New Roman" w:eastAsia="宋体"/>
                <w:color w:val="000000" w:themeColor="text1"/>
                <w:sz w:val="28"/>
                <w:szCs w:val="28"/>
                <w:lang w:val="en-US" w:eastAsia="zh-CN"/>
                <w14:textFill>
                  <w14:solidFill>
                    <w14:schemeClr w14:val="tx1"/>
                  </w14:solidFill>
                </w14:textFill>
              </w:rPr>
            </w:pPr>
            <w:r>
              <w:rPr>
                <w:rFonts w:hint="default" w:ascii="Times New Roman" w:hAnsi="Times New Roman" w:eastAsia="宋体"/>
                <w:color w:val="000000" w:themeColor="text1"/>
                <w:sz w:val="28"/>
                <w:szCs w:val="28"/>
                <w:lang w:val="en-US" w:eastAsia="zh-CN"/>
                <w14:textFill>
                  <w14:solidFill>
                    <w14:schemeClr w14:val="tx1"/>
                  </w14:solidFill>
                </w14:textFill>
              </w:rPr>
              <w:t>3.</w:t>
            </w:r>
            <w:r>
              <w:rPr>
                <w:rFonts w:hint="eastAsia" w:ascii="Times New Roman" w:hAnsi="Times New Roman" w:eastAsia="宋体"/>
                <w:color w:val="000000" w:themeColor="text1"/>
                <w:sz w:val="28"/>
                <w:szCs w:val="28"/>
                <w:lang w:val="en-US" w:eastAsia="zh-CN"/>
                <w14:textFill>
                  <w14:solidFill>
                    <w14:schemeClr w14:val="tx1"/>
                  </w14:solidFill>
                </w14:textFill>
              </w:rPr>
              <w:t>6</w:t>
            </w:r>
            <w:r>
              <w:rPr>
                <w:rFonts w:hint="default" w:ascii="Times New Roman" w:hAnsi="Times New Roman" w:eastAsia="宋体"/>
                <w:color w:val="000000" w:themeColor="text1"/>
                <w:sz w:val="28"/>
                <w:szCs w:val="28"/>
                <w:lang w:val="en-US" w:eastAsia="zh-CN"/>
                <w14:textFill>
                  <w14:solidFill>
                    <w14:schemeClr w14:val="tx1"/>
                  </w14:solidFill>
                </w14:textFill>
              </w:rPr>
              <w:t>.</w:t>
            </w:r>
            <w:r>
              <w:rPr>
                <w:rFonts w:hint="eastAsia" w:ascii="Times New Roman" w:hAnsi="Times New Roman" w:eastAsia="宋体"/>
                <w:color w:val="000000" w:themeColor="text1"/>
                <w:sz w:val="28"/>
                <w:szCs w:val="28"/>
                <w:lang w:val="en-US" w:eastAsia="zh-CN"/>
                <w14:textFill>
                  <w14:solidFill>
                    <w14:schemeClr w14:val="tx1"/>
                  </w14:solidFill>
                </w14:textFill>
              </w:rPr>
              <w:t>3</w:t>
            </w:r>
            <w:r>
              <w:rPr>
                <w:rFonts w:hint="default" w:ascii="Times New Roman" w:hAnsi="Times New Roman" w:eastAsia="宋体"/>
                <w:color w:val="000000" w:themeColor="text1"/>
                <w:sz w:val="28"/>
                <w:szCs w:val="28"/>
                <w:lang w:val="en-US" w:eastAsia="zh-CN"/>
                <w14:textFill>
                  <w14:solidFill>
                    <w14:schemeClr w14:val="tx1"/>
                  </w14:solidFill>
                </w14:textFill>
              </w:rPr>
              <w:t xml:space="preserve"> 声环境功能区划及质量标准</w:t>
            </w:r>
            <w:bookmarkEnd w:id="31"/>
            <w:bookmarkEnd w:id="32"/>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szCs w:val="20"/>
                <w:highlight w:val="none"/>
                <w:lang w:bidi="ar"/>
                <w14:textFill>
                  <w14:solidFill>
                    <w14:schemeClr w14:val="tx1"/>
                  </w14:solidFill>
                </w14:textFill>
              </w:rPr>
              <w:t>本项目主体工程区位于</w:t>
            </w:r>
            <w:r>
              <w:rPr>
                <w:rFonts w:hint="eastAsia" w:ascii="Times New Roman" w:hAnsi="Times New Roman" w:eastAsia="宋体" w:cs="Times New Roman"/>
                <w:color w:val="000000" w:themeColor="text1"/>
                <w:sz w:val="24"/>
                <w:szCs w:val="20"/>
                <w:highlight w:val="none"/>
                <w:lang w:val="en-US" w:eastAsia="zh-CN" w:bidi="ar"/>
                <w14:textFill>
                  <w14:solidFill>
                    <w14:schemeClr w14:val="tx1"/>
                  </w14:solidFill>
                </w14:textFill>
              </w:rPr>
              <w:t>宁德市福鼎市白琳镇沿州村</w:t>
            </w:r>
            <w:r>
              <w:rPr>
                <w:rFonts w:hint="default" w:ascii="Times New Roman" w:hAnsi="Times New Roman" w:eastAsia="宋体" w:cs="Times New Roman"/>
                <w:color w:val="000000" w:themeColor="text1"/>
                <w:sz w:val="24"/>
                <w:szCs w:val="20"/>
                <w:highlight w:val="none"/>
                <w:lang w:bidi="ar"/>
                <w14:textFill>
                  <w14:solidFill>
                    <w14:schemeClr w14:val="tx1"/>
                  </w14:solidFill>
                </w14:textFill>
              </w:rPr>
              <w:t>，执行2类标准</w:t>
            </w:r>
            <w:r>
              <w:rPr>
                <w:rFonts w:hint="default" w:ascii="Times New Roman" w:hAnsi="Times New Roman" w:eastAsia="宋体" w:cs="Times New Roman"/>
                <w:color w:val="000000" w:themeColor="text1"/>
                <w:sz w:val="24"/>
                <w:szCs w:val="20"/>
                <w:highlight w:val="none"/>
                <w:lang w:eastAsia="zh-CN" w:bidi="ar"/>
                <w14:textFill>
                  <w14:solidFill>
                    <w14:schemeClr w14:val="tx1"/>
                  </w14:solidFill>
                </w14:textFill>
              </w:rPr>
              <w:t>，</w:t>
            </w:r>
            <w:r>
              <w:rPr>
                <w:rFonts w:hint="default" w:ascii="Times New Roman" w:hAnsi="Times New Roman" w:eastAsia="宋体" w:cs="Times New Roman"/>
                <w:color w:val="000000" w:themeColor="text1"/>
                <w:sz w:val="24"/>
                <w:szCs w:val="20"/>
                <w:highlight w:val="none"/>
                <w:lang w:val="en-US" w:eastAsia="zh-CN" w:bidi="ar"/>
                <w14:textFill>
                  <w14:solidFill>
                    <w14:schemeClr w14:val="tx1"/>
                  </w14:solidFill>
                </w14:textFill>
              </w:rPr>
              <w:t>具体</w:t>
            </w:r>
            <w:r>
              <w:rPr>
                <w:rFonts w:hint="default" w:ascii="Times New Roman" w:hAnsi="Times New Roman" w:eastAsia="宋体" w:cs="Times New Roman"/>
                <w:color w:val="000000" w:themeColor="text1"/>
                <w:sz w:val="24"/>
                <w:szCs w:val="20"/>
                <w:highlight w:val="none"/>
                <w:lang w:bidi="ar"/>
                <w14:textFill>
                  <w14:solidFill>
                    <w14:schemeClr w14:val="tx1"/>
                  </w14:solidFill>
                </w14:textFill>
              </w:rPr>
              <w:t>详</w:t>
            </w:r>
            <w:r>
              <w:rPr>
                <w:rFonts w:hint="default" w:ascii="Times New Roman" w:hAnsi="Times New Roman" w:eastAsia="宋体" w:cs="Times New Roman"/>
                <w:color w:val="000000" w:themeColor="text1"/>
                <w:sz w:val="24"/>
                <w:highlight w:val="none"/>
                <w14:textFill>
                  <w14:solidFill>
                    <w14:schemeClr w14:val="tx1"/>
                  </w14:solidFill>
                </w14:textFill>
              </w:rPr>
              <w:t>见表3.</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highlight w:val="none"/>
                <w14:textFill>
                  <w14:solidFill>
                    <w14:schemeClr w14:val="tx1"/>
                  </w14:solidFill>
                </w14:textFill>
              </w:rPr>
              <w:t>-</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82" w:firstLineChars="200"/>
              <w:jc w:val="center"/>
              <w:textAlignment w:val="baseline"/>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表3.</w:t>
            </w:r>
            <w:r>
              <w:rPr>
                <w:rFonts w:hint="eastAsia" w:ascii="Times New Roman" w:hAnsi="Times New Roman" w:eastAsia="宋体" w:cs="Times New Roman"/>
                <w:b/>
                <w:color w:val="000000" w:themeColor="text1"/>
                <w:sz w:val="24"/>
                <w:highlight w:val="none"/>
                <w:lang w:val="en-US" w:eastAsia="zh-CN"/>
                <w14:textFill>
                  <w14:solidFill>
                    <w14:schemeClr w14:val="tx1"/>
                  </w14:solidFill>
                </w14:textFill>
              </w:rPr>
              <w:t>6</w:t>
            </w:r>
            <w:r>
              <w:rPr>
                <w:rFonts w:hint="default" w:ascii="Times New Roman" w:hAnsi="Times New Roman" w:eastAsia="宋体" w:cs="Times New Roman"/>
                <w:b/>
                <w:color w:val="000000" w:themeColor="text1"/>
                <w:sz w:val="24"/>
                <w:highlight w:val="none"/>
                <w14:textFill>
                  <w14:solidFill>
                    <w14:schemeClr w14:val="tx1"/>
                  </w14:solidFill>
                </w14:textFill>
              </w:rPr>
              <w:t>-</w:t>
            </w:r>
            <w:r>
              <w:rPr>
                <w:rFonts w:hint="eastAsia" w:ascii="Times New Roman" w:hAnsi="Times New Roman" w:eastAsia="宋体" w:cs="Times New Roman"/>
                <w:b/>
                <w:color w:val="000000" w:themeColor="text1"/>
                <w:sz w:val="24"/>
                <w:highlight w:val="none"/>
                <w:lang w:val="en-US" w:eastAsia="zh-CN"/>
                <w14:textFill>
                  <w14:solidFill>
                    <w14:schemeClr w14:val="tx1"/>
                  </w14:solidFill>
                </w14:textFill>
              </w:rPr>
              <w:t>5</w:t>
            </w:r>
            <w:r>
              <w:rPr>
                <w:rFonts w:hint="default" w:ascii="Times New Roman" w:hAnsi="Times New Roman" w:eastAsia="宋体" w:cs="Times New Roman"/>
                <w:b/>
                <w:color w:val="000000" w:themeColor="text1"/>
                <w:sz w:val="24"/>
                <w:highlight w:val="none"/>
                <w14:textFill>
                  <w14:solidFill>
                    <w14:schemeClr w14:val="tx1"/>
                  </w14:solidFill>
                </w14:textFill>
              </w:rPr>
              <w:t xml:space="preserve">  声环境质量标准（摘录）  单位：dB(A)</w:t>
            </w:r>
          </w:p>
          <w:tbl>
            <w:tblPr>
              <w:tblStyle w:val="33"/>
              <w:tblW w:w="842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0"/>
              <w:gridCol w:w="942"/>
              <w:gridCol w:w="5229"/>
              <w:gridCol w:w="841"/>
              <w:gridCol w:w="7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blHeader/>
              </w:trPr>
              <w:tc>
                <w:tcPr>
                  <w:tcW w:w="1602" w:type="dxa"/>
                  <w:gridSpan w:val="2"/>
                  <w:tcBorders>
                    <w:top w:val="single" w:color="auto" w:sz="18"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类别</w:t>
                  </w:r>
                </w:p>
              </w:tc>
              <w:tc>
                <w:tcPr>
                  <w:tcW w:w="5229" w:type="dxa"/>
                  <w:tcBorders>
                    <w:top w:val="single" w:color="auto" w:sz="18"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适用区域</w:t>
                  </w:r>
                </w:p>
              </w:tc>
              <w:tc>
                <w:tcPr>
                  <w:tcW w:w="841" w:type="dxa"/>
                  <w:tcBorders>
                    <w:top w:val="single" w:color="auto" w:sz="18"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昼间</w:t>
                  </w:r>
                </w:p>
              </w:tc>
              <w:tc>
                <w:tcPr>
                  <w:tcW w:w="750" w:type="dxa"/>
                  <w:tcBorders>
                    <w:top w:val="single" w:color="auto" w:sz="18"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rPr>
                      <w:rFonts w:hint="default" w:ascii="Times New Roman" w:hAnsi="Times New Roman" w:eastAsia="宋体" w:cs="Times New Roman"/>
                      <w:b w:val="0"/>
                      <w:bCs w:val="0"/>
                      <w:color w:val="000000" w:themeColor="text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1602" w:type="dxa"/>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0类</w:t>
                  </w:r>
                </w:p>
              </w:tc>
              <w:tc>
                <w:tcPr>
                  <w:tcW w:w="522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康复疗养区等特别需要安静的区域</w:t>
                  </w:r>
                </w:p>
              </w:tc>
              <w:tc>
                <w:tcPr>
                  <w:tcW w:w="84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50</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1602" w:type="dxa"/>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1类</w:t>
                  </w:r>
                </w:p>
              </w:tc>
              <w:tc>
                <w:tcPr>
                  <w:tcW w:w="522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居民住宅、医疗卫生、文化教育、科研设计、行政办公等需要保持安静的区域</w:t>
                  </w:r>
                </w:p>
              </w:tc>
              <w:tc>
                <w:tcPr>
                  <w:tcW w:w="84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55</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1602" w:type="dxa"/>
                  <w:gridSpan w:val="2"/>
                  <w:shd w:val="clear" w:color="auto" w:fill="D7D7D7"/>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2类</w:t>
                  </w:r>
                </w:p>
              </w:tc>
              <w:tc>
                <w:tcPr>
                  <w:tcW w:w="5229" w:type="dxa"/>
                  <w:shd w:val="clear" w:color="auto" w:fill="D7D7D7"/>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以商业金融、集市贸易为主要功能，或者居住、商业、工业混杂，需要维护住宅安静的区域</w:t>
                  </w:r>
                </w:p>
              </w:tc>
              <w:tc>
                <w:tcPr>
                  <w:tcW w:w="841" w:type="dxa"/>
                  <w:shd w:val="clear" w:color="auto" w:fill="D7D7D7"/>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60</w:t>
                  </w:r>
                </w:p>
              </w:tc>
              <w:tc>
                <w:tcPr>
                  <w:tcW w:w="750" w:type="dxa"/>
                  <w:shd w:val="clear" w:color="auto" w:fill="D7D7D7"/>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1602" w:type="dxa"/>
                  <w:gridSpan w:val="2"/>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3类</w:t>
                  </w:r>
                </w:p>
              </w:tc>
              <w:tc>
                <w:tcPr>
                  <w:tcW w:w="5229"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以工业生产、仓储物流为主要功能，需要防止工业噪声对周围环境产生严重影响的区域</w:t>
                  </w:r>
                </w:p>
              </w:tc>
              <w:tc>
                <w:tcPr>
                  <w:tcW w:w="841"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65</w:t>
                  </w:r>
                </w:p>
              </w:tc>
              <w:tc>
                <w:tcPr>
                  <w:tcW w:w="75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77" w:hRule="atLeast"/>
              </w:trPr>
              <w:tc>
                <w:tcPr>
                  <w:tcW w:w="660"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4类</w:t>
                  </w:r>
                </w:p>
              </w:tc>
              <w:tc>
                <w:tcPr>
                  <w:tcW w:w="942"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4a类</w:t>
                  </w:r>
                </w:p>
              </w:tc>
              <w:tc>
                <w:tcPr>
                  <w:tcW w:w="5229"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高速公路、一级公路、二级公路、城市快速路、城市主干路、城市次干路、城市轨道交通（地面段）、内河航道两侧区域</w:t>
                  </w:r>
                </w:p>
              </w:tc>
              <w:tc>
                <w:tcPr>
                  <w:tcW w:w="841"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70</w:t>
                  </w:r>
                </w:p>
              </w:tc>
              <w:tc>
                <w:tcPr>
                  <w:tcW w:w="750" w:type="dxa"/>
                  <w:shd w:val="clear" w:color="auto" w:fill="auto"/>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Pr>
              <w:tc>
                <w:tcPr>
                  <w:tcW w:w="660" w:type="dxa"/>
                  <w:vMerge w:val="continue"/>
                  <w:tcBorders>
                    <w:bottom w:val="single" w:color="auto" w:sz="18"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20" w:firstLineChars="200"/>
                    <w:jc w:val="center"/>
                    <w:rPr>
                      <w:rFonts w:hint="default" w:ascii="Times New Roman" w:hAnsi="Times New Roman" w:eastAsia="宋体" w:cs="Times New Roman"/>
                      <w:color w:val="000000" w:themeColor="text1"/>
                      <w:szCs w:val="21"/>
                      <w:highlight w:val="none"/>
                      <w14:textFill>
                        <w14:solidFill>
                          <w14:schemeClr w14:val="tx1"/>
                        </w14:solidFill>
                      </w14:textFill>
                    </w:rPr>
                  </w:pPr>
                </w:p>
              </w:tc>
              <w:tc>
                <w:tcPr>
                  <w:tcW w:w="942" w:type="dxa"/>
                  <w:tcBorders>
                    <w:bottom w:val="single" w:color="auto" w:sz="18"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4b类</w:t>
                  </w:r>
                </w:p>
              </w:tc>
              <w:tc>
                <w:tcPr>
                  <w:tcW w:w="5229" w:type="dxa"/>
                  <w:tcBorders>
                    <w:bottom w:val="single" w:color="auto" w:sz="18"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铁路干线两侧区域</w:t>
                  </w:r>
                </w:p>
              </w:tc>
              <w:tc>
                <w:tcPr>
                  <w:tcW w:w="841" w:type="dxa"/>
                  <w:tcBorders>
                    <w:bottom w:val="single" w:color="auto" w:sz="18"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70</w:t>
                  </w:r>
                </w:p>
              </w:tc>
              <w:tc>
                <w:tcPr>
                  <w:tcW w:w="750" w:type="dxa"/>
                  <w:tcBorders>
                    <w:bottom w:val="single" w:color="auto" w:sz="18" w:space="0"/>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60</w:t>
                  </w:r>
                </w:p>
              </w:tc>
            </w:tr>
          </w:tbl>
          <w:p>
            <w:pPr>
              <w:pStyle w:val="11"/>
              <w:pageBreakBefore w:val="0"/>
              <w:kinsoku/>
              <w:bidi w:val="0"/>
              <w:spacing w:beforeAutospacing="0" w:afterAutospacing="0"/>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pPr>
            <w:bookmarkStart w:id="33" w:name="_Toc26186"/>
            <w:bookmarkStart w:id="34" w:name="_Toc18268"/>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32"/>
                <w:szCs w:val="32"/>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污染物排放标准</w:t>
            </w:r>
            <w:bookmarkEnd w:id="33"/>
            <w:bookmarkEnd w:id="34"/>
          </w:p>
          <w:p>
            <w:pPr>
              <w:pStyle w:val="11"/>
              <w:pageBreakBefore w:val="0"/>
              <w:kinsoku/>
              <w:bidi w:val="0"/>
              <w:spacing w:beforeAutospacing="0" w:afterAutospacing="0"/>
              <w:rPr>
                <w:rFonts w:hint="default" w:ascii="Times New Roman" w:hAnsi="Times New Roman" w:eastAsia="宋体"/>
                <w:color w:val="000000" w:themeColor="text1"/>
                <w:sz w:val="28"/>
                <w:szCs w:val="28"/>
                <w:lang w:val="en-US" w:eastAsia="zh-CN"/>
                <w14:textFill>
                  <w14:solidFill>
                    <w14:schemeClr w14:val="tx1"/>
                  </w14:solidFill>
                </w14:textFill>
              </w:rPr>
            </w:pPr>
            <w:r>
              <w:rPr>
                <w:rFonts w:hint="default" w:ascii="Times New Roman" w:hAnsi="Times New Roman" w:eastAsia="宋体"/>
                <w:color w:val="000000" w:themeColor="text1"/>
                <w:sz w:val="28"/>
                <w:szCs w:val="28"/>
                <w:lang w:val="en-US" w:eastAsia="zh-CN"/>
                <w14:textFill>
                  <w14:solidFill>
                    <w14:schemeClr w14:val="tx1"/>
                  </w14:solidFill>
                </w14:textFill>
              </w:rPr>
              <w:t>3.</w:t>
            </w:r>
            <w:r>
              <w:rPr>
                <w:rFonts w:hint="eastAsia" w:ascii="Times New Roman" w:hAnsi="Times New Roman" w:eastAsia="宋体"/>
                <w:color w:val="000000" w:themeColor="text1"/>
                <w:sz w:val="28"/>
                <w:szCs w:val="28"/>
                <w:lang w:val="en-US" w:eastAsia="zh-CN"/>
                <w14:textFill>
                  <w14:solidFill>
                    <w14:schemeClr w14:val="tx1"/>
                  </w14:solidFill>
                </w14:textFill>
              </w:rPr>
              <w:t>7</w:t>
            </w:r>
            <w:r>
              <w:rPr>
                <w:rFonts w:hint="default" w:ascii="Times New Roman" w:hAnsi="Times New Roman" w:eastAsia="宋体"/>
                <w:color w:val="000000" w:themeColor="text1"/>
                <w:sz w:val="28"/>
                <w:szCs w:val="28"/>
                <w:lang w:val="en-US" w:eastAsia="zh-CN"/>
                <w14:textFill>
                  <w14:solidFill>
                    <w14:schemeClr w14:val="tx1"/>
                  </w14:solidFill>
                </w14:textFill>
              </w:rPr>
              <w:t>.1废水</w:t>
            </w:r>
            <w:bookmarkEnd w:id="21"/>
            <w:bookmarkEnd w:id="22"/>
            <w:bookmarkEnd w:id="23"/>
            <w:bookmarkStart w:id="35" w:name="_Toc2202"/>
            <w:r>
              <w:rPr>
                <w:rFonts w:hint="default" w:ascii="Times New Roman" w:hAnsi="Times New Roman" w:eastAsia="宋体"/>
                <w:color w:val="000000" w:themeColor="text1"/>
                <w:sz w:val="28"/>
                <w:szCs w:val="28"/>
                <w:lang w:val="en-US" w:eastAsia="zh-CN"/>
                <w14:textFill>
                  <w14:solidFill>
                    <w14:schemeClr w14:val="tx1"/>
                  </w14:solidFill>
                </w14:textFill>
              </w:rPr>
              <w:t>污染物排放标准</w:t>
            </w:r>
          </w:p>
          <w:p>
            <w:pPr>
              <w:keepNext w:val="0"/>
              <w:keepLines w:val="0"/>
              <w:pageBreakBefore w:val="0"/>
              <w:kinsoku/>
              <w:topLinePunct w:val="0"/>
              <w:bidi w:val="0"/>
              <w:spacing w:beforeAutospacing="0" w:afterAutospacing="0" w:line="360" w:lineRule="auto"/>
              <w:ind w:firstLine="480" w:firstLineChars="200"/>
              <w:rPr>
                <w:rFonts w:hint="default" w:ascii="Times New Roman" w:hAnsi="Times New Roman" w:eastAsia="宋体" w:cs="宋体"/>
                <w:color w:val="000000" w:themeColor="text1"/>
                <w:kern w:val="0"/>
                <w:sz w:val="24"/>
                <w:szCs w:val="24"/>
                <w:highlight w:val="none"/>
                <w:lang w:val="en-US" w:eastAsia="zh-CN"/>
                <w14:textFill>
                  <w14:solidFill>
                    <w14:schemeClr w14:val="tx1"/>
                  </w14:solidFill>
                </w14:textFill>
              </w:rPr>
            </w:pPr>
            <w:r>
              <w:rPr>
                <w:rFonts w:hint="eastAsia" w:ascii="Times New Roman" w:hAnsi="Times New Roman" w:eastAsia="宋体" w:cs="宋体"/>
                <w:color w:val="000000" w:themeColor="text1"/>
                <w:kern w:val="0"/>
                <w:sz w:val="24"/>
                <w:szCs w:val="24"/>
                <w:highlight w:val="none"/>
                <w:lang w:val="en-US" w:eastAsia="zh-CN"/>
                <w14:textFill>
                  <w14:solidFill>
                    <w14:schemeClr w14:val="tx1"/>
                  </w14:solidFill>
                </w14:textFill>
              </w:rPr>
              <w:t>本项目施工期生活污水</w:t>
            </w:r>
            <w:r>
              <w:rPr>
                <w:rFonts w:hint="eastAsia" w:ascii="Times New Roman" w:hAnsi="Times New Roman" w:eastAsia="宋体" w:cs="宋体"/>
                <w:color w:val="000000" w:themeColor="text1"/>
                <w:kern w:val="0"/>
                <w:sz w:val="24"/>
                <w:szCs w:val="24"/>
                <w:highlight w:val="none"/>
                <w14:textFill>
                  <w14:solidFill>
                    <w14:schemeClr w14:val="tx1"/>
                  </w14:solidFill>
                </w14:textFill>
              </w:rPr>
              <w:t>生活污水通过化粪池处理后用槽罐车运往</w:t>
            </w:r>
            <w:r>
              <w:rPr>
                <w:rFonts w:hint="eastAsia" w:ascii="Times New Roman" w:hAnsi="Times New Roman" w:eastAsia="宋体" w:cs="宋体"/>
                <w:color w:val="000000" w:themeColor="text1"/>
                <w:kern w:val="0"/>
                <w:sz w:val="24"/>
                <w:szCs w:val="24"/>
                <w:highlight w:val="none"/>
                <w:lang w:val="en-US" w:eastAsia="zh-CN"/>
                <w14:textFill>
                  <w14:solidFill>
                    <w14:schemeClr w14:val="tx1"/>
                  </w14:solidFill>
                </w14:textFill>
              </w:rPr>
              <w:t>福鼎市白琳镇</w:t>
            </w:r>
            <w:r>
              <w:rPr>
                <w:rFonts w:hint="eastAsia" w:ascii="Times New Roman" w:hAnsi="Times New Roman" w:eastAsia="宋体" w:cs="宋体"/>
                <w:color w:val="000000" w:themeColor="text1"/>
                <w:kern w:val="0"/>
                <w:sz w:val="24"/>
                <w:szCs w:val="24"/>
                <w:highlight w:val="none"/>
                <w14:textFill>
                  <w14:solidFill>
                    <w14:schemeClr w14:val="tx1"/>
                  </w14:solidFill>
                </w14:textFill>
              </w:rPr>
              <w:t>污水处理站深度处理</w:t>
            </w:r>
            <w:r>
              <w:rPr>
                <w:rFonts w:hint="eastAsia" w:ascii="Times New Roman" w:hAnsi="Times New Roman" w:eastAsia="宋体" w:cs="宋体"/>
                <w:color w:val="000000" w:themeColor="text1"/>
                <w:kern w:val="0"/>
                <w:sz w:val="24"/>
                <w:szCs w:val="24"/>
                <w:highlight w:val="none"/>
                <w:lang w:eastAsia="zh-CN"/>
                <w14:textFill>
                  <w14:solidFill>
                    <w14:schemeClr w14:val="tx1"/>
                  </w14:solidFill>
                </w14:textFill>
              </w:rPr>
              <w:t>。</w:t>
            </w:r>
            <w:r>
              <w:rPr>
                <w:rFonts w:hint="eastAsia" w:ascii="Times New Roman" w:hAnsi="Times New Roman" w:eastAsia="宋体" w:cs="宋体"/>
                <w:color w:val="000000" w:themeColor="text1"/>
                <w:kern w:val="0"/>
                <w:sz w:val="24"/>
                <w:szCs w:val="24"/>
                <w:highlight w:val="none"/>
                <w:lang w:val="en-US" w:eastAsia="zh-CN"/>
                <w14:textFill>
                  <w14:solidFill>
                    <w14:schemeClr w14:val="tx1"/>
                  </w14:solidFill>
                </w14:textFill>
              </w:rPr>
              <w:t>生产废水经沉淀池处理后回用。</w:t>
            </w:r>
          </w:p>
          <w:p>
            <w:pPr>
              <w:keepNext w:val="0"/>
              <w:keepLines w:val="0"/>
              <w:pageBreakBefore w:val="0"/>
              <w:kinsoku/>
              <w:topLinePunct w:val="0"/>
              <w:bidi w:val="0"/>
              <w:spacing w:beforeAutospacing="0" w:afterAutospacing="0" w:line="360" w:lineRule="auto"/>
              <w:ind w:firstLine="480" w:firstLineChars="200"/>
              <w:rPr>
                <w:rFonts w:hint="default" w:ascii="Times New Roman" w:hAnsi="Times New Roman" w:eastAsia="宋体"/>
                <w:color w:val="000000" w:themeColor="text1"/>
                <w:highlight w:val="none"/>
                <w14:textFill>
                  <w14:solidFill>
                    <w14:schemeClr w14:val="tx1"/>
                  </w14:solidFill>
                </w14:textFill>
              </w:rPr>
            </w:pPr>
            <w:r>
              <w:rPr>
                <w:rFonts w:hint="eastAsia" w:ascii="Times New Roman" w:hAnsi="Times New Roman" w:eastAsia="宋体" w:cs="宋体"/>
                <w:color w:val="000000" w:themeColor="text1"/>
                <w:kern w:val="0"/>
                <w:sz w:val="24"/>
                <w:szCs w:val="24"/>
                <w:highlight w:val="none"/>
                <w:lang w:val="en-US" w:eastAsia="zh-CN"/>
                <w14:textFill>
                  <w14:solidFill>
                    <w14:schemeClr w14:val="tx1"/>
                  </w14:solidFill>
                </w14:textFill>
              </w:rPr>
              <w:t>本项目运用期生产废水经沉淀池处理后回用，无生产废水外排</w:t>
            </w:r>
            <w:r>
              <w:rPr>
                <w:rFonts w:hint="eastAsia" w:ascii="Times New Roman" w:hAnsi="Times New Roman" w:eastAsia="宋体" w:cs="宋体"/>
                <w:color w:val="000000" w:themeColor="text1"/>
                <w:kern w:val="0"/>
                <w:sz w:val="24"/>
                <w:szCs w:val="24"/>
                <w:highlight w:val="none"/>
                <w14:textFill>
                  <w14:solidFill>
                    <w14:schemeClr w14:val="tx1"/>
                  </w14:solidFill>
                </w14:textFill>
              </w:rPr>
              <w:t>；</w:t>
            </w:r>
            <w:r>
              <w:rPr>
                <w:rFonts w:hint="eastAsia" w:ascii="Times New Roman" w:hAnsi="Times New Roman" w:eastAsia="宋体" w:cs="宋体"/>
                <w:color w:val="000000" w:themeColor="text1"/>
                <w:kern w:val="0"/>
                <w:sz w:val="24"/>
                <w:szCs w:val="24"/>
                <w:highlight w:val="none"/>
                <w14:textFill>
                  <w14:solidFill>
                    <w14:schemeClr w14:val="tx1"/>
                  </w14:solidFill>
                </w14:textFill>
              </w:rPr>
              <w:t>车辆冲洗废水采用隔油沉淀池处理后循环使用，不外排；初期雨水经初期雨水池收集后，由水泵抽至沉淀池处理后作为生产补充水，不外排；生活污水通过化粪池处理后用槽罐车运往</w:t>
            </w:r>
            <w:r>
              <w:rPr>
                <w:rFonts w:hint="eastAsia" w:ascii="Times New Roman" w:hAnsi="Times New Roman" w:eastAsia="宋体" w:cs="宋体"/>
                <w:color w:val="000000" w:themeColor="text1"/>
                <w:kern w:val="0"/>
                <w:sz w:val="24"/>
                <w:szCs w:val="24"/>
                <w:highlight w:val="none"/>
                <w:lang w:val="en-US" w:eastAsia="zh-CN"/>
                <w14:textFill>
                  <w14:solidFill>
                    <w14:schemeClr w14:val="tx1"/>
                  </w14:solidFill>
                </w14:textFill>
              </w:rPr>
              <w:t>福鼎市白琳镇</w:t>
            </w:r>
            <w:r>
              <w:rPr>
                <w:rFonts w:hint="eastAsia" w:ascii="Times New Roman" w:hAnsi="Times New Roman" w:eastAsia="宋体" w:cs="宋体"/>
                <w:color w:val="000000" w:themeColor="text1"/>
                <w:kern w:val="0"/>
                <w:sz w:val="24"/>
                <w:szCs w:val="24"/>
                <w:highlight w:val="none"/>
                <w14:textFill>
                  <w14:solidFill>
                    <w14:schemeClr w14:val="tx1"/>
                  </w14:solidFill>
                </w14:textFill>
              </w:rPr>
              <w:t>污水处理站深度处理</w:t>
            </w:r>
            <w:bookmarkEnd w:id="35"/>
            <w:bookmarkStart w:id="36" w:name="_Toc5349"/>
            <w:bookmarkStart w:id="37" w:name="_Toc9295"/>
            <w:bookmarkStart w:id="38" w:name="_Toc17171"/>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化粪池出水水质执行《污水综合排放标准》（GB8978-1996）表4中三级标准</w:t>
            </w:r>
            <w:r>
              <w:rPr>
                <w:rFonts w:hint="default" w:ascii="Times New Roman" w:hAnsi="Times New Roman" w:eastAsia="宋体" w:cs="Times New Roman"/>
                <w:snapToGrid w:val="0"/>
                <w:color w:val="000000" w:themeColor="text1"/>
                <w:kern w:val="18"/>
                <w:sz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其中氨氮参照执行《污水排入城镇下水道水质标准》（GB/T31962-2015）表1中B级标准</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snapToGrid w:val="0"/>
                <w:color w:val="000000" w:themeColor="text1"/>
                <w:kern w:val="18"/>
                <w:sz w:val="24"/>
                <w:highlight w:val="none"/>
                <w14:textFill>
                  <w14:solidFill>
                    <w14:schemeClr w14:val="tx1"/>
                  </w14:solidFill>
                </w14:textFill>
              </w:rPr>
              <w:t>详见表3.</w:t>
            </w:r>
            <w:r>
              <w:rPr>
                <w:rFonts w:hint="eastAsia" w:ascii="Times New Roman" w:hAnsi="Times New Roman" w:eastAsia="宋体" w:cs="Times New Roman"/>
                <w:snapToGrid w:val="0"/>
                <w:color w:val="000000" w:themeColor="text1"/>
                <w:kern w:val="18"/>
                <w:sz w:val="24"/>
                <w:highlight w:val="none"/>
                <w:lang w:val="en-US" w:eastAsia="zh-CN"/>
                <w14:textFill>
                  <w14:solidFill>
                    <w14:schemeClr w14:val="tx1"/>
                  </w14:solidFill>
                </w14:textFill>
              </w:rPr>
              <w:t>7</w:t>
            </w:r>
            <w:r>
              <w:rPr>
                <w:rFonts w:hint="default" w:ascii="Times New Roman" w:hAnsi="Times New Roman" w:eastAsia="宋体" w:cs="Times New Roman"/>
                <w:snapToGrid w:val="0"/>
                <w:color w:val="000000" w:themeColor="text1"/>
                <w:kern w:val="18"/>
                <w:sz w:val="24"/>
                <w:highlight w:val="none"/>
                <w14:textFill>
                  <w14:solidFill>
                    <w14:schemeClr w14:val="tx1"/>
                  </w14:solidFill>
                </w14:textFill>
              </w:rPr>
              <w:t>-1</w:t>
            </w:r>
            <w:r>
              <w:rPr>
                <w:rFonts w:hint="default" w:ascii="Times New Roman" w:hAnsi="Times New Roman" w:eastAsia="宋体" w:cs="Times New Roman"/>
                <w:snapToGrid w:val="0"/>
                <w:color w:val="000000" w:themeColor="text1"/>
                <w:sz w:val="24"/>
                <w:szCs w:val="28"/>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82" w:firstLineChars="200"/>
              <w:jc w:val="center"/>
              <w:textAlignment w:val="auto"/>
              <w:rPr>
                <w:rFonts w:hint="default" w:ascii="Times New Roman" w:hAnsi="Times New Roman" w:eastAsia="宋体" w:cs="Times New Roman"/>
                <w:b/>
                <w:bCs/>
                <w:color w:val="000000" w:themeColor="text1"/>
                <w:sz w:val="24"/>
                <w:szCs w:val="21"/>
                <w:highlight w:val="none"/>
                <w14:textFill>
                  <w14:solidFill>
                    <w14:schemeClr w14:val="tx1"/>
                  </w14:solidFill>
                </w14:textFill>
              </w:rPr>
            </w:pPr>
            <w:r>
              <w:rPr>
                <w:rFonts w:hint="default" w:ascii="Times New Roman" w:hAnsi="Times New Roman" w:eastAsia="宋体" w:cs="Times New Roman"/>
                <w:b/>
                <w:bCs/>
                <w:color w:val="000000" w:themeColor="text1"/>
                <w:sz w:val="24"/>
                <w:szCs w:val="21"/>
                <w:highlight w:val="none"/>
                <w14:textFill>
                  <w14:solidFill>
                    <w14:schemeClr w14:val="tx1"/>
                  </w14:solidFill>
                </w14:textFill>
              </w:rPr>
              <w:t>表3</w:t>
            </w:r>
            <w:r>
              <w:rPr>
                <w:rFonts w:hint="default" w:ascii="Times New Roman" w:hAnsi="Times New Roman" w:eastAsia="宋体" w:cs="Times New Roman"/>
                <w:b/>
                <w:bCs/>
                <w:color w:val="000000" w:themeColor="text1"/>
                <w:sz w:val="24"/>
                <w:szCs w:val="21"/>
                <w:highlight w:val="none"/>
                <w:lang w:val="en-US" w:eastAsia="zh-CN"/>
                <w14:textFill>
                  <w14:solidFill>
                    <w14:schemeClr w14:val="tx1"/>
                  </w14:solidFill>
                </w14:textFill>
              </w:rPr>
              <w:t>.7</w:t>
            </w:r>
            <w:r>
              <w:rPr>
                <w:rFonts w:hint="eastAsia" w:ascii="Times New Roman" w:hAnsi="Times New Roman" w:eastAsia="宋体" w:cs="Times New Roman"/>
                <w:b/>
                <w:bCs/>
                <w:color w:val="000000" w:themeColor="text1"/>
                <w:sz w:val="24"/>
                <w:szCs w:val="21"/>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1"/>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1"/>
                <w:highlight w:val="none"/>
                <w14:textFill>
                  <w14:solidFill>
                    <w14:schemeClr w14:val="tx1"/>
                  </w14:solidFill>
                </w14:textFill>
              </w:rPr>
              <w:t xml:space="preserve"> </w:t>
            </w:r>
            <w:r>
              <w:rPr>
                <w:rFonts w:hint="default" w:ascii="Times New Roman" w:hAnsi="Times New Roman" w:eastAsia="宋体" w:cs="Times New Roman"/>
                <w:b/>
                <w:bCs/>
                <w:color w:val="000000" w:themeColor="text1"/>
                <w:sz w:val="24"/>
                <w:szCs w:val="21"/>
                <w:highlight w:val="none"/>
                <w:lang w:eastAsia="zh-CN"/>
                <w14:textFill>
                  <w14:solidFill>
                    <w14:schemeClr w14:val="tx1"/>
                  </w14:solidFill>
                </w14:textFill>
              </w:rPr>
              <w:t>项目污水</w:t>
            </w:r>
            <w:r>
              <w:rPr>
                <w:rFonts w:hint="default" w:ascii="Times New Roman" w:hAnsi="Times New Roman" w:eastAsia="宋体" w:cs="Times New Roman"/>
                <w:b/>
                <w:bCs/>
                <w:color w:val="000000" w:themeColor="text1"/>
                <w:sz w:val="24"/>
                <w:szCs w:val="21"/>
                <w:highlight w:val="none"/>
                <w14:textFill>
                  <w14:solidFill>
                    <w14:schemeClr w14:val="tx1"/>
                  </w14:solidFill>
                </w14:textFill>
              </w:rPr>
              <w:t>排放执行标准（摘录）</w:t>
            </w:r>
          </w:p>
          <w:tbl>
            <w:tblPr>
              <w:tblStyle w:val="33"/>
              <w:tblW w:w="8428"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22"/>
              <w:gridCol w:w="1442"/>
              <w:gridCol w:w="2015"/>
              <w:gridCol w:w="374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2" w:hRule="atLeast"/>
                <w:tblHeader/>
                <w:jc w:val="center"/>
              </w:trPr>
              <w:tc>
                <w:tcPr>
                  <w:tcW w:w="1222" w:type="dxa"/>
                  <w:tcBorders>
                    <w:tl2br w:val="nil"/>
                    <w:tr2bl w:val="nil"/>
                  </w:tcBorders>
                  <w:tcMar>
                    <w:left w:w="28" w:type="dxa"/>
                    <w:right w:w="28" w:type="dxa"/>
                  </w:tcMar>
                  <w:vAlign w:val="center"/>
                </w:tcPr>
                <w:p>
                  <w:pPr>
                    <w:pStyle w:val="138"/>
                    <w:pageBreakBefore w:val="0"/>
                    <w:kinsoku/>
                    <w:bidi w:val="0"/>
                    <w:spacing w:beforeAutospacing="0" w:afterAutospacing="0"/>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eastAsia="zh-CN"/>
                      <w14:textFill>
                        <w14:solidFill>
                          <w14:schemeClr w14:val="tx1"/>
                        </w14:solidFill>
                      </w14:textFill>
                    </w:rPr>
                    <w:t>序号</w:t>
                  </w:r>
                </w:p>
              </w:tc>
              <w:tc>
                <w:tcPr>
                  <w:tcW w:w="1442" w:type="dxa"/>
                  <w:tcBorders>
                    <w:tl2br w:val="nil"/>
                    <w:tr2bl w:val="nil"/>
                  </w:tcBorders>
                  <w:vAlign w:val="center"/>
                </w:tcPr>
                <w:p>
                  <w:pPr>
                    <w:pStyle w:val="138"/>
                    <w:pageBreakBefore w:val="0"/>
                    <w:kinsoku/>
                    <w:bidi w:val="0"/>
                    <w:spacing w:beforeAutospacing="0" w:afterAutospacing="0"/>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指标</w:t>
                  </w:r>
                </w:p>
              </w:tc>
              <w:tc>
                <w:tcPr>
                  <w:tcW w:w="2015" w:type="dxa"/>
                  <w:tcBorders>
                    <w:tl2br w:val="nil"/>
                    <w:tr2bl w:val="nil"/>
                  </w:tcBorders>
                  <w:vAlign w:val="center"/>
                </w:tcPr>
                <w:p>
                  <w:pPr>
                    <w:pStyle w:val="138"/>
                    <w:pageBreakBefore w:val="0"/>
                    <w:kinsoku/>
                    <w:bidi w:val="0"/>
                    <w:spacing w:beforeAutospacing="0" w:afterAutospacing="0"/>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标准值（mg/</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L</w:t>
                  </w: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w:t>
                  </w:r>
                </w:p>
              </w:tc>
              <w:tc>
                <w:tcPr>
                  <w:tcW w:w="3749" w:type="dxa"/>
                  <w:tcBorders>
                    <w:tl2br w:val="nil"/>
                    <w:tr2bl w:val="nil"/>
                  </w:tcBorders>
                  <w:vAlign w:val="center"/>
                </w:tcPr>
                <w:p>
                  <w:pPr>
                    <w:pStyle w:val="138"/>
                    <w:pageBreakBefore w:val="0"/>
                    <w:kinsoku/>
                    <w:bidi w:val="0"/>
                    <w:spacing w:beforeAutospacing="0" w:afterAutospacing="0"/>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执行标准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2" w:hRule="atLeast"/>
                <w:jc w:val="center"/>
              </w:trPr>
              <w:tc>
                <w:tcPr>
                  <w:tcW w:w="1222" w:type="dxa"/>
                  <w:tcBorders>
                    <w:tl2br w:val="nil"/>
                    <w:tr2bl w:val="nil"/>
                  </w:tcBorders>
                  <w:tcMar>
                    <w:left w:w="28" w:type="dxa"/>
                    <w:right w:w="28" w:type="dxa"/>
                  </w:tcMar>
                  <w:vAlign w:val="center"/>
                </w:tcPr>
                <w:p>
                  <w:pPr>
                    <w:pStyle w:val="138"/>
                    <w:pageBreakBefore w:val="0"/>
                    <w:kinsoku/>
                    <w:bidi w:val="0"/>
                    <w:spacing w:beforeAutospacing="0" w:afterAutospacing="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1442" w:type="dxa"/>
                  <w:tcBorders>
                    <w:tl2br w:val="nil"/>
                    <w:tr2bl w:val="nil"/>
                  </w:tcBorders>
                  <w:vAlign w:val="center"/>
                </w:tcPr>
                <w:p>
                  <w:pPr>
                    <w:pStyle w:val="138"/>
                    <w:pageBreakBefore w:val="0"/>
                    <w:kinsoku/>
                    <w:bidi w:val="0"/>
                    <w:spacing w:beforeAutospacing="0" w:afterAutospacing="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pH</w:t>
                  </w:r>
                </w:p>
              </w:tc>
              <w:tc>
                <w:tcPr>
                  <w:tcW w:w="2015" w:type="dxa"/>
                  <w:tcBorders>
                    <w:tl2br w:val="nil"/>
                    <w:tr2bl w:val="nil"/>
                  </w:tcBorders>
                  <w:vAlign w:val="center"/>
                </w:tcPr>
                <w:p>
                  <w:pPr>
                    <w:pStyle w:val="138"/>
                    <w:pageBreakBefore w:val="0"/>
                    <w:kinsoku/>
                    <w:bidi w:val="0"/>
                    <w:spacing w:beforeAutospacing="0" w:afterAutospacing="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6~9（无量纲）</w:t>
                  </w:r>
                </w:p>
              </w:tc>
              <w:tc>
                <w:tcPr>
                  <w:tcW w:w="3749" w:type="dxa"/>
                  <w:vMerge w:val="restart"/>
                  <w:tcBorders>
                    <w:tl2br w:val="nil"/>
                    <w:tr2bl w:val="nil"/>
                  </w:tcBorders>
                  <w:vAlign w:val="center"/>
                </w:tcPr>
                <w:p>
                  <w:pPr>
                    <w:pStyle w:val="138"/>
                    <w:pageBreakBefore w:val="0"/>
                    <w:kinsoku/>
                    <w:bidi w:val="0"/>
                    <w:spacing w:beforeAutospacing="0" w:afterAutospacing="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《污水综合排放标准》</w:t>
                  </w:r>
                </w:p>
                <w:p>
                  <w:pPr>
                    <w:pStyle w:val="138"/>
                    <w:pageBreakBefore w:val="0"/>
                    <w:kinsoku/>
                    <w:bidi w:val="0"/>
                    <w:spacing w:beforeAutospacing="0" w:afterAutospacing="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（GB 8978-1996）表4中三级标准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2" w:hRule="atLeast"/>
                <w:jc w:val="center"/>
              </w:trPr>
              <w:tc>
                <w:tcPr>
                  <w:tcW w:w="1222" w:type="dxa"/>
                  <w:tcBorders>
                    <w:tl2br w:val="nil"/>
                    <w:tr2bl w:val="nil"/>
                  </w:tcBorders>
                  <w:tcMar>
                    <w:left w:w="28" w:type="dxa"/>
                    <w:right w:w="28" w:type="dxa"/>
                  </w:tcMar>
                  <w:vAlign w:val="center"/>
                </w:tcPr>
                <w:p>
                  <w:pPr>
                    <w:pStyle w:val="138"/>
                    <w:pageBreakBefore w:val="0"/>
                    <w:kinsoku/>
                    <w:bidi w:val="0"/>
                    <w:spacing w:beforeAutospacing="0" w:afterAutospacing="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442" w:type="dxa"/>
                  <w:tcBorders>
                    <w:tl2br w:val="nil"/>
                    <w:tr2bl w:val="nil"/>
                  </w:tcBorders>
                  <w:vAlign w:val="center"/>
                </w:tcPr>
                <w:p>
                  <w:pPr>
                    <w:pStyle w:val="138"/>
                    <w:pageBreakBefore w:val="0"/>
                    <w:kinsoku/>
                    <w:bidi w:val="0"/>
                    <w:spacing w:beforeAutospacing="0" w:afterAutospacing="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COD</w:t>
                  </w:r>
                </w:p>
              </w:tc>
              <w:tc>
                <w:tcPr>
                  <w:tcW w:w="2015" w:type="dxa"/>
                  <w:tcBorders>
                    <w:tl2br w:val="nil"/>
                    <w:tr2bl w:val="nil"/>
                  </w:tcBorders>
                  <w:vAlign w:val="center"/>
                </w:tcPr>
                <w:p>
                  <w:pPr>
                    <w:pStyle w:val="138"/>
                    <w:pageBreakBefore w:val="0"/>
                    <w:kinsoku/>
                    <w:bidi w:val="0"/>
                    <w:spacing w:beforeAutospacing="0" w:afterAutospacing="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500</w:t>
                  </w:r>
                </w:p>
              </w:tc>
              <w:tc>
                <w:tcPr>
                  <w:tcW w:w="3749" w:type="dxa"/>
                  <w:vMerge w:val="continue"/>
                  <w:tcBorders>
                    <w:tl2br w:val="nil"/>
                    <w:tr2bl w:val="nil"/>
                  </w:tcBorders>
                  <w:vAlign w:val="center"/>
                </w:tcPr>
                <w:p>
                  <w:pPr>
                    <w:pStyle w:val="138"/>
                    <w:pageBreakBefore w:val="0"/>
                    <w:kinsoku/>
                    <w:bidi w:val="0"/>
                    <w:spacing w:beforeAutospacing="0" w:afterAutospacing="0"/>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2" w:hRule="atLeast"/>
                <w:jc w:val="center"/>
              </w:trPr>
              <w:tc>
                <w:tcPr>
                  <w:tcW w:w="1222" w:type="dxa"/>
                  <w:tcBorders>
                    <w:tl2br w:val="nil"/>
                    <w:tr2bl w:val="nil"/>
                  </w:tcBorders>
                  <w:tcMar>
                    <w:left w:w="28" w:type="dxa"/>
                    <w:right w:w="28" w:type="dxa"/>
                  </w:tcMar>
                  <w:vAlign w:val="center"/>
                </w:tcPr>
                <w:p>
                  <w:pPr>
                    <w:pStyle w:val="138"/>
                    <w:pageBreakBefore w:val="0"/>
                    <w:kinsoku/>
                    <w:bidi w:val="0"/>
                    <w:spacing w:beforeAutospacing="0" w:afterAutospacing="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1442" w:type="dxa"/>
                  <w:tcBorders>
                    <w:tl2br w:val="nil"/>
                    <w:tr2bl w:val="nil"/>
                  </w:tcBorders>
                  <w:vAlign w:val="center"/>
                </w:tcPr>
                <w:p>
                  <w:pPr>
                    <w:pStyle w:val="138"/>
                    <w:pageBreakBefore w:val="0"/>
                    <w:kinsoku/>
                    <w:bidi w:val="0"/>
                    <w:spacing w:beforeAutospacing="0" w:afterAutospacing="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BOD</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5</w:t>
                  </w:r>
                </w:p>
              </w:tc>
              <w:tc>
                <w:tcPr>
                  <w:tcW w:w="2015" w:type="dxa"/>
                  <w:tcBorders>
                    <w:tl2br w:val="nil"/>
                    <w:tr2bl w:val="nil"/>
                  </w:tcBorders>
                  <w:vAlign w:val="center"/>
                </w:tcPr>
                <w:p>
                  <w:pPr>
                    <w:pStyle w:val="138"/>
                    <w:pageBreakBefore w:val="0"/>
                    <w:kinsoku/>
                    <w:bidi w:val="0"/>
                    <w:spacing w:beforeAutospacing="0" w:afterAutospacing="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300</w:t>
                  </w:r>
                </w:p>
              </w:tc>
              <w:tc>
                <w:tcPr>
                  <w:tcW w:w="3749" w:type="dxa"/>
                  <w:vMerge w:val="continue"/>
                  <w:tcBorders>
                    <w:tl2br w:val="nil"/>
                    <w:tr2bl w:val="nil"/>
                  </w:tcBorders>
                  <w:vAlign w:val="center"/>
                </w:tcPr>
                <w:p>
                  <w:pPr>
                    <w:pStyle w:val="138"/>
                    <w:pageBreakBefore w:val="0"/>
                    <w:kinsoku/>
                    <w:bidi w:val="0"/>
                    <w:spacing w:beforeAutospacing="0" w:afterAutospacing="0"/>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52" w:hRule="atLeast"/>
                <w:jc w:val="center"/>
              </w:trPr>
              <w:tc>
                <w:tcPr>
                  <w:tcW w:w="1222" w:type="dxa"/>
                  <w:tcBorders>
                    <w:tl2br w:val="nil"/>
                    <w:tr2bl w:val="nil"/>
                  </w:tcBorders>
                  <w:tcMar>
                    <w:left w:w="28" w:type="dxa"/>
                    <w:right w:w="28" w:type="dxa"/>
                  </w:tcMar>
                  <w:vAlign w:val="center"/>
                </w:tcPr>
                <w:p>
                  <w:pPr>
                    <w:pStyle w:val="138"/>
                    <w:pageBreakBefore w:val="0"/>
                    <w:kinsoku/>
                    <w:bidi w:val="0"/>
                    <w:spacing w:beforeAutospacing="0" w:afterAutospacing="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4</w:t>
                  </w:r>
                </w:p>
              </w:tc>
              <w:tc>
                <w:tcPr>
                  <w:tcW w:w="1442" w:type="dxa"/>
                  <w:tcBorders>
                    <w:tl2br w:val="nil"/>
                    <w:tr2bl w:val="nil"/>
                  </w:tcBorders>
                  <w:vAlign w:val="center"/>
                </w:tcPr>
                <w:p>
                  <w:pPr>
                    <w:pStyle w:val="138"/>
                    <w:pageBreakBefore w:val="0"/>
                    <w:kinsoku/>
                    <w:bidi w:val="0"/>
                    <w:spacing w:beforeAutospacing="0" w:afterAutospacing="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SS</w:t>
                  </w:r>
                </w:p>
              </w:tc>
              <w:tc>
                <w:tcPr>
                  <w:tcW w:w="2015" w:type="dxa"/>
                  <w:tcBorders>
                    <w:tl2br w:val="nil"/>
                    <w:tr2bl w:val="nil"/>
                  </w:tcBorders>
                  <w:vAlign w:val="center"/>
                </w:tcPr>
                <w:p>
                  <w:pPr>
                    <w:pStyle w:val="138"/>
                    <w:pageBreakBefore w:val="0"/>
                    <w:kinsoku/>
                    <w:bidi w:val="0"/>
                    <w:spacing w:beforeAutospacing="0" w:afterAutospacing="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400</w:t>
                  </w:r>
                </w:p>
              </w:tc>
              <w:tc>
                <w:tcPr>
                  <w:tcW w:w="3749" w:type="dxa"/>
                  <w:vMerge w:val="continue"/>
                  <w:tcBorders>
                    <w:tl2br w:val="nil"/>
                    <w:tr2bl w:val="nil"/>
                  </w:tcBorders>
                  <w:vAlign w:val="center"/>
                </w:tcPr>
                <w:p>
                  <w:pPr>
                    <w:pStyle w:val="138"/>
                    <w:pageBreakBefore w:val="0"/>
                    <w:kinsoku/>
                    <w:bidi w:val="0"/>
                    <w:spacing w:beforeAutospacing="0" w:afterAutospacing="0"/>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37" w:hRule="atLeast"/>
                <w:jc w:val="center"/>
              </w:trPr>
              <w:tc>
                <w:tcPr>
                  <w:tcW w:w="1222" w:type="dxa"/>
                  <w:tcBorders>
                    <w:tl2br w:val="nil"/>
                    <w:tr2bl w:val="nil"/>
                  </w:tcBorders>
                  <w:tcMar>
                    <w:left w:w="28" w:type="dxa"/>
                    <w:right w:w="28" w:type="dxa"/>
                  </w:tcMar>
                  <w:vAlign w:val="center"/>
                </w:tcPr>
                <w:p>
                  <w:pPr>
                    <w:pStyle w:val="138"/>
                    <w:pageBreakBefore w:val="0"/>
                    <w:kinsoku/>
                    <w:bidi w:val="0"/>
                    <w:spacing w:beforeAutospacing="0" w:afterAutospacing="0"/>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w:t>
                  </w:r>
                </w:p>
              </w:tc>
              <w:tc>
                <w:tcPr>
                  <w:tcW w:w="1442" w:type="dxa"/>
                  <w:tcBorders>
                    <w:tl2br w:val="nil"/>
                    <w:tr2bl w:val="nil"/>
                  </w:tcBorders>
                  <w:vAlign w:val="center"/>
                </w:tcPr>
                <w:p>
                  <w:pPr>
                    <w:pStyle w:val="138"/>
                    <w:pageBreakBefore w:val="0"/>
                    <w:kinsoku/>
                    <w:bidi w:val="0"/>
                    <w:spacing w:beforeAutospacing="0" w:afterAutospacing="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NH</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-N</w:t>
                  </w:r>
                </w:p>
              </w:tc>
              <w:tc>
                <w:tcPr>
                  <w:tcW w:w="2015" w:type="dxa"/>
                  <w:tcBorders>
                    <w:tl2br w:val="nil"/>
                    <w:tr2bl w:val="nil"/>
                  </w:tcBorders>
                  <w:vAlign w:val="center"/>
                </w:tcPr>
                <w:p>
                  <w:pPr>
                    <w:pStyle w:val="138"/>
                    <w:pageBreakBefore w:val="0"/>
                    <w:kinsoku/>
                    <w:bidi w:val="0"/>
                    <w:spacing w:beforeAutospacing="0" w:afterAutospacing="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45</w:t>
                  </w:r>
                </w:p>
              </w:tc>
              <w:tc>
                <w:tcPr>
                  <w:tcW w:w="3749" w:type="dxa"/>
                  <w:tcBorders>
                    <w:tl2br w:val="nil"/>
                    <w:tr2bl w:val="nil"/>
                  </w:tcBorders>
                  <w:vAlign w:val="center"/>
                </w:tcPr>
                <w:p>
                  <w:pPr>
                    <w:pStyle w:val="138"/>
                    <w:pageBreakBefore w:val="0"/>
                    <w:kinsoku/>
                    <w:bidi w:val="0"/>
                    <w:spacing w:beforeAutospacing="0" w:afterAutospacing="0"/>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《污水排入城镇下水道水质标准》（GB/T31962-2015）表1中B级标准</w:t>
                  </w:r>
                </w:p>
              </w:tc>
            </w:tr>
          </w:tbl>
          <w:p>
            <w:pPr>
              <w:pStyle w:val="11"/>
              <w:pageBreakBefore w:val="0"/>
              <w:kinsoku/>
              <w:bidi w:val="0"/>
              <w:spacing w:beforeAutospacing="0" w:afterAutospacing="0"/>
              <w:rPr>
                <w:rFonts w:hint="default" w:ascii="Times New Roman" w:hAnsi="Times New Roman" w:eastAsia="宋体"/>
                <w:color w:val="000000" w:themeColor="text1"/>
                <w:sz w:val="28"/>
                <w:szCs w:val="28"/>
                <w:lang w:val="en-US" w:eastAsia="zh-CN"/>
                <w14:textFill>
                  <w14:solidFill>
                    <w14:schemeClr w14:val="tx1"/>
                  </w14:solidFill>
                </w14:textFill>
              </w:rPr>
            </w:pPr>
            <w:r>
              <w:rPr>
                <w:rFonts w:hint="default" w:ascii="Times New Roman" w:hAnsi="Times New Roman" w:eastAsia="宋体"/>
                <w:color w:val="000000" w:themeColor="text1"/>
                <w:sz w:val="28"/>
                <w:szCs w:val="28"/>
                <w:lang w:val="en-US" w:eastAsia="zh-CN"/>
                <w14:textFill>
                  <w14:solidFill>
                    <w14:schemeClr w14:val="tx1"/>
                  </w14:solidFill>
                </w14:textFill>
              </w:rPr>
              <w:t>3.</w:t>
            </w:r>
            <w:r>
              <w:rPr>
                <w:rFonts w:hint="eastAsia" w:ascii="Times New Roman" w:hAnsi="Times New Roman" w:eastAsia="宋体"/>
                <w:color w:val="000000" w:themeColor="text1"/>
                <w:sz w:val="28"/>
                <w:szCs w:val="28"/>
                <w:lang w:val="en-US" w:eastAsia="zh-CN"/>
                <w14:textFill>
                  <w14:solidFill>
                    <w14:schemeClr w14:val="tx1"/>
                  </w14:solidFill>
                </w14:textFill>
              </w:rPr>
              <w:t>7</w:t>
            </w:r>
            <w:r>
              <w:rPr>
                <w:rFonts w:hint="default" w:ascii="Times New Roman" w:hAnsi="Times New Roman" w:eastAsia="宋体"/>
                <w:color w:val="000000" w:themeColor="text1"/>
                <w:sz w:val="28"/>
                <w:szCs w:val="28"/>
                <w:lang w:val="en-US" w:eastAsia="zh-CN"/>
                <w14:textFill>
                  <w14:solidFill>
                    <w14:schemeClr w14:val="tx1"/>
                  </w14:solidFill>
                </w14:textFill>
              </w:rPr>
              <w:t>.2 废气</w:t>
            </w:r>
            <w:bookmarkEnd w:id="36"/>
            <w:bookmarkEnd w:id="37"/>
            <w:bookmarkEnd w:id="38"/>
            <w:r>
              <w:rPr>
                <w:rFonts w:hint="default" w:ascii="Times New Roman" w:hAnsi="Times New Roman" w:eastAsia="宋体"/>
                <w:color w:val="000000" w:themeColor="text1"/>
                <w:sz w:val="28"/>
                <w:szCs w:val="28"/>
                <w:lang w:val="en-US" w:eastAsia="zh-CN"/>
                <w14:textFill>
                  <w14:solidFill>
                    <w14:schemeClr w14:val="tx1"/>
                  </w14:solidFill>
                </w14:textFill>
              </w:rPr>
              <w:t>污染物排放标准</w:t>
            </w:r>
          </w:p>
          <w:bookmarkEnd w:id="24"/>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snapToGrid w:val="0"/>
                <w:color w:val="000000" w:themeColor="text1"/>
                <w:sz w:val="24"/>
                <w:szCs w:val="28"/>
                <w:highlight w:val="none"/>
                <w:lang w:val="en-US" w:eastAsia="zh-CN"/>
                <w14:textFill>
                  <w14:solidFill>
                    <w14:schemeClr w14:val="tx1"/>
                  </w14:solidFill>
                </w14:textFill>
              </w:rPr>
            </w:pPr>
            <w:bookmarkStart w:id="39" w:name="_Toc18037"/>
            <w:bookmarkStart w:id="40" w:name="_Toc16792"/>
            <w:bookmarkStart w:id="41" w:name="_Toc22722"/>
            <w:r>
              <w:rPr>
                <w:rFonts w:hint="default" w:ascii="Times New Roman" w:hAnsi="Times New Roman" w:eastAsia="宋体" w:cs="Times New Roman"/>
                <w:snapToGrid w:val="0"/>
                <w:color w:val="000000" w:themeColor="text1"/>
                <w:sz w:val="24"/>
                <w:highlight w:val="none"/>
                <w14:textFill>
                  <w14:solidFill>
                    <w14:schemeClr w14:val="tx1"/>
                  </w14:solidFill>
                </w14:textFill>
              </w:rPr>
              <w:t>项目</w:t>
            </w:r>
            <w:r>
              <w:rPr>
                <w:rFonts w:hint="eastAsia" w:ascii="Times New Roman" w:hAnsi="Times New Roman" w:eastAsia="宋体" w:cs="Times New Roman"/>
                <w:snapToGrid w:val="0"/>
                <w:color w:val="000000" w:themeColor="text1"/>
                <w:sz w:val="24"/>
                <w:highlight w:val="none"/>
                <w:lang w:val="en-US" w:eastAsia="zh-CN"/>
                <w14:textFill>
                  <w14:solidFill>
                    <w14:schemeClr w14:val="tx1"/>
                  </w14:solidFill>
                </w14:textFill>
              </w:rPr>
              <w:t>施工期、运营期粉尘</w:t>
            </w:r>
            <w:r>
              <w:rPr>
                <w:rFonts w:hint="default" w:ascii="Times New Roman" w:hAnsi="Times New Roman" w:eastAsia="宋体" w:cs="Times New Roman"/>
                <w:snapToGrid w:val="0"/>
                <w:color w:val="000000" w:themeColor="text1"/>
                <w:sz w:val="24"/>
                <w:highlight w:val="none"/>
                <w14:textFill>
                  <w14:solidFill>
                    <w14:schemeClr w14:val="tx1"/>
                  </w14:solidFill>
                </w14:textFill>
              </w:rPr>
              <w:t>排放执行</w:t>
            </w:r>
            <w:r>
              <w:rPr>
                <w:rFonts w:hint="default" w:ascii="Times New Roman" w:hAnsi="Times New Roman" w:eastAsia="宋体" w:cs="Times New Roman"/>
                <w:snapToGrid w:val="0"/>
                <w:color w:val="000000" w:themeColor="text1"/>
                <w:sz w:val="24"/>
                <w:highlight w:val="none"/>
                <w14:textFill>
                  <w14:solidFill>
                    <w14:schemeClr w14:val="tx1"/>
                  </w14:solidFill>
                </w14:textFill>
              </w:rPr>
              <w:t>《大气污染物综合排放标准》（GB16297-1996）</w:t>
            </w:r>
            <w:r>
              <w:rPr>
                <w:rFonts w:hint="default" w:ascii="Times New Roman" w:hAnsi="Times New Roman" w:eastAsia="宋体" w:cs="Times New Roman"/>
                <w:snapToGrid w:val="0"/>
                <w:color w:val="000000" w:themeColor="text1"/>
                <w:kern w:val="18"/>
                <w:sz w:val="24"/>
                <w:highlight w:val="none"/>
                <w14:textFill>
                  <w14:solidFill>
                    <w14:schemeClr w14:val="tx1"/>
                  </w14:solidFill>
                </w14:textFill>
              </w:rPr>
              <w:t>表2中无组织排放监控浓度限值，详见表3.</w:t>
            </w:r>
            <w:r>
              <w:rPr>
                <w:rFonts w:hint="eastAsia" w:ascii="Times New Roman" w:hAnsi="Times New Roman" w:eastAsia="宋体" w:cs="Times New Roman"/>
                <w:snapToGrid w:val="0"/>
                <w:color w:val="000000" w:themeColor="text1"/>
                <w:kern w:val="18"/>
                <w:sz w:val="24"/>
                <w:highlight w:val="none"/>
                <w:lang w:val="en-US" w:eastAsia="zh-CN"/>
                <w14:textFill>
                  <w14:solidFill>
                    <w14:schemeClr w14:val="tx1"/>
                  </w14:solidFill>
                </w14:textFill>
              </w:rPr>
              <w:t>7</w:t>
            </w:r>
            <w:r>
              <w:rPr>
                <w:rFonts w:hint="default" w:ascii="Times New Roman" w:hAnsi="Times New Roman" w:eastAsia="宋体" w:cs="Times New Roman"/>
                <w:snapToGrid w:val="0"/>
                <w:color w:val="000000" w:themeColor="text1"/>
                <w:kern w:val="18"/>
                <w:sz w:val="24"/>
                <w:highlight w:val="none"/>
                <w14:textFill>
                  <w14:solidFill>
                    <w14:schemeClr w14:val="tx1"/>
                  </w14:solidFill>
                </w14:textFill>
              </w:rPr>
              <w:t>-</w:t>
            </w:r>
            <w:r>
              <w:rPr>
                <w:rFonts w:hint="eastAsia" w:ascii="Times New Roman" w:hAnsi="Times New Roman" w:eastAsia="宋体" w:cs="Times New Roman"/>
                <w:snapToGrid w:val="0"/>
                <w:color w:val="000000" w:themeColor="text1"/>
                <w:kern w:val="18"/>
                <w:sz w:val="24"/>
                <w:highlight w:val="none"/>
                <w:lang w:val="en-US" w:eastAsia="zh-CN"/>
                <w14:textFill>
                  <w14:solidFill>
                    <w14:schemeClr w14:val="tx1"/>
                  </w14:solidFill>
                </w14:textFill>
              </w:rPr>
              <w:t>2</w:t>
            </w:r>
            <w:r>
              <w:rPr>
                <w:rFonts w:hint="default" w:ascii="Times New Roman" w:hAnsi="Times New Roman" w:eastAsia="宋体" w:cs="Times New Roman"/>
                <w:snapToGrid w:val="0"/>
                <w:color w:val="000000" w:themeColor="text1"/>
                <w:sz w:val="24"/>
                <w:szCs w:val="28"/>
                <w:highlight w:val="none"/>
                <w14:textFill>
                  <w14:solidFill>
                    <w14:schemeClr w14:val="tx1"/>
                  </w14:solidFill>
                </w14:textFill>
              </w:rPr>
              <w:t>。</w:t>
            </w:r>
            <w:r>
              <w:rPr>
                <w:rFonts w:hint="default" w:ascii="Times New Roman" w:hAnsi="Times New Roman" w:eastAsia="宋体" w:cs="Times New Roman"/>
                <w:snapToGrid w:val="0"/>
                <w:color w:val="000000" w:themeColor="text1"/>
                <w:sz w:val="24"/>
                <w:szCs w:val="28"/>
                <w:highlight w:val="none"/>
                <w:lang w:val="en-US" w:eastAsia="zh-CN"/>
                <w14:textFill>
                  <w14:solidFill>
                    <w14:schemeClr w14:val="tx1"/>
                  </w14:solidFill>
                </w14:textFill>
              </w:rPr>
              <w:t>施工期</w:t>
            </w:r>
            <w:r>
              <w:rPr>
                <w:rFonts w:hint="eastAsia" w:ascii="Times New Roman" w:hAnsi="Times New Roman" w:eastAsia="宋体" w:cs="Times New Roman"/>
                <w:snapToGrid w:val="0"/>
                <w:color w:val="000000" w:themeColor="text1"/>
                <w:sz w:val="24"/>
                <w:szCs w:val="28"/>
                <w:highlight w:val="none"/>
                <w:lang w:val="en-US" w:eastAsia="zh-CN"/>
                <w14:textFill>
                  <w14:solidFill>
                    <w14:schemeClr w14:val="tx1"/>
                  </w14:solidFill>
                </w14:textFill>
              </w:rPr>
              <w:t>搅拌站废气排放执行</w:t>
            </w:r>
            <w:r>
              <w:rPr>
                <w:rFonts w:hint="default" w:ascii="Times New Roman" w:hAnsi="Times New Roman" w:eastAsia="宋体" w:cs="Times New Roman"/>
                <w:snapToGrid w:val="0"/>
                <w:color w:val="000000" w:themeColor="text1"/>
                <w:sz w:val="24"/>
                <w:szCs w:val="28"/>
                <w:highlight w:val="none"/>
                <w:lang w:val="en-US" w:eastAsia="zh-CN"/>
                <w14:textFill>
                  <w14:solidFill>
                    <w14:schemeClr w14:val="tx1"/>
                  </w14:solidFill>
                </w14:textFill>
              </w:rPr>
              <w:t>《水泥工业大气污染物排放标准》（GB4915-2013）</w:t>
            </w:r>
            <w:r>
              <w:rPr>
                <w:rFonts w:hint="eastAsia" w:ascii="Times New Roman" w:hAnsi="Times New Roman" w:eastAsia="宋体" w:cs="Times New Roman"/>
                <w:snapToGrid w:val="0"/>
                <w:color w:val="000000" w:themeColor="text1"/>
                <w:sz w:val="24"/>
                <w:szCs w:val="28"/>
                <w:highlight w:val="none"/>
                <w:lang w:val="en-US" w:eastAsia="zh-CN"/>
                <w14:textFill>
                  <w14:solidFill>
                    <w14:schemeClr w14:val="tx1"/>
                  </w14:solidFill>
                </w14:textFill>
              </w:rPr>
              <w:t>中排放标准限制，详见表3.7-3。</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82" w:firstLineChars="200"/>
              <w:jc w:val="center"/>
              <w:textAlignment w:val="auto"/>
              <w:rPr>
                <w:rFonts w:hint="default" w:ascii="Times New Roman" w:hAnsi="Times New Roman" w:eastAsia="宋体" w:cs="Times New Roman"/>
                <w:b/>
                <w:bCs/>
                <w:color w:val="000000" w:themeColor="text1"/>
                <w:sz w:val="24"/>
                <w:szCs w:val="21"/>
                <w:highlight w:val="none"/>
                <w14:textFill>
                  <w14:solidFill>
                    <w14:schemeClr w14:val="tx1"/>
                  </w14:solidFill>
                </w14:textFill>
              </w:rPr>
            </w:pPr>
            <w:r>
              <w:rPr>
                <w:rFonts w:hint="default" w:ascii="Times New Roman" w:hAnsi="Times New Roman" w:eastAsia="宋体" w:cs="Times New Roman"/>
                <w:b/>
                <w:bCs/>
                <w:color w:val="000000" w:themeColor="text1"/>
                <w:sz w:val="24"/>
                <w:szCs w:val="21"/>
                <w:highlight w:val="none"/>
                <w14:textFill>
                  <w14:solidFill>
                    <w14:schemeClr w14:val="tx1"/>
                  </w14:solidFill>
                </w14:textFill>
              </w:rPr>
              <w:t>表3.</w:t>
            </w:r>
            <w:r>
              <w:rPr>
                <w:rFonts w:hint="eastAsia" w:ascii="Times New Roman" w:hAnsi="Times New Roman" w:eastAsia="宋体" w:cs="Times New Roman"/>
                <w:b/>
                <w:bCs/>
                <w:color w:val="000000" w:themeColor="text1"/>
                <w:sz w:val="24"/>
                <w:szCs w:val="21"/>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szCs w:val="21"/>
                <w:highlight w:val="none"/>
                <w14:textFill>
                  <w14:solidFill>
                    <w14:schemeClr w14:val="tx1"/>
                  </w14:solidFill>
                </w14:textFill>
              </w:rPr>
              <w:t>-</w:t>
            </w:r>
            <w:r>
              <w:rPr>
                <w:rFonts w:hint="eastAsia" w:ascii="Times New Roman" w:hAnsi="Times New Roman" w:eastAsia="宋体" w:cs="Times New Roman"/>
                <w:b/>
                <w:bCs/>
                <w:color w:val="000000" w:themeColor="text1"/>
                <w:sz w:val="24"/>
                <w:szCs w:val="21"/>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1"/>
                <w:highlight w:val="none"/>
                <w14:textFill>
                  <w14:solidFill>
                    <w14:schemeClr w14:val="tx1"/>
                  </w14:solidFill>
                </w14:textFill>
              </w:rPr>
              <w:t xml:space="preserve">  《大气污染物综合排放标准》GB16297-1996</w:t>
            </w:r>
            <w:r>
              <w:rPr>
                <w:rFonts w:hint="default" w:ascii="Times New Roman" w:hAnsi="Times New Roman" w:eastAsia="宋体" w:cs="Times New Roman"/>
                <w:b/>
                <w:bCs/>
                <w:color w:val="000000" w:themeColor="text1"/>
                <w:sz w:val="24"/>
                <w:highlight w:val="none"/>
                <w14:textFill>
                  <w14:solidFill>
                    <w14:schemeClr w14:val="tx1"/>
                  </w14:solidFill>
                </w14:textFill>
              </w:rPr>
              <w:t>（摘录）</w:t>
            </w:r>
          </w:p>
          <w:tbl>
            <w:tblPr>
              <w:tblStyle w:val="33"/>
              <w:tblW w:w="843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3038"/>
              <w:gridCol w:w="3066"/>
              <w:gridCol w:w="232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8" w:hRule="atLeast"/>
                <w:jc w:val="center"/>
              </w:trPr>
              <w:tc>
                <w:tcPr>
                  <w:tcW w:w="3038" w:type="dxa"/>
                  <w:vMerge w:val="restart"/>
                  <w:tcBorders>
                    <w:top w:val="single" w:color="000000" w:sz="12" w:space="0"/>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污染物</w:t>
                  </w:r>
                </w:p>
              </w:tc>
              <w:tc>
                <w:tcPr>
                  <w:tcW w:w="5392" w:type="dxa"/>
                  <w:gridSpan w:val="2"/>
                  <w:tcBorders>
                    <w:top w:val="single" w:color="000000" w:sz="12" w:space="0"/>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无组织排放监控浓度限值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3" w:hRule="atLeast"/>
                <w:jc w:val="center"/>
              </w:trPr>
              <w:tc>
                <w:tcPr>
                  <w:tcW w:w="3038" w:type="dxa"/>
                  <w:vMerge w:val="continue"/>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3066" w:type="dxa"/>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监控点</w:t>
                  </w:r>
                </w:p>
              </w:tc>
              <w:tc>
                <w:tcPr>
                  <w:tcW w:w="2326" w:type="dxa"/>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浓度，mg/m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3038" w:type="dxa"/>
                  <w:tcBorders>
                    <w:bottom w:val="single" w:color="000000" w:sz="12" w:space="0"/>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3066" w:type="dxa"/>
                  <w:tcBorders>
                    <w:bottom w:val="single" w:color="000000" w:sz="12" w:space="0"/>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周界外浓度最高点</w:t>
                  </w:r>
                </w:p>
              </w:tc>
              <w:tc>
                <w:tcPr>
                  <w:tcW w:w="2326" w:type="dxa"/>
                  <w:tcBorders>
                    <w:bottom w:val="single" w:color="000000" w:sz="12" w:space="0"/>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1.0</w:t>
                  </w:r>
                </w:p>
              </w:tc>
            </w:tr>
          </w:tbl>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82" w:firstLineChars="200"/>
              <w:jc w:val="center"/>
              <w:textAlignment w:val="auto"/>
              <w:rPr>
                <w:rFonts w:hint="default" w:ascii="Times New Roman" w:hAnsi="Times New Roman" w:eastAsia="宋体" w:cs="Times New Roman"/>
                <w:b/>
                <w:bCs/>
                <w:color w:val="000000" w:themeColor="text1"/>
                <w:sz w:val="24"/>
                <w:szCs w:val="21"/>
                <w:highlight w:val="none"/>
                <w14:textFill>
                  <w14:solidFill>
                    <w14:schemeClr w14:val="tx1"/>
                  </w14:solidFill>
                </w14:textFill>
              </w:rPr>
            </w:pPr>
            <w:bookmarkStart w:id="42" w:name="_Toc15927"/>
            <w:r>
              <w:rPr>
                <w:rFonts w:hint="default" w:ascii="Times New Roman" w:hAnsi="Times New Roman" w:eastAsia="宋体" w:cs="Times New Roman"/>
                <w:b/>
                <w:bCs/>
                <w:color w:val="000000" w:themeColor="text1"/>
                <w:sz w:val="24"/>
                <w:szCs w:val="21"/>
                <w:highlight w:val="none"/>
                <w14:textFill>
                  <w14:solidFill>
                    <w14:schemeClr w14:val="tx1"/>
                  </w14:solidFill>
                </w14:textFill>
              </w:rPr>
              <w:t>表3.</w:t>
            </w:r>
            <w:r>
              <w:rPr>
                <w:rFonts w:hint="eastAsia" w:ascii="Times New Roman" w:hAnsi="Times New Roman" w:eastAsia="宋体" w:cs="Times New Roman"/>
                <w:b/>
                <w:bCs/>
                <w:color w:val="000000" w:themeColor="text1"/>
                <w:sz w:val="24"/>
                <w:szCs w:val="21"/>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szCs w:val="21"/>
                <w:highlight w:val="none"/>
                <w14:textFill>
                  <w14:solidFill>
                    <w14:schemeClr w14:val="tx1"/>
                  </w14:solidFill>
                </w14:textFill>
              </w:rPr>
              <w:t>-</w:t>
            </w:r>
            <w:r>
              <w:rPr>
                <w:rFonts w:hint="eastAsia" w:ascii="Times New Roman" w:hAnsi="Times New Roman" w:eastAsia="宋体" w:cs="Times New Roman"/>
                <w:b/>
                <w:bCs/>
                <w:color w:val="000000" w:themeColor="text1"/>
                <w:sz w:val="24"/>
                <w:szCs w:val="21"/>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1"/>
                <w:highlight w:val="none"/>
                <w14:textFill>
                  <w14:solidFill>
                    <w14:schemeClr w14:val="tx1"/>
                  </w14:solidFill>
                </w14:textFill>
              </w:rPr>
              <w:t xml:space="preserve">  《水泥工业大气污染物排放标准》（GB4915-2013）（摘录）</w:t>
            </w:r>
          </w:p>
          <w:tbl>
            <w:tblPr>
              <w:tblStyle w:val="33"/>
              <w:tblW w:w="843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444"/>
              <w:gridCol w:w="4845"/>
              <w:gridCol w:w="214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8" w:hRule="atLeast"/>
                <w:jc w:val="center"/>
              </w:trPr>
              <w:tc>
                <w:tcPr>
                  <w:tcW w:w="1444" w:type="dxa"/>
                  <w:vMerge w:val="restart"/>
                  <w:tcBorders>
                    <w:top w:val="single" w:color="000000" w:sz="12" w:space="0"/>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污染物</w:t>
                  </w:r>
                </w:p>
              </w:tc>
              <w:tc>
                <w:tcPr>
                  <w:tcW w:w="6986" w:type="dxa"/>
                  <w:gridSpan w:val="2"/>
                  <w:tcBorders>
                    <w:top w:val="single" w:color="000000" w:sz="12" w:space="0"/>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无组织排放监控浓度限值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3" w:hRule="atLeast"/>
                <w:jc w:val="center"/>
              </w:trPr>
              <w:tc>
                <w:tcPr>
                  <w:tcW w:w="1444" w:type="dxa"/>
                  <w:vMerge w:val="continue"/>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4845" w:type="dxa"/>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监控点</w:t>
                  </w:r>
                </w:p>
              </w:tc>
              <w:tc>
                <w:tcPr>
                  <w:tcW w:w="2141" w:type="dxa"/>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浓度，mg/m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4" w:type="dxa"/>
                  <w:vMerge w:val="restart"/>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4845" w:type="dxa"/>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厂界外20m处上风向设参照点，下风向设监控点</w:t>
                  </w:r>
                </w:p>
              </w:tc>
              <w:tc>
                <w:tcPr>
                  <w:tcW w:w="2141" w:type="dxa"/>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4" w:type="dxa"/>
                  <w:vMerge w:val="continue"/>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6986" w:type="dxa"/>
                  <w:gridSpan w:val="2"/>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有</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组织排放监控浓度限值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444" w:type="dxa"/>
                  <w:vMerge w:val="continue"/>
                  <w:tcBorders>
                    <w:bottom w:val="single" w:color="000000" w:sz="12" w:space="0"/>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4845" w:type="dxa"/>
                  <w:tcBorders>
                    <w:bottom w:val="single" w:color="000000" w:sz="12" w:space="0"/>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2141" w:type="dxa"/>
                  <w:tcBorders>
                    <w:bottom w:val="single" w:color="000000" w:sz="12" w:space="0"/>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20</w:t>
                  </w:r>
                </w:p>
              </w:tc>
            </w:tr>
          </w:tbl>
          <w:p>
            <w:pPr>
              <w:pStyle w:val="11"/>
              <w:pageBreakBefore w:val="0"/>
              <w:kinsoku/>
              <w:bidi w:val="0"/>
              <w:spacing w:beforeAutospacing="0" w:afterAutospacing="0"/>
              <w:rPr>
                <w:rFonts w:hint="default" w:ascii="Times New Roman" w:hAnsi="Times New Roman" w:eastAsia="宋体"/>
                <w:color w:val="000000" w:themeColor="text1"/>
                <w:sz w:val="28"/>
                <w:szCs w:val="28"/>
                <w:lang w:val="en-US" w:eastAsia="zh-CN"/>
                <w14:textFill>
                  <w14:solidFill>
                    <w14:schemeClr w14:val="tx1"/>
                  </w14:solidFill>
                </w14:textFill>
              </w:rPr>
            </w:pPr>
            <w:r>
              <w:rPr>
                <w:rFonts w:hint="default" w:ascii="Times New Roman" w:hAnsi="Times New Roman" w:eastAsia="宋体"/>
                <w:color w:val="000000" w:themeColor="text1"/>
                <w:sz w:val="28"/>
                <w:szCs w:val="28"/>
                <w:lang w:val="en-US" w:eastAsia="zh-CN"/>
                <w14:textFill>
                  <w14:solidFill>
                    <w14:schemeClr w14:val="tx1"/>
                  </w14:solidFill>
                </w14:textFill>
              </w:rPr>
              <w:t>3.</w:t>
            </w:r>
            <w:r>
              <w:rPr>
                <w:rFonts w:hint="eastAsia" w:ascii="Times New Roman" w:hAnsi="Times New Roman" w:eastAsia="宋体"/>
                <w:color w:val="000000" w:themeColor="text1"/>
                <w:sz w:val="28"/>
                <w:szCs w:val="28"/>
                <w:lang w:val="en-US" w:eastAsia="zh-CN"/>
                <w14:textFill>
                  <w14:solidFill>
                    <w14:schemeClr w14:val="tx1"/>
                  </w14:solidFill>
                </w14:textFill>
              </w:rPr>
              <w:t>7</w:t>
            </w:r>
            <w:r>
              <w:rPr>
                <w:rFonts w:hint="default" w:ascii="Times New Roman" w:hAnsi="Times New Roman" w:eastAsia="宋体"/>
                <w:color w:val="000000" w:themeColor="text1"/>
                <w:sz w:val="28"/>
                <w:szCs w:val="28"/>
                <w:lang w:val="en-US" w:eastAsia="zh-CN"/>
                <w14:textFill>
                  <w14:solidFill>
                    <w14:schemeClr w14:val="tx1"/>
                  </w14:solidFill>
                </w14:textFill>
              </w:rPr>
              <w:t>.3噪声</w:t>
            </w:r>
            <w:bookmarkEnd w:id="39"/>
            <w:bookmarkEnd w:id="40"/>
            <w:bookmarkEnd w:id="42"/>
            <w:r>
              <w:rPr>
                <w:rFonts w:hint="default" w:ascii="Times New Roman" w:hAnsi="Times New Roman" w:eastAsia="宋体"/>
                <w:color w:val="000000" w:themeColor="text1"/>
                <w:sz w:val="28"/>
                <w:szCs w:val="28"/>
                <w:lang w:val="en-US" w:eastAsia="zh-CN"/>
                <w14:textFill>
                  <w14:solidFill>
                    <w14:schemeClr w14:val="tx1"/>
                  </w14:solidFill>
                </w14:textFill>
              </w:rPr>
              <w:t>污染物排放标准</w:t>
            </w:r>
          </w:p>
          <w:bookmarkEnd w:id="41"/>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olor w:val="000000" w:themeColor="text1"/>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项目施工期</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厂界</w:t>
            </w:r>
            <w:r>
              <w:rPr>
                <w:rFonts w:hint="default" w:ascii="Times New Roman" w:hAnsi="Times New Roman" w:eastAsia="宋体" w:cs="Times New Roman"/>
                <w:color w:val="000000" w:themeColor="text1"/>
                <w:sz w:val="24"/>
                <w:szCs w:val="24"/>
                <w:highlight w:val="none"/>
                <w14:textFill>
                  <w14:solidFill>
                    <w14:schemeClr w14:val="tx1"/>
                  </w14:solidFill>
                </w14:textFill>
              </w:rPr>
              <w:t>噪声执行《建筑施工场界环境噪声排放标准》</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en-US"/>
                <w14:textFill>
                  <w14:solidFill>
                    <w14:schemeClr w14:val="tx1"/>
                  </w14:solidFill>
                </w14:textFill>
              </w:rPr>
              <w:t>GB12523-2011</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，营运期项目区域边界噪声排放执行《工业企业厂界环境噪声排放标准》(GB12348-2008)规定的</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类区标准。</w:t>
            </w:r>
            <w:r>
              <w:rPr>
                <w:rFonts w:hint="default" w:ascii="Times New Roman" w:hAnsi="Times New Roman" w:eastAsia="宋体" w:cs="Times New Roman"/>
                <w:color w:val="000000" w:themeColor="text1"/>
                <w:sz w:val="24"/>
                <w:szCs w:val="24"/>
                <w:highlight w:val="none"/>
                <w:lang w:val="zh-TW" w:eastAsia="zh-TW"/>
                <w14:textFill>
                  <w14:solidFill>
                    <w14:schemeClr w14:val="tx1"/>
                  </w14:solidFill>
                </w14:textFill>
              </w:rPr>
              <w:t>见表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7-4</w:t>
            </w:r>
            <w:r>
              <w:rPr>
                <w:rFonts w:hint="default" w:ascii="Times New Roman" w:hAnsi="Times New Roman" w:eastAsia="宋体" w:cs="Times New Roman"/>
                <w:color w:val="000000" w:themeColor="text1"/>
                <w:sz w:val="24"/>
                <w:szCs w:val="24"/>
                <w:highlight w:val="none"/>
                <w:lang w:val="zh-TW" w:eastAsia="zh-TW"/>
                <w14:textFill>
                  <w14:solidFill>
                    <w14:schemeClr w14:val="tx1"/>
                  </w14:solidFill>
                </w14:textFill>
              </w:rPr>
              <w:t>。</w:t>
            </w:r>
          </w:p>
          <w:p>
            <w:pPr>
              <w:pageBreakBefore w:val="0"/>
              <w:kinsoku/>
              <w:bidi w:val="0"/>
              <w:adjustRightInd w:val="0"/>
              <w:snapToGrid w:val="0"/>
              <w:spacing w:beforeAutospacing="0" w:afterAutospacing="0"/>
              <w:jc w:val="center"/>
              <w:rPr>
                <w:rFonts w:hint="default" w:ascii="Times New Roman" w:hAnsi="Times New Roman" w:eastAsia="宋体" w:cs="Times New Roman"/>
                <w:b/>
                <w:bCs/>
                <w:i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iCs/>
                <w:color w:val="000000" w:themeColor="text1"/>
                <w:sz w:val="24"/>
                <w:szCs w:val="24"/>
                <w:highlight w:val="none"/>
                <w14:textFill>
                  <w14:solidFill>
                    <w14:schemeClr w14:val="tx1"/>
                  </w14:solidFill>
                </w14:textFill>
              </w:rPr>
              <w:t>表</w:t>
            </w:r>
            <w:r>
              <w:rPr>
                <w:rFonts w:hint="default" w:ascii="Times New Roman" w:hAnsi="Times New Roman" w:eastAsia="宋体" w:cs="Times New Roman"/>
                <w:b/>
                <w:bCs/>
                <w:iCs/>
                <w:color w:val="000000" w:themeColor="text1"/>
                <w:sz w:val="24"/>
                <w:szCs w:val="24"/>
                <w:highlight w:val="none"/>
                <w:lang w:val="en-US" w:eastAsia="zh-CN"/>
                <w14:textFill>
                  <w14:solidFill>
                    <w14:schemeClr w14:val="tx1"/>
                  </w14:solidFill>
                </w14:textFill>
              </w:rPr>
              <w:t>3.7-</w:t>
            </w:r>
            <w:r>
              <w:rPr>
                <w:rFonts w:hint="eastAsia" w:ascii="Times New Roman" w:hAnsi="Times New Roman" w:eastAsia="宋体" w:cs="Times New Roman"/>
                <w:b/>
                <w:bCs/>
                <w:i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bCs/>
                <w:i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iCs/>
                <w:color w:val="000000" w:themeColor="text1"/>
                <w:sz w:val="24"/>
                <w:szCs w:val="24"/>
                <w:highlight w:val="none"/>
                <w14:textFill>
                  <w14:solidFill>
                    <w14:schemeClr w14:val="tx1"/>
                  </w14:solidFill>
                </w14:textFill>
              </w:rPr>
              <w:t>项目噪声执行标准</w:t>
            </w:r>
            <w:r>
              <w:rPr>
                <w:rFonts w:hint="eastAsia" w:ascii="Times New Roman" w:hAnsi="Times New Roman" w:eastAsia="宋体" w:cs="Times New Roman"/>
                <w:b/>
                <w:bCs/>
                <w:i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iCs/>
                <w:color w:val="000000" w:themeColor="text1"/>
                <w:sz w:val="24"/>
                <w:szCs w:val="24"/>
                <w:highlight w:val="none"/>
                <w14:textFill>
                  <w14:solidFill>
                    <w14:schemeClr w14:val="tx1"/>
                  </w14:solidFill>
                </w14:textFill>
              </w:rPr>
              <w:t>单位：dB</w:t>
            </w:r>
          </w:p>
          <w:tbl>
            <w:tblPr>
              <w:tblStyle w:val="34"/>
              <w:tblW w:w="842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04"/>
              <w:gridCol w:w="1035"/>
              <w:gridCol w:w="1170"/>
              <w:gridCol w:w="43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1904" w:type="dxa"/>
                  <w:vMerge w:val="restart"/>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项目</w:t>
                  </w:r>
                </w:p>
              </w:tc>
              <w:tc>
                <w:tcPr>
                  <w:tcW w:w="2205" w:type="dxa"/>
                  <w:gridSpan w:val="2"/>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标准限值</w:t>
                  </w:r>
                </w:p>
              </w:tc>
              <w:tc>
                <w:tcPr>
                  <w:tcW w:w="4318" w:type="dxa"/>
                  <w:vMerge w:val="restart"/>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04" w:type="dxa"/>
                  <w:vMerge w:val="continue"/>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p>
              </w:tc>
              <w:tc>
                <w:tcPr>
                  <w:tcW w:w="1035"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昼间</w:t>
                  </w:r>
                </w:p>
              </w:tc>
              <w:tc>
                <w:tcPr>
                  <w:tcW w:w="1170"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夜间</w:t>
                  </w:r>
                </w:p>
              </w:tc>
              <w:tc>
                <w:tcPr>
                  <w:tcW w:w="4318" w:type="dxa"/>
                  <w:vMerge w:val="continue"/>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04"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施工期</w:t>
                  </w:r>
                </w:p>
              </w:tc>
              <w:tc>
                <w:tcPr>
                  <w:tcW w:w="1035"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70</w:t>
                  </w:r>
                </w:p>
              </w:tc>
              <w:tc>
                <w:tcPr>
                  <w:tcW w:w="1170"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55</w:t>
                  </w:r>
                </w:p>
              </w:tc>
              <w:tc>
                <w:tcPr>
                  <w:tcW w:w="4318"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《建筑施工场界环境噪声排放标准》表1中的标准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904"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运营期</w:t>
                  </w:r>
                </w:p>
              </w:tc>
              <w:tc>
                <w:tcPr>
                  <w:tcW w:w="1035"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6</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1170"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w:t>
                  </w:r>
                </w:p>
              </w:tc>
              <w:tc>
                <w:tcPr>
                  <w:tcW w:w="4318" w:type="dxa"/>
                  <w:tcBorders>
                    <w:tl2br w:val="nil"/>
                    <w:tr2bl w:val="nil"/>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《工业企业厂界环境噪声排放标准》3类标准</w:t>
                  </w:r>
                </w:p>
              </w:tc>
            </w:tr>
          </w:tbl>
          <w:p>
            <w:pPr>
              <w:pStyle w:val="12"/>
              <w:pageBreakBefore w:val="0"/>
              <w:kinsoku/>
              <w:bidi w:val="0"/>
              <w:spacing w:before="0" w:beforeAutospacing="0" w:after="0" w:afterAutospacing="0"/>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.4 固体废物污染物排放标准</w:t>
            </w:r>
          </w:p>
          <w:p>
            <w:pPr>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14:textFill>
                  <w14:solidFill>
                    <w14:schemeClr w14:val="tx1"/>
                  </w14:solidFill>
                </w14:textFill>
              </w:rPr>
              <w:t>生活垃圾</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执行</w:t>
            </w:r>
            <w:r>
              <w:rPr>
                <w:rFonts w:hint="default" w:ascii="Times New Roman" w:hAnsi="Times New Roman" w:eastAsia="宋体" w:cs="Times New Roman"/>
                <w:color w:val="000000" w:themeColor="text1"/>
                <w:sz w:val="24"/>
                <w:szCs w:val="24"/>
                <w:highlight w:val="none"/>
                <w14:textFill>
                  <w14:solidFill>
                    <w14:schemeClr w14:val="tx1"/>
                  </w14:solidFill>
                </w14:textFill>
              </w:rPr>
              <w:t>《城市环境卫生设施规划规范》（GB50337-20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18</w:t>
            </w:r>
            <w:r>
              <w:rPr>
                <w:rFonts w:hint="default" w:ascii="Times New Roman" w:hAnsi="Times New Roman" w:eastAsia="宋体" w:cs="Times New Roman"/>
                <w:color w:val="000000" w:themeColor="text1"/>
                <w:sz w:val="24"/>
                <w:szCs w:val="24"/>
                <w:highlight w:val="none"/>
                <w14:textFill>
                  <w14:solidFill>
                    <w14:schemeClr w14:val="tx1"/>
                  </w14:solidFill>
                </w14:textFill>
              </w:rPr>
              <w:t>）中的要求进行综合利用和处置</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一般工业固废</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执行《一般工业固体废物贮存和填埋污染控制标准》（GB18599-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2020</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）有关规定；</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危险废物</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执行《危险废物贮存污染控制标准》（GB18597-20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vertAlign w:val="baseline"/>
                <w:lang w:val="en-US" w:eastAsia="zh-CN"/>
                <w14:textFill>
                  <w14:solidFill>
                    <w14:schemeClr w14:val="tx1"/>
                  </w14:solidFill>
                </w14:textFill>
              </w:rPr>
              <w:t>船舶污染物排放执行《船舶水污染物排放控制标准》</w:t>
            </w:r>
            <w:r>
              <w:rPr>
                <w:rFonts w:hint="eastAsia" w:ascii="Times New Roman" w:hAnsi="Times New Roman" w:eastAsia="宋体" w:cs="Times New Roman"/>
                <w:color w:val="000000" w:themeColor="text1"/>
                <w:kern w:val="0"/>
                <w:sz w:val="24"/>
                <w:szCs w:val="24"/>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vertAlign w:val="baseline"/>
                <w:lang w:val="en-US" w:eastAsia="zh-CN"/>
                <w14:textFill>
                  <w14:solidFill>
                    <w14:schemeClr w14:val="tx1"/>
                  </w14:solidFill>
                </w14:textFill>
              </w:rPr>
              <w:t>GB3552-2018</w:t>
            </w:r>
            <w:r>
              <w:rPr>
                <w:rFonts w:hint="eastAsia" w:ascii="Times New Roman" w:hAnsi="Times New Roman" w:eastAsia="宋体" w:cs="Times New Roman"/>
                <w:color w:val="000000" w:themeColor="text1"/>
                <w:kern w:val="0"/>
                <w:sz w:val="24"/>
                <w:szCs w:val="24"/>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vertAlign w:val="baseline"/>
                <w:lang w:val="en-US" w:eastAsia="zh-CN"/>
                <w14:textFill>
                  <w14:solidFill>
                    <w14:schemeClr w14:val="tx1"/>
                  </w14:solidFill>
                </w14:textFill>
              </w:rPr>
              <w:t>中相关要求，船舶生活垃圾定点集中堆放，实行袋装化，由环卫部门处理，船舶含油垃圾委托由海事局认可的单位收集、运送处置。</w:t>
            </w:r>
            <w:r>
              <w:rPr>
                <w:rFonts w:hint="default" w:ascii="Times New Roman" w:hAnsi="Times New Roman" w:eastAsia="宋体" w:cs="Times New Roman"/>
                <w:color w:val="000000" w:themeColor="text1"/>
                <w:sz w:val="24"/>
                <w:szCs w:val="24"/>
                <w:highlight w:val="none"/>
                <w:u w:val="none" w:color="auto"/>
                <w:shd w:val="clear" w:color="auto" w:fill="auto"/>
                <w:lang w:eastAsia="zh-CN"/>
                <w14:textFill>
                  <w14:solidFill>
                    <w14:schemeClr w14:val="tx1"/>
                  </w14:solidFill>
                </w14:textFill>
              </w:rPr>
              <w:t>详见表3.</w:t>
            </w:r>
            <w:r>
              <w:rPr>
                <w:rFonts w:hint="eastAsia" w:ascii="Times New Roman" w:hAnsi="Times New Roman" w:eastAsia="宋体" w:cs="Times New Roman"/>
                <w:color w:val="000000" w:themeColor="text1"/>
                <w:sz w:val="24"/>
                <w:szCs w:val="24"/>
                <w:highlight w:val="none"/>
                <w:u w:val="none" w:color="auto"/>
                <w:shd w:val="clear" w:color="auto" w:fill="auto"/>
                <w:lang w:val="en-US" w:eastAsia="zh-CN"/>
                <w14:textFill>
                  <w14:solidFill>
                    <w14:schemeClr w14:val="tx1"/>
                  </w14:solidFill>
                </w14:textFill>
              </w:rPr>
              <w:t>7-5</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ageBreakBefore w:val="0"/>
              <w:kinsoku/>
              <w:bidi w:val="0"/>
              <w:adjustRightInd w:val="0"/>
              <w:snapToGrid w:val="0"/>
              <w:spacing w:beforeAutospacing="0" w:afterAutospacing="0"/>
              <w:jc w:val="center"/>
              <w:rPr>
                <w:rFonts w:hint="default" w:ascii="Times New Roman" w:hAnsi="Times New Roman" w:eastAsia="宋体" w:cs="Times New Roman"/>
                <w:b/>
                <w:bCs/>
                <w:iCs/>
                <w:color w:val="000000" w:themeColor="text1"/>
                <w:sz w:val="24"/>
                <w:szCs w:val="24"/>
                <w:highlight w:val="none"/>
                <w:lang w:val="zh-CN" w:eastAsia="zh-CN"/>
                <w14:textFill>
                  <w14:solidFill>
                    <w14:schemeClr w14:val="tx1"/>
                  </w14:solidFill>
                </w14:textFill>
              </w:rPr>
            </w:pPr>
            <w:r>
              <w:rPr>
                <w:rFonts w:hint="default" w:ascii="Times New Roman" w:hAnsi="Times New Roman" w:eastAsia="宋体" w:cs="Times New Roman"/>
                <w:b/>
                <w:bCs/>
                <w:iCs/>
                <w:color w:val="000000" w:themeColor="text1"/>
                <w:sz w:val="24"/>
                <w:szCs w:val="24"/>
                <w:highlight w:val="none"/>
                <w:lang w:val="zh-CN" w:eastAsia="zh-CN"/>
                <w14:textFill>
                  <w14:solidFill>
                    <w14:schemeClr w14:val="tx1"/>
                  </w14:solidFill>
                </w14:textFill>
              </w:rPr>
              <w:t>表</w:t>
            </w:r>
            <w:r>
              <w:rPr>
                <w:rFonts w:hint="default" w:ascii="Times New Roman" w:hAnsi="Times New Roman" w:eastAsia="宋体" w:cs="Times New Roman"/>
                <w:b/>
                <w:bCs/>
                <w:iCs/>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b/>
                <w:bCs/>
                <w:iCs/>
                <w:color w:val="000000" w:themeColor="text1"/>
                <w:sz w:val="24"/>
                <w:szCs w:val="24"/>
                <w:highlight w:val="none"/>
                <w:lang w:val="en-US" w:eastAsia="zh-CN"/>
                <w14:textFill>
                  <w14:solidFill>
                    <w14:schemeClr w14:val="tx1"/>
                  </w14:solidFill>
                </w14:textFill>
              </w:rPr>
              <w:t>7-5</w:t>
            </w:r>
            <w:r>
              <w:rPr>
                <w:rFonts w:hint="default" w:ascii="Times New Roman" w:hAnsi="Times New Roman" w:eastAsia="宋体" w:cs="Times New Roman"/>
                <w:b/>
                <w:bCs/>
                <w:iCs/>
                <w:color w:val="000000" w:themeColor="text1"/>
                <w:sz w:val="24"/>
                <w:szCs w:val="24"/>
                <w:highlight w:val="none"/>
                <w:lang w:val="zh-CN" w:eastAsia="zh-CN"/>
                <w14:textFill>
                  <w14:solidFill>
                    <w14:schemeClr w14:val="tx1"/>
                  </w14:solidFill>
                </w14:textFill>
              </w:rPr>
              <w:t xml:space="preserve"> </w:t>
            </w:r>
            <w:r>
              <w:rPr>
                <w:rFonts w:hint="default" w:ascii="Times New Roman" w:hAnsi="Times New Roman" w:eastAsia="宋体" w:cs="Times New Roman"/>
                <w:b/>
                <w:bCs/>
                <w:i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iCs/>
                <w:color w:val="000000" w:themeColor="text1"/>
                <w:sz w:val="24"/>
                <w:szCs w:val="24"/>
                <w:highlight w:val="none"/>
                <w:lang w:val="zh-CN" w:eastAsia="zh-CN"/>
                <w14:textFill>
                  <w14:solidFill>
                    <w14:schemeClr w14:val="tx1"/>
                  </w14:solidFill>
                </w14:textFill>
              </w:rPr>
              <w:t>固废排放标准</w:t>
            </w:r>
          </w:p>
          <w:tbl>
            <w:tblPr>
              <w:tblStyle w:val="33"/>
              <w:tblW w:w="85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399"/>
              <w:gridCol w:w="71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6" w:hRule="atLeast"/>
                <w:tblHeader/>
                <w:jc w:val="center"/>
              </w:trPr>
              <w:tc>
                <w:tcPr>
                  <w:tcW w:w="1399" w:type="dxa"/>
                  <w:tcBorders>
                    <w:tl2br w:val="nil"/>
                    <w:tr2bl w:val="nil"/>
                  </w:tcBorders>
                  <w:vAlign w:val="center"/>
                </w:tcPr>
                <w:p>
                  <w:pPr>
                    <w:keepNext w:val="0"/>
                    <w:keepLines w:val="0"/>
                    <w:pageBreakBefore w:val="0"/>
                    <w:suppressLineNumbers w:val="0"/>
                    <w:tabs>
                      <w:tab w:val="left" w:pos="6120"/>
                    </w:tabs>
                    <w:kinsoku/>
                    <w:bidi w:val="0"/>
                    <w:spacing w:beforeAutospacing="0" w:afterAutospacing="0"/>
                    <w:ind w:left="0" w:right="0"/>
                    <w:jc w:val="center"/>
                    <w:rPr>
                      <w:rFonts w:hint="default" w:ascii="Times New Roman" w:hAnsi="Times New Roman" w:eastAsia="宋体" w:cs="Times New Roman"/>
                      <w:b w:val="0"/>
                      <w:bCs w:val="0"/>
                      <w:color w:val="000000" w:themeColor="text1"/>
                      <w:szCs w:val="21"/>
                      <w:highlight w:val="none"/>
                      <w:u w:val="none" w:color="auto"/>
                      <w:shd w:val="clear" w:color="auto" w:fill="auto"/>
                      <w:lang w:eastAsia="zh-CN"/>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u w:val="none" w:color="auto"/>
                      <w:shd w:val="clear" w:color="auto" w:fill="auto"/>
                      <w:lang w:eastAsia="zh-CN"/>
                      <w14:textFill>
                        <w14:solidFill>
                          <w14:schemeClr w14:val="tx1"/>
                        </w14:solidFill>
                      </w14:textFill>
                    </w:rPr>
                    <w:t>固废类型</w:t>
                  </w:r>
                </w:p>
              </w:tc>
              <w:tc>
                <w:tcPr>
                  <w:tcW w:w="7140" w:type="dxa"/>
                  <w:tcBorders>
                    <w:tl2br w:val="nil"/>
                    <w:tr2bl w:val="nil"/>
                  </w:tcBorders>
                  <w:vAlign w:val="center"/>
                </w:tcPr>
                <w:p>
                  <w:pPr>
                    <w:keepNext w:val="0"/>
                    <w:keepLines w:val="0"/>
                    <w:pageBreakBefore w:val="0"/>
                    <w:suppressLineNumbers w:val="0"/>
                    <w:tabs>
                      <w:tab w:val="left" w:pos="6120"/>
                    </w:tabs>
                    <w:kinsoku/>
                    <w:bidi w:val="0"/>
                    <w:spacing w:beforeAutospacing="0" w:afterAutospacing="0"/>
                    <w:ind w:left="0" w:right="0"/>
                    <w:jc w:val="center"/>
                    <w:rPr>
                      <w:rFonts w:hint="default" w:ascii="Times New Roman" w:hAnsi="Times New Roman" w:eastAsia="宋体" w:cs="Times New Roman"/>
                      <w:b w:val="0"/>
                      <w:bCs w:val="0"/>
                      <w:color w:val="000000" w:themeColor="text1"/>
                      <w:szCs w:val="21"/>
                      <w:highlight w:val="none"/>
                      <w:u w:val="none" w:color="auto"/>
                      <w:shd w:val="clear" w:color="auto" w:fill="auto"/>
                      <w14:textFill>
                        <w14:solidFill>
                          <w14:schemeClr w14:val="tx1"/>
                        </w14:solidFill>
                      </w14:textFill>
                    </w:rPr>
                  </w:pPr>
                  <w:r>
                    <w:rPr>
                      <w:rFonts w:hint="default" w:ascii="Times New Roman" w:hAnsi="Times New Roman" w:eastAsia="宋体" w:cs="Times New Roman"/>
                      <w:b w:val="0"/>
                      <w:bCs w:val="0"/>
                      <w:color w:val="000000" w:themeColor="text1"/>
                      <w:szCs w:val="21"/>
                      <w:highlight w:val="none"/>
                      <w:u w:val="none" w:color="auto"/>
                      <w:shd w:val="clear" w:color="auto" w:fill="auto"/>
                      <w14:textFill>
                        <w14:solidFill>
                          <w14:schemeClr w14:val="tx1"/>
                        </w14:solidFill>
                      </w14:textFill>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1399" w:type="dxa"/>
                  <w:tcBorders>
                    <w:tl2br w:val="nil"/>
                    <w:tr2bl w:val="nil"/>
                  </w:tcBorders>
                  <w:vAlign w:val="center"/>
                </w:tcPr>
                <w:p>
                  <w:pPr>
                    <w:pStyle w:val="73"/>
                    <w:keepNext w:val="0"/>
                    <w:keepLines w:val="0"/>
                    <w:pageBreakBefore w:val="0"/>
                    <w:widowControl w:val="0"/>
                    <w:shd w:val="clear" w:color="auto" w:fill="auto"/>
                    <w:kinsoku/>
                    <w:bidi w:val="0"/>
                    <w:spacing w:beforeAutospacing="0" w:after="0" w:afterAutospacing="0" w:line="240" w:lineRule="auto"/>
                    <w:ind w:left="0" w:right="0" w:firstLine="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生活垃圾</w:t>
                  </w:r>
                </w:p>
              </w:tc>
              <w:tc>
                <w:tcPr>
                  <w:tcW w:w="7140" w:type="dxa"/>
                  <w:tcBorders>
                    <w:tl2br w:val="nil"/>
                    <w:tr2bl w:val="nil"/>
                  </w:tcBorders>
                  <w:vAlign w:val="center"/>
                </w:tcPr>
                <w:p>
                  <w:pPr>
                    <w:pStyle w:val="73"/>
                    <w:keepNext w:val="0"/>
                    <w:keepLines w:val="0"/>
                    <w:pageBreakBefore w:val="0"/>
                    <w:widowControl w:val="0"/>
                    <w:shd w:val="clear" w:color="auto" w:fill="auto"/>
                    <w:kinsoku/>
                    <w:bidi w:val="0"/>
                    <w:spacing w:beforeAutospacing="0" w:after="0" w:afterAutospacing="0" w:line="240" w:lineRule="auto"/>
                    <w:ind w:left="0" w:right="0" w:firstLine="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《城市环境卫生设施规划规范》（GB50337-2018）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1399" w:type="dxa"/>
                  <w:tcBorders>
                    <w:tl2br w:val="nil"/>
                    <w:tr2bl w:val="nil"/>
                  </w:tcBorders>
                  <w:vAlign w:val="center"/>
                </w:tcPr>
                <w:p>
                  <w:pPr>
                    <w:pStyle w:val="73"/>
                    <w:keepNext w:val="0"/>
                    <w:keepLines w:val="0"/>
                    <w:pageBreakBefore w:val="0"/>
                    <w:widowControl w:val="0"/>
                    <w:shd w:val="clear" w:color="auto" w:fill="auto"/>
                    <w:kinsoku/>
                    <w:bidi w:val="0"/>
                    <w:spacing w:beforeAutospacing="0" w:after="0" w:afterAutospacing="0" w:line="240" w:lineRule="auto"/>
                    <w:ind w:left="0" w:right="0" w:firstLine="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一般工业固废</w:t>
                  </w:r>
                </w:p>
              </w:tc>
              <w:tc>
                <w:tcPr>
                  <w:tcW w:w="7140" w:type="dxa"/>
                  <w:tcBorders>
                    <w:tl2br w:val="nil"/>
                    <w:tr2bl w:val="nil"/>
                  </w:tcBorders>
                  <w:vAlign w:val="center"/>
                </w:tcPr>
                <w:p>
                  <w:pPr>
                    <w:pStyle w:val="73"/>
                    <w:keepNext w:val="0"/>
                    <w:keepLines w:val="0"/>
                    <w:pageBreakBefore w:val="0"/>
                    <w:widowControl w:val="0"/>
                    <w:shd w:val="clear" w:color="auto" w:fill="auto"/>
                    <w:kinsoku/>
                    <w:bidi w:val="0"/>
                    <w:spacing w:beforeAutospacing="0" w:after="0" w:afterAutospacing="0" w:line="240" w:lineRule="auto"/>
                    <w:ind w:left="0" w:right="0" w:firstLine="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《一般工业固体废物贮存和填埋污染控制标准》（GB18599-2020）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1399" w:type="dxa"/>
                  <w:tcBorders>
                    <w:tl2br w:val="nil"/>
                    <w:tr2bl w:val="nil"/>
                  </w:tcBorders>
                  <w:vAlign w:val="center"/>
                </w:tcPr>
                <w:p>
                  <w:pPr>
                    <w:pStyle w:val="73"/>
                    <w:keepNext w:val="0"/>
                    <w:keepLines w:val="0"/>
                    <w:pageBreakBefore w:val="0"/>
                    <w:widowControl w:val="0"/>
                    <w:shd w:val="clear" w:color="auto" w:fill="auto"/>
                    <w:kinsoku/>
                    <w:bidi w:val="0"/>
                    <w:spacing w:beforeAutospacing="0" w:after="0" w:afterAutospacing="0" w:line="240" w:lineRule="auto"/>
                    <w:ind w:left="0" w:right="0" w:firstLine="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危险废物</w:t>
                  </w:r>
                </w:p>
              </w:tc>
              <w:tc>
                <w:tcPr>
                  <w:tcW w:w="7140" w:type="dxa"/>
                  <w:tcBorders>
                    <w:tl2br w:val="nil"/>
                    <w:tr2bl w:val="nil"/>
                  </w:tcBorders>
                  <w:vAlign w:val="center"/>
                </w:tcPr>
                <w:p>
                  <w:pPr>
                    <w:pStyle w:val="73"/>
                    <w:keepNext w:val="0"/>
                    <w:keepLines w:val="0"/>
                    <w:pageBreakBefore w:val="0"/>
                    <w:widowControl w:val="0"/>
                    <w:shd w:val="clear" w:color="auto" w:fill="auto"/>
                    <w:kinsoku/>
                    <w:bidi w:val="0"/>
                    <w:spacing w:beforeAutospacing="0" w:after="0" w:afterAutospacing="0" w:line="240" w:lineRule="auto"/>
                    <w:ind w:left="0" w:right="0" w:firstLine="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《危险废物贮存污染控制标准》（GB18597-20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23</w:t>
                  </w:r>
                  <w:r>
                    <w:rPr>
                      <w:rFonts w:hint="default" w:ascii="Times New Roman" w:hAnsi="Times New Roman" w:eastAsia="宋体" w:cs="Times New Roman"/>
                      <w:color w:val="000000" w:themeColor="text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1399" w:type="dxa"/>
                  <w:tcBorders>
                    <w:tl2br w:val="nil"/>
                    <w:tr2bl w:val="nil"/>
                  </w:tcBorders>
                  <w:vAlign w:val="center"/>
                </w:tcPr>
                <w:p>
                  <w:pPr>
                    <w:pStyle w:val="73"/>
                    <w:keepNext w:val="0"/>
                    <w:keepLines w:val="0"/>
                    <w:pageBreakBefore w:val="0"/>
                    <w:widowControl w:val="0"/>
                    <w:shd w:val="clear" w:color="auto" w:fill="auto"/>
                    <w:kinsoku/>
                    <w:bidi w:val="0"/>
                    <w:spacing w:beforeAutospacing="0" w:after="0" w:afterAutospacing="0" w:line="240" w:lineRule="auto"/>
                    <w:ind w:left="0" w:right="0" w:firstLine="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船舶生活垃圾</w:t>
                  </w:r>
                </w:p>
              </w:tc>
              <w:tc>
                <w:tcPr>
                  <w:tcW w:w="7140" w:type="dxa"/>
                  <w:vMerge w:val="restart"/>
                  <w:tcBorders>
                    <w:tl2br w:val="nil"/>
                    <w:tr2bl w:val="nil"/>
                  </w:tcBorders>
                  <w:vAlign w:val="center"/>
                </w:tcPr>
                <w:p>
                  <w:pPr>
                    <w:pStyle w:val="73"/>
                    <w:keepNext w:val="0"/>
                    <w:keepLines w:val="0"/>
                    <w:pageBreakBefore w:val="0"/>
                    <w:widowControl w:val="0"/>
                    <w:shd w:val="clear" w:color="auto" w:fill="auto"/>
                    <w:kinsoku/>
                    <w:bidi w:val="0"/>
                    <w:spacing w:beforeAutospacing="0" w:after="0" w:afterAutospacing="0" w:line="240" w:lineRule="auto"/>
                    <w:ind w:left="0" w:right="0" w:firstLine="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《船舶水污染物排放控制标准》（GB3552-2018）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3" w:hRule="atLeast"/>
                <w:tblHeader/>
                <w:jc w:val="center"/>
              </w:trPr>
              <w:tc>
                <w:tcPr>
                  <w:tcW w:w="1399" w:type="dxa"/>
                  <w:tcBorders>
                    <w:tl2br w:val="nil"/>
                    <w:tr2bl w:val="nil"/>
                  </w:tcBorders>
                  <w:vAlign w:val="center"/>
                </w:tcPr>
                <w:p>
                  <w:pPr>
                    <w:pStyle w:val="73"/>
                    <w:keepNext w:val="0"/>
                    <w:keepLines w:val="0"/>
                    <w:pageBreakBefore w:val="0"/>
                    <w:widowControl w:val="0"/>
                    <w:shd w:val="clear" w:color="auto" w:fill="auto"/>
                    <w:kinsoku/>
                    <w:bidi w:val="0"/>
                    <w:spacing w:beforeAutospacing="0" w:after="0" w:afterAutospacing="0" w:line="240" w:lineRule="auto"/>
                    <w:ind w:left="0" w:right="0" w:firstLine="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船舶含油垃圾</w:t>
                  </w:r>
                </w:p>
              </w:tc>
              <w:tc>
                <w:tcPr>
                  <w:tcW w:w="7140" w:type="dxa"/>
                  <w:vMerge w:val="continue"/>
                  <w:tcBorders>
                    <w:tl2br w:val="nil"/>
                    <w:tr2bl w:val="nil"/>
                  </w:tcBorders>
                  <w:vAlign w:val="center"/>
                </w:tcPr>
                <w:p>
                  <w:pPr>
                    <w:pStyle w:val="73"/>
                    <w:keepNext w:val="0"/>
                    <w:keepLines w:val="0"/>
                    <w:pageBreakBefore w:val="0"/>
                    <w:widowControl w:val="0"/>
                    <w:shd w:val="clear" w:color="auto" w:fill="auto"/>
                    <w:kinsoku/>
                    <w:bidi w:val="0"/>
                    <w:spacing w:beforeAutospacing="0" w:after="0" w:afterAutospacing="0" w:line="240" w:lineRule="auto"/>
                    <w:ind w:left="0" w:right="0" w:firstLine="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p>
              </w:tc>
            </w:tr>
          </w:tbl>
          <w:p>
            <w:pPr>
              <w:pStyle w:val="22"/>
              <w:pageBreakBefore w:val="0"/>
              <w:kinsoku/>
              <w:bidi w:val="0"/>
              <w:spacing w:beforeAutospacing="0" w:after="0" w:afterAutospacing="0"/>
              <w:rPr>
                <w:rFonts w:hint="default" w:ascii="Times New Roman" w:hAnsi="Times New Roman" w:eastAsia="宋体" w:cs="Times New Roman"/>
                <w:color w:val="000000" w:themeColor="text1"/>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32" w:hRule="atLeast"/>
          <w:jc w:val="center"/>
        </w:trPr>
        <w:tc>
          <w:tcPr>
            <w:tcW w:w="415"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其他</w:t>
            </w:r>
          </w:p>
        </w:tc>
        <w:tc>
          <w:tcPr>
            <w:tcW w:w="8646" w:type="dxa"/>
            <w:vAlign w:val="top"/>
          </w:tcPr>
          <w:p>
            <w:pPr>
              <w:pStyle w:val="11"/>
              <w:pageBreakBefore w:val="0"/>
              <w:kinsoku/>
              <w:bidi w:val="0"/>
              <w:spacing w:beforeAutospacing="0" w:afterAutospacing="0"/>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32"/>
                <w:szCs w:val="32"/>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总量控制</w:t>
            </w:r>
          </w:p>
          <w:p>
            <w:pPr>
              <w:pStyle w:val="88"/>
              <w:pageBreakBefore w:val="0"/>
              <w:kinsoku/>
              <w:bidi w:val="0"/>
              <w:spacing w:beforeAutospacing="0" w:afterAutospacing="0"/>
              <w:ind w:firstLine="42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按照《福建省</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十四五</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生态环境保护专项规划》（闽环保财〔2021〕59 号）有关主要污染物排放总量控制计划的要求；及《福建省</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十四五</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节能减排综合工作方案》要求：实施行业、区域、流域重点污染物总量减排，在重点行业、重点区域推进挥发性有机物排放总量控制，在沿海设区城市和平潭综合实验区实施总氮排放总量控制，对重点行业的重点重金属排放实施总量控制。我省主要污染物排放总量指标为COD、NH</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-N、SO</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、NOx。</w:t>
            </w:r>
          </w:p>
          <w:p>
            <w:pPr>
              <w:pStyle w:val="88"/>
              <w:pageBreakBefore w:val="0"/>
              <w:kinsoku/>
              <w:bidi w:val="0"/>
              <w:spacing w:beforeAutospacing="0" w:afterAutospacing="0"/>
              <w:ind w:firstLine="420"/>
              <w:jc w:val="both"/>
              <w:rPr>
                <w:rFonts w:hint="default"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宋体"/>
                <w:color w:val="000000" w:themeColor="text1"/>
                <w:kern w:val="0"/>
                <w:sz w:val="24"/>
                <w:szCs w:val="24"/>
                <w:highlight w:val="none"/>
                <w:lang w:val="en-US" w:eastAsia="zh-CN"/>
                <w14:textFill>
                  <w14:solidFill>
                    <w14:schemeClr w14:val="tx1"/>
                  </w14:solidFill>
                </w14:textFill>
              </w:rPr>
              <w:t>本项目生产废水经沉淀池处理后回用，无生产废水外排</w:t>
            </w:r>
            <w:r>
              <w:rPr>
                <w:rFonts w:hint="eastAsia" w:ascii="Times New Roman" w:hAnsi="Times New Roman" w:eastAsia="宋体" w:cs="宋体"/>
                <w:color w:val="000000" w:themeColor="text1"/>
                <w:kern w:val="0"/>
                <w:sz w:val="24"/>
                <w:szCs w:val="24"/>
                <w:highlight w:val="none"/>
                <w14:textFill>
                  <w14:solidFill>
                    <w14:schemeClr w14:val="tx1"/>
                  </w14:solidFill>
                </w14:textFill>
              </w:rPr>
              <w:t>；生活污水通过化粪池处理后用槽罐车运往</w:t>
            </w:r>
            <w:r>
              <w:rPr>
                <w:rFonts w:hint="eastAsia" w:ascii="Times New Roman" w:hAnsi="Times New Roman" w:eastAsia="宋体" w:cs="宋体"/>
                <w:color w:val="000000" w:themeColor="text1"/>
                <w:kern w:val="0"/>
                <w:sz w:val="24"/>
                <w:szCs w:val="24"/>
                <w:highlight w:val="none"/>
                <w:lang w:val="en-US" w:eastAsia="zh-CN"/>
                <w14:textFill>
                  <w14:solidFill>
                    <w14:schemeClr w14:val="tx1"/>
                  </w14:solidFill>
                </w14:textFill>
              </w:rPr>
              <w:t>福鼎市白琳镇</w:t>
            </w:r>
            <w:r>
              <w:rPr>
                <w:rFonts w:hint="eastAsia" w:ascii="Times New Roman" w:hAnsi="Times New Roman" w:eastAsia="宋体" w:cs="宋体"/>
                <w:color w:val="000000" w:themeColor="text1"/>
                <w:kern w:val="0"/>
                <w:sz w:val="24"/>
                <w:szCs w:val="24"/>
                <w:highlight w:val="none"/>
                <w:lang w:eastAsia="zh-CN"/>
                <w14:textFill>
                  <w14:solidFill>
                    <w14:schemeClr w14:val="tx1"/>
                  </w14:solidFill>
                </w14:textFill>
              </w:rPr>
              <w:t>污水处理站</w:t>
            </w:r>
            <w:r>
              <w:rPr>
                <w:rFonts w:hint="eastAsia" w:ascii="Times New Roman" w:hAnsi="Times New Roman" w:eastAsia="宋体" w:cs="宋体"/>
                <w:color w:val="000000" w:themeColor="text1"/>
                <w:kern w:val="0"/>
                <w:sz w:val="24"/>
                <w:szCs w:val="24"/>
                <w:highlight w:val="none"/>
                <w14:textFill>
                  <w14:solidFill>
                    <w14:schemeClr w14:val="tx1"/>
                  </w14:solidFill>
                </w14:textFill>
              </w:rPr>
              <w:t>深度处理</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本项目</w:t>
            </w:r>
            <w:r>
              <w:rPr>
                <w:rFonts w:hint="eastAsia"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主要从事建设用地场地平整及码头物流仓储建设</w:t>
            </w:r>
            <w:r>
              <w:rPr>
                <w:rFonts w:hint="default" w:ascii="Times New Roman" w:hAnsi="Times New Roman" w:eastAsia="宋体" w:cs="Times New Roman"/>
                <w:color w:val="000000" w:themeColor="text1"/>
                <w:kern w:val="2"/>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因此，本次评价不设总量控制指标。</w:t>
            </w:r>
          </w:p>
        </w:tc>
      </w:tr>
    </w:tbl>
    <w:p>
      <w:pPr>
        <w:pStyle w:val="30"/>
        <w:pageBreakBefore w:val="0"/>
        <w:kinsoku/>
        <w:bidi w:val="0"/>
        <w:spacing w:before="0" w:beforeAutospacing="0" w:after="0" w:afterAutospacing="0"/>
        <w:jc w:val="center"/>
        <w:outlineLvl w:val="0"/>
        <w:rPr>
          <w:rFonts w:hint="default" w:ascii="Times New Roman" w:hAnsi="Times New Roman" w:eastAsia="宋体"/>
          <w:color w:val="000000" w:themeColor="text1"/>
          <w:highlight w:val="none"/>
          <w14:textFill>
            <w14:solidFill>
              <w14:schemeClr w14:val="tx1"/>
            </w14:solidFill>
          </w14:textFill>
        </w:rPr>
      </w:pPr>
      <w:bookmarkStart w:id="43" w:name="_Hlk54167917"/>
      <w:r>
        <w:rPr>
          <w:rFonts w:hint="default" w:ascii="Times New Roman" w:hAnsi="Times New Roman" w:eastAsia="宋体" w:cs="Times New Roman"/>
          <w:snapToGrid w:val="0"/>
          <w:color w:val="000000" w:themeColor="text1"/>
          <w:sz w:val="36"/>
          <w:szCs w:val="36"/>
          <w:highlight w:val="none"/>
          <w14:textFill>
            <w14:solidFill>
              <w14:schemeClr w14:val="tx1"/>
            </w14:solidFill>
          </w14:textFill>
        </w:rPr>
        <w:br w:type="page"/>
      </w:r>
      <w:bookmarkStart w:id="44" w:name="_Toc16294"/>
      <w:r>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t>四、生态环境影响分析</w:t>
      </w:r>
      <w:bookmarkEnd w:id="44"/>
    </w:p>
    <w:tbl>
      <w:tblPr>
        <w:tblStyle w:val="33"/>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11"/>
        <w:gridCol w:w="867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43" w:hRule="atLeast"/>
          <w:jc w:val="center"/>
        </w:trPr>
        <w:tc>
          <w:tcPr>
            <w:tcW w:w="311" w:type="dxa"/>
            <w:tcMar>
              <w:left w:w="28" w:type="dxa"/>
              <w:right w:w="28" w:type="dxa"/>
            </w:tcMar>
            <w:vAlign w:val="center"/>
          </w:tcPr>
          <w:p>
            <w:pPr>
              <w:pStyle w:val="30"/>
              <w:pageBreakBefore w:val="0"/>
              <w:kinsoku/>
              <w:bidi w:val="0"/>
              <w:adjustRightInd w:val="0"/>
              <w:snapToGrid w:val="0"/>
              <w:spacing w:before="0" w:beforeAutospacing="0" w:after="0" w:afterAutospacing="0"/>
              <w:jc w:val="center"/>
              <w:rPr>
                <w:rFonts w:hint="default" w:ascii="Times New Roman" w:hAnsi="Times New Roman" w:eastAsia="宋体" w:cs="Times New Roman"/>
                <w:bCs/>
                <w:color w:val="000000" w:themeColor="text1"/>
                <w:kern w:val="2"/>
                <w:sz w:val="21"/>
                <w:szCs w:val="21"/>
                <w:highlight w:val="none"/>
                <w14:textFill>
                  <w14:solidFill>
                    <w14:schemeClr w14:val="tx1"/>
                  </w14:solidFill>
                </w14:textFill>
              </w:rPr>
            </w:pPr>
            <w:bookmarkStart w:id="45" w:name="_Hlk49796138"/>
            <w:r>
              <w:rPr>
                <w:rFonts w:hint="default" w:ascii="Times New Roman" w:hAnsi="Times New Roman" w:eastAsia="宋体" w:cs="Times New Roman"/>
                <w:bCs/>
                <w:color w:val="000000" w:themeColor="text1"/>
                <w:spacing w:val="10"/>
                <w:kern w:val="2"/>
                <w:sz w:val="24"/>
                <w:szCs w:val="24"/>
                <w:highlight w:val="none"/>
                <w14:textFill>
                  <w14:solidFill>
                    <w14:schemeClr w14:val="tx1"/>
                  </w14:solidFill>
                </w14:textFill>
              </w:rPr>
              <w:t>施工期生态环境影响分析</w:t>
            </w:r>
            <w:bookmarkEnd w:id="45"/>
          </w:p>
        </w:tc>
        <w:tc>
          <w:tcPr>
            <w:tcW w:w="8670" w:type="dxa"/>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pPr>
            <w:bookmarkStart w:id="46" w:name="_Toc28383"/>
            <w:bookmarkStart w:id="47" w:name="_Toc17035"/>
            <w:bookmarkStart w:id="48" w:name="_Toc22272"/>
            <w:bookmarkStart w:id="49" w:name="_Toc6881"/>
            <w:r>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项目施工期建设内容主要包括</w:t>
            </w:r>
            <w:r>
              <w:rPr>
                <w:rFonts w:hint="eastAsia"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土地平整、配套加工生产区、桩基施工、预制构件预制及安装、现浇构件施工及设施安装等</w:t>
            </w:r>
            <w:r>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填海作业已通过《万成港口开发有限公司用地围填海生态评估报告》得出结论“本项目施工期填海影响较小，项目运营期不直接排放污水，可以维持现状的海水水质标准。”。</w:t>
            </w:r>
          </w:p>
          <w:p>
            <w:pPr>
              <w:pStyle w:val="11"/>
              <w:pageBreakBefore w:val="0"/>
              <w:kinsoku/>
              <w:bidi w:val="0"/>
              <w:spacing w:beforeAutospacing="0" w:afterAutospacing="0"/>
              <w:rPr>
                <w:rFonts w:hint="default" w:ascii="Times New Roman" w:hAnsi="Times New Roman" w:eastAsia="宋体" w:cs="Times New Roman"/>
                <w:color w:val="000000" w:themeColor="text1"/>
                <w:sz w:val="32"/>
                <w:szCs w:val="32"/>
                <w:lang w:val="en-US" w:eastAsia="zh-CN"/>
                <w14:textFill>
                  <w14:solidFill>
                    <w14:schemeClr w14:val="tx1"/>
                  </w14:solidFill>
                </w14:textFill>
              </w:rPr>
            </w:pPr>
            <w:bookmarkStart w:id="50" w:name="_Toc32580"/>
            <w:bookmarkStart w:id="51" w:name="_Toc15267"/>
            <w:bookmarkStart w:id="52" w:name="_Toc2023"/>
            <w:r>
              <w:rPr>
                <w:rFonts w:hint="eastAsia" w:ascii="Times New Roman" w:hAnsi="Times New Roman" w:eastAsia="宋体" w:cs="Times New Roman"/>
                <w:color w:val="000000" w:themeColor="text1"/>
                <w:sz w:val="32"/>
                <w:szCs w:val="32"/>
                <w:lang w:val="en-US" w:eastAsia="zh-CN"/>
                <w14:textFill>
                  <w14:solidFill>
                    <w14:schemeClr w14:val="tx1"/>
                  </w14:solidFill>
                </w14:textFill>
              </w:rPr>
              <w:t>4</w:t>
            </w:r>
            <w:r>
              <w:rPr>
                <w:rFonts w:hint="default" w:ascii="Times New Roman" w:hAnsi="Times New Roman" w:eastAsia="宋体" w:cs="Times New Roman"/>
                <w:color w:val="000000" w:themeColor="text1"/>
                <w:sz w:val="32"/>
                <w:szCs w:val="32"/>
                <w:lang w:val="en-US" w:eastAsia="zh-CN"/>
                <w14:textFill>
                  <w14:solidFill>
                    <w14:schemeClr w14:val="tx1"/>
                  </w14:solidFill>
                </w14:textFill>
              </w:rPr>
              <w:t>.1施工期大气环境影响分析</w:t>
            </w:r>
            <w:bookmarkEnd w:id="50"/>
            <w:bookmarkEnd w:id="51"/>
            <w:bookmarkEnd w:id="52"/>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项目施工期会产生扬尘及运输车辆排放的废气：①施工作业扬尘：施工期间建设单位将采取围挡、洒水等有效措施降低影响，因其施工期较短，随施工期的结束影响也将消失，在采取措施后施工扬尘影响范围和程度较小。②运输车辆扬尘：建设单位应在车辆运输过程中对运输车辆采取遮盖等措施，经防治措施后，运输线路沿途的扬尘对周边环境影响较小。③机械和车辆废气：一般情况下，这些污染物的排放量较小，对周围环境的影响很小。</w:t>
            </w:r>
            <w:r>
              <w:rPr>
                <w:rFonts w:hint="eastAsia"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④配套加工区废气：</w:t>
            </w:r>
            <w:r>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施工期间建设单位将采取</w:t>
            </w:r>
            <w:r>
              <w:rPr>
                <w:rFonts w:hint="eastAsia"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厂区密闭</w:t>
            </w:r>
            <w:r>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、洒水</w:t>
            </w:r>
            <w:r>
              <w:rPr>
                <w:rFonts w:hint="eastAsia"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抑尘</w:t>
            </w:r>
            <w:r>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等有效措施降低影响，因其施工期较短，随施工期的结束影响也将消失，在采取措施后施工扬尘影响范围和程度较小</w:t>
            </w:r>
            <w:r>
              <w:rPr>
                <w:rFonts w:hint="eastAsia"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；搅拌区采用布袋除尘器、密闭等措施后</w:t>
            </w:r>
            <w:r>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扬尘影响范围和程度较小。</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项目施工期所产生的大气污染物采取措施后对周边环境的影响较小</w:t>
            </w:r>
            <w:r>
              <w:rPr>
                <w:rFonts w:hint="eastAsia"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，项目施工前应取得相关主管部门发放的施工许可证</w:t>
            </w:r>
            <w:r>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详见大气环境影响评价专章。</w:t>
            </w:r>
          </w:p>
          <w:p>
            <w:pPr>
              <w:pStyle w:val="11"/>
              <w:pageBreakBefore w:val="0"/>
              <w:kinsoku/>
              <w:bidi w:val="0"/>
              <w:spacing w:beforeAutospacing="0" w:afterAutospacing="0"/>
              <w:rPr>
                <w:rFonts w:hint="default" w:ascii="Times New Roman" w:hAnsi="Times New Roman" w:eastAsia="宋体" w:cs="Times New Roman"/>
                <w:color w:val="000000" w:themeColor="text1"/>
                <w:sz w:val="32"/>
                <w:szCs w:val="32"/>
                <w:lang w:val="en-US" w:eastAsia="zh-CN"/>
                <w14:textFill>
                  <w14:solidFill>
                    <w14:schemeClr w14:val="tx1"/>
                  </w14:solidFill>
                </w14:textFill>
              </w:rPr>
            </w:pPr>
            <w:bookmarkStart w:id="53" w:name="_Toc17850"/>
            <w:bookmarkStart w:id="54" w:name="_Toc5061"/>
            <w:bookmarkStart w:id="55" w:name="_Toc21616"/>
            <w:r>
              <w:rPr>
                <w:rFonts w:hint="eastAsia" w:ascii="Times New Roman" w:hAnsi="Times New Roman" w:eastAsia="宋体" w:cs="Times New Roman"/>
                <w:color w:val="000000" w:themeColor="text1"/>
                <w:sz w:val="32"/>
                <w:szCs w:val="32"/>
                <w:lang w:val="en-US" w:eastAsia="zh-CN"/>
                <w14:textFill>
                  <w14:solidFill>
                    <w14:schemeClr w14:val="tx1"/>
                  </w14:solidFill>
                </w14:textFill>
              </w:rPr>
              <w:t>4</w:t>
            </w:r>
            <w:r>
              <w:rPr>
                <w:rFonts w:hint="default" w:ascii="Times New Roman" w:hAnsi="Times New Roman" w:eastAsia="宋体" w:cs="Times New Roman"/>
                <w:color w:val="000000" w:themeColor="text1"/>
                <w:sz w:val="32"/>
                <w:szCs w:val="32"/>
                <w:lang w:val="en-US" w:eastAsia="zh-CN"/>
                <w14:textFill>
                  <w14:solidFill>
                    <w14:schemeClr w14:val="tx1"/>
                  </w14:solidFill>
                </w14:textFill>
              </w:rPr>
              <w:t>.2施工期水环境影响分析</w:t>
            </w:r>
            <w:bookmarkEnd w:id="53"/>
            <w:bookmarkEnd w:id="54"/>
            <w:bookmarkEnd w:id="55"/>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outlineLvl w:val="9"/>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pPr>
            <w:bookmarkStart w:id="56" w:name="_Toc3254"/>
            <w:r>
              <w:rPr>
                <w:rFonts w:hint="eastAsia"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（1）</w:t>
            </w:r>
            <w:bookmarkEnd w:id="56"/>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水雾降尘</w:t>
            </w:r>
            <w:r>
              <w:rPr>
                <w:rFonts w:hint="default" w:ascii="Times New Roman" w:hAnsi="Times New Roman" w:eastAsia="宋体" w:cs="Times New Roman"/>
                <w:color w:val="000000" w:themeColor="text1"/>
                <w:sz w:val="24"/>
                <w:szCs w:val="24"/>
                <w:highlight w:val="none"/>
                <w14:textFill>
                  <w14:solidFill>
                    <w14:schemeClr w14:val="tx1"/>
                  </w14:solidFill>
                </w14:textFill>
              </w:rPr>
              <w:t>用水</w:t>
            </w:r>
          </w:p>
          <w:p>
            <w:pPr>
              <w:pStyle w:val="100"/>
              <w:keepNext w:val="0"/>
              <w:keepLines w:val="0"/>
              <w:pageBreakBefore w:val="0"/>
              <w:widowControl w:val="0"/>
              <w:kinsoku/>
              <w:overflowPunct/>
              <w:topLinePunct w:val="0"/>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项目需对</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加工</w:t>
            </w:r>
            <w:r>
              <w:rPr>
                <w:rFonts w:hint="default" w:ascii="Times New Roman" w:hAnsi="Times New Roman" w:eastAsia="宋体" w:cs="Times New Roman"/>
                <w:color w:val="000000" w:themeColor="text1"/>
                <w:sz w:val="24"/>
                <w:szCs w:val="24"/>
                <w:highlight w:val="none"/>
                <w14:textFill>
                  <w14:solidFill>
                    <w14:schemeClr w14:val="tx1"/>
                  </w14:solidFill>
                </w14:textFill>
              </w:rPr>
              <w:t>区、道路、原料、成品堆场和物料输送过程中进行洒水降尘。项目拟在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加工</w:t>
            </w:r>
            <w:r>
              <w:rPr>
                <w:rFonts w:hint="default" w:ascii="Times New Roman" w:hAnsi="Times New Roman" w:eastAsia="宋体" w:cs="Times New Roman"/>
                <w:color w:val="000000" w:themeColor="text1"/>
                <w:sz w:val="24"/>
                <w:szCs w:val="24"/>
                <w:highlight w:val="none"/>
                <w14:textFill>
                  <w14:solidFill>
                    <w14:schemeClr w14:val="tx1"/>
                  </w14:solidFill>
                </w14:textFill>
              </w:rPr>
              <w:t>区、道路、</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喂料口、</w:t>
            </w:r>
            <w:r>
              <w:rPr>
                <w:rFonts w:hint="default" w:ascii="Times New Roman" w:hAnsi="Times New Roman" w:eastAsia="宋体" w:cs="Times New Roman"/>
                <w:color w:val="000000" w:themeColor="text1"/>
                <w:sz w:val="24"/>
                <w:szCs w:val="24"/>
                <w:highlight w:val="none"/>
                <w14:textFill>
                  <w14:solidFill>
                    <w14:schemeClr w14:val="tx1"/>
                  </w14:solidFill>
                </w14:textFill>
              </w:rPr>
              <w:t>成品堆场以及输送带设置喷雾除尘装置，拟设置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80</w:t>
            </w:r>
            <w:r>
              <w:rPr>
                <w:rFonts w:hint="default" w:ascii="Times New Roman" w:hAnsi="Times New Roman" w:eastAsia="宋体" w:cs="Times New Roman"/>
                <w:color w:val="000000" w:themeColor="text1"/>
                <w:sz w:val="24"/>
                <w:szCs w:val="24"/>
                <w:highlight w:val="none"/>
                <w14:textFill>
                  <w14:solidFill>
                    <w14:schemeClr w14:val="tx1"/>
                  </w14:solidFill>
                </w14:textFill>
              </w:rPr>
              <w:t>个喷头。每个喷雾除尘装置喷水速率为120L/h（项目设备每日运行时间为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16</w:t>
            </w:r>
            <w:r>
              <w:rPr>
                <w:rFonts w:hint="default" w:ascii="Times New Roman" w:hAnsi="Times New Roman" w:eastAsia="宋体" w:cs="Times New Roman"/>
                <w:color w:val="000000" w:themeColor="text1"/>
                <w:sz w:val="24"/>
                <w:szCs w:val="24"/>
                <w:highlight w:val="none"/>
                <w14:textFill>
                  <w14:solidFill>
                    <w14:schemeClr w14:val="tx1"/>
                  </w14:solidFill>
                </w14:textFill>
              </w:rPr>
              <w:t>h，每年工作3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0日，即设备年运行时间为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5280</w:t>
            </w:r>
            <w:r>
              <w:rPr>
                <w:rFonts w:hint="default" w:ascii="Times New Roman" w:hAnsi="Times New Roman" w:eastAsia="宋体" w:cs="Times New Roman"/>
                <w:color w:val="000000" w:themeColor="text1"/>
                <w:sz w:val="24"/>
                <w:szCs w:val="24"/>
                <w:highlight w:val="none"/>
                <w14:textFill>
                  <w14:solidFill>
                    <w14:schemeClr w14:val="tx1"/>
                  </w14:solidFill>
                </w14:textFill>
              </w:rPr>
              <w:t>h），则项目降尘用水总量为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153.6</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/d（</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50688</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/a）。建设单位拟在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每</w:t>
            </w:r>
            <w:r>
              <w:rPr>
                <w:rFonts w:hint="default" w:ascii="Times New Roman" w:hAnsi="Times New Roman" w:eastAsia="宋体" w:cs="Times New Roman"/>
                <w:color w:val="000000" w:themeColor="text1"/>
                <w:sz w:val="24"/>
                <w:szCs w:val="24"/>
                <w:highlight w:val="none"/>
                <w14:textFill>
                  <w14:solidFill>
                    <w14:schemeClr w14:val="tx1"/>
                  </w14:solidFill>
                </w14:textFill>
              </w:rPr>
              <w:t>个扬尘环节通过喷淋水雾达到除尘效果。项目喷洒的降尘水经蒸发、产品附着全部消耗，不会形成废水径流，场地内降尘洒水经蒸发后也无废水产生。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outlineLvl w:val="9"/>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pPr>
            <w:bookmarkStart w:id="57" w:name="_Toc981"/>
            <w:r>
              <w:rPr>
                <w:rFonts w:hint="eastAsia"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（2）</w:t>
            </w:r>
            <w:r>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生活污水</w:t>
            </w:r>
            <w:bookmarkEnd w:id="57"/>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施工人员为15人，均来自周围村庄，不住工地。工人生活用水定额取50L/d·人，排水系数按80%计，则施工人员生活污水产生量0.6m</w:t>
            </w:r>
            <w:r>
              <w:rPr>
                <w:rFonts w:hint="default" w:ascii="Times New Roman" w:hAnsi="Times New Roman" w:eastAsia="宋体" w:cs="Times New Roman"/>
                <w:color w:val="000000" w:themeColor="text1"/>
                <w:sz w:val="24"/>
                <w:highlight w:val="none"/>
                <w:u w:val="none" w:color="auto"/>
                <w:shd w:val="clear" w:color="auto" w:fill="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/d，主要污染物为CODcr、BOD</w:t>
            </w:r>
            <w:r>
              <w:rPr>
                <w:rFonts w:hint="default" w:ascii="Times New Roman" w:hAnsi="Times New Roman" w:eastAsia="宋体" w:cs="Times New Roman"/>
                <w:color w:val="000000" w:themeColor="text1"/>
                <w:sz w:val="24"/>
                <w:highlight w:val="none"/>
                <w:u w:val="none" w:color="auto"/>
                <w:shd w:val="clear" w:color="auto" w:fill="auto"/>
                <w:vertAlign w:val="subscript"/>
                <w:lang w:val="en-US" w:eastAsia="zh-CN"/>
                <w14:textFill>
                  <w14:solidFill>
                    <w14:schemeClr w14:val="tx1"/>
                  </w14:solidFill>
                </w14:textFill>
              </w:rPr>
              <w:t>5</w:t>
            </w:r>
            <w:r>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、SS、NH</w:t>
            </w:r>
            <w:r>
              <w:rPr>
                <w:rFonts w:hint="default" w:ascii="Times New Roman" w:hAnsi="Times New Roman" w:eastAsia="宋体" w:cs="Times New Roman"/>
                <w:color w:val="000000" w:themeColor="text1"/>
                <w:sz w:val="24"/>
                <w:highlight w:val="none"/>
                <w:u w:val="none" w:color="auto"/>
                <w:shd w:val="clear" w:color="auto" w:fill="auto"/>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-N，生活污水通过</w:t>
            </w:r>
            <w:r>
              <w:rPr>
                <w:rFonts w:hint="eastAsia"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化粪池处理后</w:t>
            </w:r>
            <w:r>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用槽罐车运往</w:t>
            </w:r>
            <w:r>
              <w:rPr>
                <w:rFonts w:hint="eastAsia"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福鼎市白琳镇污水处理站</w:t>
            </w:r>
            <w:r>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集中处理。</w:t>
            </w:r>
          </w:p>
          <w:p>
            <w:pPr>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32"/>
                <w:lang w:val="en-US" w:eastAsia="zh-CN"/>
                <w14:textFill>
                  <w14:solidFill>
                    <w14:schemeClr w14:val="tx1"/>
                  </w14:solidFill>
                </w14:textFill>
              </w:rPr>
              <w:t>悬浮泥沙对水环境影响分析</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①施工栈桥及施工平台</w:t>
            </w:r>
          </w:p>
          <w:p>
            <w:pPr>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sz w:val="24"/>
                <w:szCs w:val="32"/>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lang w:val="en-US" w:eastAsia="zh-CN"/>
                <w14:textFill>
                  <w14:solidFill>
                    <w14:schemeClr w14:val="tx1"/>
                  </w14:solidFill>
                </w14:textFill>
              </w:rPr>
              <w:t xml:space="preserve">项目施工栈桥及钻孔灌注桩平台建设，其下部基础为钢管桩。钢管桩采用  </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32"/>
                <w:lang w:val="en-US" w:eastAsia="zh-CN"/>
                <w14:textFill>
                  <w14:solidFill>
                    <w14:schemeClr w14:val="tx1"/>
                  </w14:solidFill>
                </w14:textFill>
              </w:rPr>
              <w:t>钓鱼法</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32"/>
                <w:lang w:val="en-US" w:eastAsia="zh-CN"/>
                <w14:textFill>
                  <w14:solidFill>
                    <w14:schemeClr w14:val="tx1"/>
                  </w14:solidFill>
                </w14:textFill>
              </w:rPr>
              <w:t>施工，钢管桩通过履带吊机与振动锤连接后，使钢管桩振动下沉直至风化岩层。由于采取直接振动下沉的施工方式，施工过程中悬浮泥沙产生量较小。</w:t>
            </w:r>
          </w:p>
          <w:p>
            <w:pPr>
              <w:pStyle w:val="22"/>
              <w:pageBreakBefore w:val="0"/>
              <w:kinsoku/>
              <w:bidi w:val="0"/>
              <w:spacing w:beforeAutospacing="0" w:after="0" w:afterAutospacing="0"/>
              <w:ind w:left="0" w:leftChars="0" w:firstLine="480" w:firstLineChars="200"/>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②码头桩基施工</w:t>
            </w:r>
          </w:p>
          <w:p>
            <w:pPr>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sz w:val="24"/>
                <w:szCs w:val="32"/>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lang w:val="en-US" w:eastAsia="zh-CN"/>
                <w14:textFill>
                  <w14:solidFill>
                    <w14:schemeClr w14:val="tx1"/>
                  </w14:solidFill>
                </w14:textFill>
              </w:rPr>
              <w:t>本项目水工结构采用高桩梁板式结构，桩基为灌注型嵌岩桩。灌注桩钢护筒 插打作业活动在作业点位产生局部水体底部扰动而浮起底泥，造成局部水体中泥 沙悬浮物增加，但仅对作业点位表面产生少量淤泥扰动，且此类作业时间很短， 底泥浮起有限，施工泥沙入海量甚少。悬浮泥沙入海影响悬沙入海源强较小，故悬浮泥沙增量影响范围集中在桩基附近，影响范围不大，且桩基施工是短期施工行为，随施工结束，悬浮泥沙影响会很快消失并恢复原状，对海域水环境影响较小。</w:t>
            </w:r>
          </w:p>
          <w:p>
            <w:pPr>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（4）配套加工区</w:t>
            </w:r>
            <w:r>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废水</w:t>
            </w:r>
            <w:r>
              <w:rPr>
                <w:rFonts w:hint="eastAsia"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（碎石加工）</w:t>
            </w:r>
          </w:p>
          <w:p>
            <w:pPr>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sz w:val="24"/>
                <w:szCs w:val="32"/>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lang w:val="en-US" w:eastAsia="zh-CN"/>
                <w14:textFill>
                  <w14:solidFill>
                    <w14:schemeClr w14:val="tx1"/>
                  </w14:solidFill>
                </w14:textFill>
              </w:rPr>
              <w:t>该项目土地平整出的砂石土资源在项目红线范围内采用破碎机，切割机等设备进行加工成砂石骨料。短期内投资建设欧版鄂破机、圆锥机、单缸圆锥机、冲击破碎机、</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振动筛</w:t>
            </w:r>
            <w:r>
              <w:rPr>
                <w:rFonts w:hint="default" w:ascii="Times New Roman" w:hAnsi="Times New Roman" w:eastAsia="宋体" w:cs="Times New Roman"/>
                <w:color w:val="000000" w:themeColor="text1"/>
                <w:sz w:val="24"/>
                <w:szCs w:val="32"/>
                <w:lang w:val="en-US" w:eastAsia="zh-CN"/>
                <w14:textFill>
                  <w14:solidFill>
                    <w14:schemeClr w14:val="tx1"/>
                  </w14:solidFill>
                </w14:textFill>
              </w:rPr>
              <w:t>、喂料机、压力机、脱水筛、离心泵、入料泵、污水泵、污水罐、清水罐等生产设备及</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32"/>
                <w:lang w:val="en-US" w:eastAsia="zh-CN"/>
                <w14:textFill>
                  <w14:solidFill>
                    <w14:schemeClr w14:val="tx1"/>
                  </w14:solidFill>
                </w14:textFill>
              </w:rPr>
              <w:t>条配套加工生产线，</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可开采</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土砂石资源</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162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万m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，回填后剩余可加工砂石量为 60.89万m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以2.7t/m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计，</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164.5万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①碎石冲洗用水</w:t>
            </w:r>
          </w:p>
          <w:p>
            <w:pPr>
              <w:pageBreakBefore w:val="0"/>
              <w:kinsoku/>
              <w:bidi w:val="0"/>
              <w:spacing w:beforeAutospacing="0" w:afterAutospacing="0" w:line="360" w:lineRule="auto"/>
              <w:ind w:firstLine="480" w:firstLineChars="200"/>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本项目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加工</w:t>
            </w:r>
            <w:r>
              <w:rPr>
                <w:rFonts w:hint="eastAsia" w:ascii="Times New Roman" w:hAnsi="Times New Roman" w:eastAsia="宋体" w:cs="Times New Roman"/>
                <w:color w:val="000000" w:themeColor="text1"/>
                <w:sz w:val="24"/>
                <w:szCs w:val="24"/>
                <w:highlight w:val="none"/>
                <w14:textFill>
                  <w14:solidFill>
                    <w14:schemeClr w14:val="tx1"/>
                  </w14:solidFill>
                </w14:textFill>
              </w:rPr>
              <w:t>用水主要为</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碎石冲洗</w:t>
            </w:r>
            <w:r>
              <w:rPr>
                <w:rFonts w:hint="eastAsia" w:ascii="Times New Roman" w:hAnsi="Times New Roman" w:eastAsia="宋体" w:cs="Times New Roman"/>
                <w:color w:val="000000" w:themeColor="text1"/>
                <w:sz w:val="24"/>
                <w:szCs w:val="24"/>
                <w:highlight w:val="none"/>
                <w14:textFill>
                  <w14:solidFill>
                    <w14:schemeClr w14:val="tx1"/>
                  </w14:solidFill>
                </w14:textFill>
              </w:rPr>
              <w:t>生产线用水，为保证产品的质量，</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加工</w:t>
            </w:r>
            <w:r>
              <w:rPr>
                <w:rFonts w:hint="eastAsia" w:ascii="Times New Roman" w:hAnsi="Times New Roman" w:eastAsia="宋体" w:cs="Times New Roman"/>
                <w:color w:val="000000" w:themeColor="text1"/>
                <w:sz w:val="24"/>
                <w:szCs w:val="24"/>
                <w:highlight w:val="none"/>
                <w14:textFill>
                  <w14:solidFill>
                    <w14:schemeClr w14:val="tx1"/>
                  </w14:solidFill>
                </w14:textFill>
              </w:rPr>
              <w:t>过程中需对原材料进行清洗，去除污泥。根据企业提供的资料，正常工况下本项目每</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加工</w:t>
            </w:r>
            <w:r>
              <w:rPr>
                <w:rFonts w:hint="eastAsia" w:ascii="Times New Roman" w:hAnsi="Times New Roman" w:eastAsia="宋体" w:cs="Times New Roman"/>
                <w:color w:val="000000" w:themeColor="text1"/>
                <w:sz w:val="24"/>
                <w:szCs w:val="24"/>
                <w:highlight w:val="none"/>
                <w14:textFill>
                  <w14:solidFill>
                    <w14:schemeClr w14:val="tx1"/>
                  </w14:solidFill>
                </w14:textFill>
              </w:rPr>
              <w:t>1吨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砂石</w:t>
            </w:r>
            <w:r>
              <w:rPr>
                <w:rFonts w:hint="eastAsia" w:ascii="Times New Roman" w:hAnsi="Times New Roman" w:eastAsia="宋体" w:cs="Times New Roman"/>
                <w:color w:val="000000" w:themeColor="text1"/>
                <w:sz w:val="24"/>
                <w:szCs w:val="24"/>
                <w:highlight w:val="none"/>
                <w14:textFill>
                  <w14:solidFill>
                    <w14:schemeClr w14:val="tx1"/>
                  </w14:solidFill>
                </w14:textFill>
              </w:rPr>
              <w:t>需用水0.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4"/>
                <w:highlight w:val="none"/>
                <w14:textFill>
                  <w14:solidFill>
                    <w14:schemeClr w14:val="tx1"/>
                  </w14:solidFill>
                </w14:textFill>
              </w:rPr>
              <w:t>t，</w:t>
            </w:r>
            <w:r>
              <w:rPr>
                <w:rFonts w:hint="eastAsia" w:ascii="Times New Roman" w:hAnsi="Times New Roman" w:eastAsia="宋体"/>
                <w:color w:val="000000" w:themeColor="text1"/>
                <w:sz w:val="24"/>
                <w:szCs w:val="24"/>
                <w:highlight w:val="none"/>
                <w:lang w:eastAsia="zh-CN"/>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生产164.5万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w:t>
            </w:r>
            <w:r>
              <w:rPr>
                <w:rFonts w:ascii="Times New Roman" w:hAnsi="Times New Roman" w:eastAsia="宋体"/>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则</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冲洗</w:t>
            </w:r>
            <w:r>
              <w:rPr>
                <w:rFonts w:hint="eastAsia" w:ascii="Times New Roman" w:hAnsi="Times New Roman" w:eastAsia="宋体" w:cs="Times New Roman"/>
                <w:color w:val="000000" w:themeColor="text1"/>
                <w:sz w:val="24"/>
                <w:szCs w:val="24"/>
                <w:highlight w:val="none"/>
                <w14:textFill>
                  <w14:solidFill>
                    <w14:schemeClr w14:val="tx1"/>
                  </w14:solidFill>
                </w14:textFill>
              </w:rPr>
              <w:t>用水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量82.25万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a。根据业主提供的资料，成品平均含水率约3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，则成品带走水量</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4.94</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a，</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其余进入沉淀池</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位于加工区西南侧，详见附图11</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处理后回用。</w:t>
            </w:r>
          </w:p>
          <w:p>
            <w:pPr>
              <w:pageBreakBefore w:val="0"/>
              <w:kinsoku/>
              <w:bidi w:val="0"/>
              <w:spacing w:beforeAutospacing="0" w:afterAutospacing="0" w:line="360" w:lineRule="auto"/>
              <w:ind w:firstLine="480" w:firstLineChars="200"/>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②污泥压滤废水</w:t>
            </w:r>
          </w:p>
          <w:p>
            <w:pPr>
              <w:pageBreakBefore w:val="0"/>
              <w:kinsoku/>
              <w:bidi w:val="0"/>
              <w:spacing w:beforeAutospacing="0" w:afterAutospacing="0" w:line="360" w:lineRule="auto"/>
              <w:ind w:firstLine="480" w:firstLineChars="200"/>
              <w:jc w:val="both"/>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根据业主提供的资料，污泥</w:t>
            </w:r>
            <w:r>
              <w:rPr>
                <w:rFonts w:hint="eastAsia" w:ascii="Times New Roman" w:hAnsi="Times New Roman" w:eastAsia="宋体"/>
                <w:color w:val="000000" w:themeColor="text1"/>
                <w:sz w:val="24"/>
                <w:szCs w:val="24"/>
                <w:highlight w:val="none"/>
                <w14:textFill>
                  <w14:solidFill>
                    <w14:schemeClr w14:val="tx1"/>
                  </w14:solidFill>
                </w14:textFill>
              </w:rPr>
              <w:t>（滤饼）</w:t>
            </w:r>
            <w:r>
              <w:rPr>
                <w:rFonts w:ascii="Times New Roman" w:hAnsi="Times New Roman" w:eastAsia="宋体"/>
                <w:color w:val="000000" w:themeColor="text1"/>
                <w:sz w:val="24"/>
                <w:szCs w:val="24"/>
                <w:highlight w:val="none"/>
                <w14:textFill>
                  <w14:solidFill>
                    <w14:schemeClr w14:val="tx1"/>
                  </w14:solidFill>
                </w14:textFill>
              </w:rPr>
              <w:t>的含水率约为</w:t>
            </w:r>
            <w:r>
              <w:rPr>
                <w:rFonts w:hint="eastAsia" w:ascii="Times New Roman" w:hAnsi="Times New Roman" w:eastAsia="宋体"/>
                <w:color w:val="000000" w:themeColor="text1"/>
                <w:sz w:val="24"/>
                <w:szCs w:val="24"/>
                <w:highlight w:val="none"/>
                <w14:textFill>
                  <w14:solidFill>
                    <w14:schemeClr w14:val="tx1"/>
                  </w14:solidFill>
                </w14:textFill>
              </w:rPr>
              <w:t>35</w:t>
            </w:r>
            <w:r>
              <w:rPr>
                <w:rFonts w:ascii="Times New Roman" w:hAnsi="Times New Roman" w:eastAsia="宋体"/>
                <w:color w:val="000000" w:themeColor="text1"/>
                <w:sz w:val="24"/>
                <w:szCs w:val="24"/>
                <w:highlight w:val="none"/>
                <w14:textFill>
                  <w14:solidFill>
                    <w14:schemeClr w14:val="tx1"/>
                  </w14:solidFill>
                </w14:textFill>
              </w:rPr>
              <w:t>%，本项目每</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加工</w:t>
            </w:r>
            <w:r>
              <w:rPr>
                <w:rFonts w:ascii="Times New Roman" w:hAnsi="Times New Roman" w:eastAsia="宋体"/>
                <w:color w:val="000000" w:themeColor="text1"/>
                <w:sz w:val="24"/>
                <w:szCs w:val="24"/>
                <w:highlight w:val="none"/>
                <w14:textFill>
                  <w14:solidFill>
                    <w14:schemeClr w14:val="tx1"/>
                  </w14:solidFill>
                </w14:textFill>
              </w:rPr>
              <w:t>1t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砂石</w:t>
            </w:r>
            <w:r>
              <w:rPr>
                <w:rFonts w:ascii="Times New Roman" w:hAnsi="Times New Roman" w:eastAsia="宋体"/>
                <w:color w:val="000000" w:themeColor="text1"/>
                <w:sz w:val="24"/>
                <w:szCs w:val="24"/>
                <w:highlight w:val="none"/>
                <w14:textFill>
                  <w14:solidFill>
                    <w14:schemeClr w14:val="tx1"/>
                  </w14:solidFill>
                </w14:textFill>
              </w:rPr>
              <w:t>的同时，会产生约6.67kg的压滤干泥，本项目</w:t>
            </w:r>
            <w:r>
              <w:rPr>
                <w:rFonts w:hint="eastAsia" w:ascii="Times New Roman" w:hAnsi="Times New Roman" w:eastAsia="宋体"/>
                <w:color w:val="000000" w:themeColor="text1"/>
                <w:sz w:val="24"/>
                <w:szCs w:val="24"/>
                <w:highlight w:val="none"/>
                <w:lang w:eastAsia="zh-CN"/>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加</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工砂石164.5万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w:t>
            </w:r>
            <w:r>
              <w:rPr>
                <w:rFonts w:ascii="Times New Roman" w:hAnsi="Times New Roman" w:eastAsia="宋体"/>
                <w:color w:val="000000" w:themeColor="text1"/>
                <w:sz w:val="24"/>
                <w:szCs w:val="24"/>
                <w:highlight w:val="none"/>
                <w14:textFill>
                  <w14:solidFill>
                    <w14:schemeClr w14:val="tx1"/>
                  </w14:solidFill>
                </w14:textFill>
              </w:rPr>
              <w:t>，产生约</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10972.15</w:t>
            </w:r>
            <w:r>
              <w:rPr>
                <w:rFonts w:ascii="Times New Roman" w:hAnsi="Times New Roman" w:eastAsia="宋体"/>
                <w:color w:val="000000" w:themeColor="text1"/>
                <w:sz w:val="24"/>
                <w:szCs w:val="24"/>
                <w:highlight w:val="none"/>
                <w14:textFill>
                  <w14:solidFill>
                    <w14:schemeClr w14:val="tx1"/>
                  </w14:solidFill>
                </w14:textFill>
              </w:rPr>
              <w:t>t的压滤干泥</w:t>
            </w:r>
            <w:r>
              <w:rPr>
                <w:rFonts w:ascii="Times New Roman" w:hAnsi="Times New Roman" w:eastAsia="宋体"/>
                <w:color w:val="000000" w:themeColor="text1"/>
                <w:sz w:val="24"/>
                <w:szCs w:val="24"/>
                <w:highlight w:val="none"/>
                <w14:textFill>
                  <w14:solidFill>
                    <w14:schemeClr w14:val="tx1"/>
                  </w14:solidFill>
                </w14:textFill>
              </w:rPr>
              <w:t>，即在压滤过程中产生含水率约</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35</w:t>
            </w:r>
            <w:r>
              <w:rPr>
                <w:rFonts w:ascii="Times New Roman" w:hAnsi="Times New Roman" w:eastAsia="宋体"/>
                <w:color w:val="000000" w:themeColor="text1"/>
                <w:sz w:val="24"/>
                <w:szCs w:val="24"/>
                <w:highlight w:val="none"/>
                <w14:textFill>
                  <w14:solidFill>
                    <w14:schemeClr w14:val="tx1"/>
                  </w14:solidFill>
                </w14:textFill>
              </w:rPr>
              <w:t>%的</w:t>
            </w:r>
            <w:r>
              <w:rPr>
                <w:rFonts w:ascii="Times New Roman" w:hAnsi="Times New Roman" w:eastAsia="宋体"/>
                <w:color w:val="000000" w:themeColor="text1"/>
                <w:sz w:val="24"/>
                <w:szCs w:val="24"/>
                <w:highlight w:val="none"/>
                <w14:textFill>
                  <w14:solidFill>
                    <w14:schemeClr w14:val="tx1"/>
                  </w14:solidFill>
                </w14:textFill>
              </w:rPr>
              <w:t>压滤污泥</w:t>
            </w:r>
            <w:r>
              <w:rPr>
                <w:rFonts w:hint="eastAsia" w:ascii="Times New Roman" w:hAnsi="Times New Roman" w:eastAsia="宋体"/>
                <w:color w:val="000000" w:themeColor="text1"/>
                <w:sz w:val="24"/>
                <w:szCs w:val="24"/>
                <w:highlight w:val="none"/>
                <w14:textFill>
                  <w14:solidFill>
                    <w14:schemeClr w14:val="tx1"/>
                  </w14:solidFill>
                </w14:textFill>
              </w:rPr>
              <w:t>（滤饼）</w:t>
            </w:r>
            <w:r>
              <w:rPr>
                <w:rFonts w:ascii="Times New Roman" w:hAnsi="Times New Roman" w:eastAsia="宋体"/>
                <w:color w:val="000000" w:themeColor="text1"/>
                <w:sz w:val="24"/>
                <w:szCs w:val="24"/>
                <w:highlight w:val="none"/>
                <w14:textFill>
                  <w14:solidFill>
                    <w14:schemeClr w14:val="tx1"/>
                  </w14:solidFill>
                </w14:textFill>
              </w:rPr>
              <w:t>约</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16880.23</w:t>
            </w:r>
            <w:r>
              <w:rPr>
                <w:rFonts w:ascii="Times New Roman" w:hAnsi="Times New Roman" w:eastAsia="宋体"/>
                <w:color w:val="000000" w:themeColor="text1"/>
                <w:sz w:val="24"/>
                <w:szCs w:val="24"/>
                <w:highlight w:val="none"/>
                <w14:textFill>
                  <w14:solidFill>
                    <w14:schemeClr w14:val="tx1"/>
                  </w14:solidFill>
                </w14:textFill>
              </w:rPr>
              <w:t>t/a</w:t>
            </w:r>
            <w:r>
              <w:rPr>
                <w:rFonts w:ascii="Times New Roman" w:hAnsi="Times New Roman" w:eastAsia="宋体"/>
                <w:color w:val="000000" w:themeColor="text1"/>
                <w:sz w:val="24"/>
                <w:szCs w:val="24"/>
                <w:highlight w:val="none"/>
                <w14:textFill>
                  <w14:solidFill>
                    <w14:schemeClr w14:val="tx1"/>
                  </w14:solidFill>
                </w14:textFill>
              </w:rPr>
              <w:t>，</w:t>
            </w:r>
            <w:r>
              <w:rPr>
                <w:rFonts w:ascii="Times New Roman" w:hAnsi="Times New Roman" w:eastAsia="宋体"/>
                <w:color w:val="000000" w:themeColor="text1"/>
                <w:sz w:val="24"/>
                <w:szCs w:val="24"/>
                <w:highlight w:val="none"/>
                <w14:textFill>
                  <w14:solidFill>
                    <w14:schemeClr w14:val="tx1"/>
                  </w14:solidFill>
                </w14:textFill>
              </w:rPr>
              <w:t>则污泥带走的水量为</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5908.08t</w:t>
            </w:r>
            <w:r>
              <w:rPr>
                <w:rFonts w:ascii="Times New Roman" w:hAnsi="Times New Roman" w:eastAsia="宋体"/>
                <w:color w:val="000000" w:themeColor="text1"/>
                <w:sz w:val="24"/>
                <w:szCs w:val="24"/>
                <w:highlight w:val="none"/>
                <w14:textFill>
                  <w14:solidFill>
                    <w14:schemeClr w14:val="tx1"/>
                  </w14:solidFill>
                </w14:textFill>
              </w:rPr>
              <w:t>/a。</w:t>
            </w:r>
          </w:p>
          <w:p>
            <w:pPr>
              <w:pageBreakBefore w:val="0"/>
              <w:kinsoku/>
              <w:bidi w:val="0"/>
              <w:spacing w:beforeAutospacing="0" w:afterAutospacing="0" w:line="360" w:lineRule="auto"/>
              <w:ind w:firstLine="480" w:firstLineChars="200"/>
              <w:jc w:val="both"/>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综上，</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碎石冲洗</w:t>
            </w:r>
            <w:r>
              <w:rPr>
                <w:rFonts w:hint="eastAsia" w:ascii="Times New Roman" w:hAnsi="Times New Roman" w:eastAsia="宋体" w:cs="Times New Roman"/>
                <w:color w:val="000000" w:themeColor="text1"/>
                <w:sz w:val="24"/>
                <w:szCs w:val="24"/>
                <w:highlight w:val="none"/>
                <w14:textFill>
                  <w14:solidFill>
                    <w14:schemeClr w14:val="tx1"/>
                  </w14:solidFill>
                </w14:textFill>
              </w:rPr>
              <w:t>工序每年需补充水量为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30608.08</w:t>
            </w:r>
            <w:r>
              <w:rPr>
                <w:rFonts w:hint="eastAsia" w:ascii="Times New Roman" w:hAnsi="Times New Roman" w:eastAsia="宋体" w:cs="Times New Roman"/>
                <w:color w:val="000000" w:themeColor="text1"/>
                <w:sz w:val="24"/>
                <w:szCs w:val="24"/>
                <w:highlight w:val="none"/>
                <w14:textFill>
                  <w14:solidFill>
                    <w14:schemeClr w14:val="tx1"/>
                  </w14:solidFill>
                </w14:textFill>
              </w:rPr>
              <w:t>t/a。</w:t>
            </w:r>
            <w:r>
              <w:rPr>
                <w:rFonts w:hint="default" w:ascii="Times New Roman" w:hAnsi="Times New Roman" w:eastAsia="宋体" w:cs="Times New Roman"/>
                <w:color w:val="000000" w:themeColor="text1"/>
                <w:sz w:val="24"/>
                <w:szCs w:val="24"/>
                <w:highlight w:val="none"/>
                <w14:textFill>
                  <w14:solidFill>
                    <w14:schemeClr w14:val="tx1"/>
                  </w14:solidFill>
                </w14:textFill>
              </w:rPr>
              <w:t>废水主要为泥浆水，外观呈土黄色，水中污染物主要为SS，主要为细小</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泥沙</w:t>
            </w:r>
            <w:r>
              <w:rPr>
                <w:rFonts w:hint="default" w:ascii="Times New Roman" w:hAnsi="Times New Roman" w:eastAsia="宋体" w:cs="Times New Roman"/>
                <w:color w:val="000000" w:themeColor="text1"/>
                <w:sz w:val="24"/>
                <w:szCs w:val="24"/>
                <w:highlight w:val="none"/>
                <w14:textFill>
                  <w14:solidFill>
                    <w14:schemeClr w14:val="tx1"/>
                  </w14:solidFill>
                </w14:textFill>
              </w:rPr>
              <w:t>颗粒。</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污泥压滤废水</w:t>
            </w:r>
            <w:r>
              <w:rPr>
                <w:rFonts w:hint="default" w:ascii="Times New Roman" w:hAnsi="Times New Roman" w:eastAsia="宋体" w:cs="Times New Roman"/>
                <w:color w:val="000000" w:themeColor="text1"/>
                <w:sz w:val="24"/>
                <w:szCs w:val="24"/>
                <w:highlight w:val="none"/>
                <w14:textFill>
                  <w14:solidFill>
                    <w14:schemeClr w14:val="tx1"/>
                  </w14:solidFill>
                </w14:textFill>
              </w:rPr>
              <w:t>处理不当会污染环境、造成大量水土流失、影响水质。因此，环评要求项目对</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清洗</w:t>
            </w:r>
            <w:r>
              <w:rPr>
                <w:rFonts w:hint="default" w:ascii="Times New Roman" w:hAnsi="Times New Roman" w:eastAsia="宋体" w:cs="Times New Roman"/>
                <w:color w:val="000000" w:themeColor="text1"/>
                <w:sz w:val="24"/>
                <w:szCs w:val="24"/>
                <w:highlight w:val="none"/>
                <w14:textFill>
                  <w14:solidFill>
                    <w14:schemeClr w14:val="tx1"/>
                  </w14:solidFill>
                </w14:textFill>
              </w:rPr>
              <w:t>废水进行处理后循环利用，不得随意外排。</w:t>
            </w:r>
          </w:p>
          <w:p>
            <w:pPr>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（5）配套加工区</w:t>
            </w:r>
            <w:r>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废水</w:t>
            </w:r>
            <w:r>
              <w:rPr>
                <w:rFonts w:hint="eastAsia"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（搅拌）</w:t>
            </w:r>
          </w:p>
          <w:p>
            <w:pPr>
              <w:pageBreakBefore w:val="0"/>
              <w:kinsoku/>
              <w:bidi w:val="0"/>
              <w:spacing w:beforeAutospacing="0" w:afterAutospacing="0" w:line="360" w:lineRule="auto"/>
              <w:ind w:firstLine="480" w:firstLineChars="200"/>
              <w:rPr>
                <w:rFonts w:ascii="Times New Roman" w:hAnsi="Times New Roman" w:eastAsia="宋体"/>
                <w:bCs/>
                <w:color w:val="000000" w:themeColor="text1"/>
                <w:sz w:val="24"/>
                <w14:textFill>
                  <w14:solidFill>
                    <w14:schemeClr w14:val="tx1"/>
                  </w14:solidFill>
                </w14:textFill>
              </w:rPr>
            </w:pPr>
            <w:r>
              <w:rPr>
                <w:rFonts w:hint="eastAsia" w:ascii="Times New Roman" w:hAnsi="Times New Roman" w:eastAsia="宋体"/>
                <w:bCs/>
                <w:color w:val="000000" w:themeColor="text1"/>
                <w:sz w:val="24"/>
                <w:lang w:val="en-US" w:eastAsia="zh-CN"/>
                <w14:textFill>
                  <w14:solidFill>
                    <w14:schemeClr w14:val="tx1"/>
                  </w14:solidFill>
                </w14:textFill>
              </w:rPr>
              <w:t>搅拌站</w:t>
            </w:r>
            <w:r>
              <w:rPr>
                <w:rFonts w:hint="eastAsia" w:ascii="Times New Roman" w:hAnsi="Times New Roman" w:eastAsia="宋体"/>
                <w:bCs/>
                <w:color w:val="000000" w:themeColor="text1"/>
                <w:sz w:val="24"/>
                <w14:textFill>
                  <w14:solidFill>
                    <w14:schemeClr w14:val="tx1"/>
                  </w14:solidFill>
                </w14:textFill>
              </w:rPr>
              <w:t>生产废水包括搅拌站清洗水、作业区地面清洗水，主要污染物为</w:t>
            </w:r>
            <w:r>
              <w:rPr>
                <w:rFonts w:ascii="Times New Roman" w:hAnsi="Times New Roman" w:eastAsia="宋体"/>
                <w:bCs/>
                <w:color w:val="000000" w:themeColor="text1"/>
                <w:sz w:val="24"/>
                <w14:textFill>
                  <w14:solidFill>
                    <w14:schemeClr w14:val="tx1"/>
                  </w14:solidFill>
                </w14:textFill>
              </w:rPr>
              <w:t>SS</w:t>
            </w:r>
            <w:r>
              <w:rPr>
                <w:rFonts w:hint="eastAsia" w:ascii="Times New Roman" w:hAnsi="Times New Roman" w:eastAsia="宋体"/>
                <w:bCs/>
                <w:color w:val="000000" w:themeColor="text1"/>
                <w:sz w:val="24"/>
                <w14:textFill>
                  <w14:solidFill>
                    <w14:schemeClr w14:val="tx1"/>
                  </w14:solidFill>
                </w14:textFill>
              </w:rPr>
              <w:t>。</w:t>
            </w:r>
          </w:p>
          <w:p>
            <w:pPr>
              <w:pageBreakBefore w:val="0"/>
              <w:tabs>
                <w:tab w:val="left" w:pos="1755"/>
              </w:tabs>
              <w:kinsoku/>
              <w:bidi w:val="0"/>
              <w:spacing w:beforeAutospacing="0" w:afterAutospacing="0"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①搅拌机冲洗水：搅拌机为本项目主要生产设备，搅拌机在每次搅拌混凝土放空后，都需要对罐体内部进行冲洗，同时每天要对搅拌机外部进行冲洗，清洗水量约为</w:t>
            </w:r>
            <w:r>
              <w:rPr>
                <w:rFonts w:ascii="Times New Roman" w:hAnsi="Times New Roman" w:eastAsia="宋体"/>
                <w:color w:val="000000" w:themeColor="text1"/>
                <w:sz w:val="24"/>
                <w14:textFill>
                  <w14:solidFill>
                    <w14:schemeClr w14:val="tx1"/>
                  </w14:solidFill>
                </w14:textFill>
              </w:rPr>
              <w:t>1m</w:t>
            </w:r>
            <w:r>
              <w:rPr>
                <w:rFonts w:ascii="Times New Roman" w:hAnsi="Times New Roman" w:eastAsia="宋体"/>
                <w:color w:val="000000" w:themeColor="text1"/>
                <w:sz w:val="24"/>
                <w:vertAlign w:val="superscript"/>
                <w14:textFill>
                  <w14:solidFill>
                    <w14:schemeClr w14:val="tx1"/>
                  </w14:solidFill>
                </w14:textFill>
              </w:rPr>
              <w:t>3</w:t>
            </w:r>
            <w:r>
              <w:rPr>
                <w:rFonts w:ascii="Times New Roman" w:hAnsi="Times New Roman" w:eastAsia="宋体"/>
                <w:color w:val="000000" w:themeColor="text1"/>
                <w:sz w:val="24"/>
                <w14:textFill>
                  <w14:solidFill>
                    <w14:schemeClr w14:val="tx1"/>
                  </w14:solidFill>
                </w14:textFill>
              </w:rPr>
              <w:t>/d·</w:t>
            </w:r>
            <w:r>
              <w:rPr>
                <w:rFonts w:hint="eastAsia" w:ascii="Times New Roman" w:hAnsi="Times New Roman" w:eastAsia="宋体"/>
                <w:color w:val="000000" w:themeColor="text1"/>
                <w:sz w:val="24"/>
                <w14:textFill>
                  <w14:solidFill>
                    <w14:schemeClr w14:val="tx1"/>
                  </w14:solidFill>
                </w14:textFill>
              </w:rPr>
              <w:t>台，产污系数按照</w:t>
            </w:r>
            <w:r>
              <w:rPr>
                <w:rFonts w:ascii="Times New Roman" w:hAnsi="Times New Roman" w:eastAsia="宋体"/>
                <w:color w:val="000000" w:themeColor="text1"/>
                <w:sz w:val="24"/>
                <w14:textFill>
                  <w14:solidFill>
                    <w14:schemeClr w14:val="tx1"/>
                  </w14:solidFill>
                </w14:textFill>
              </w:rPr>
              <w:t xml:space="preserve">0.8 </w:t>
            </w:r>
            <w:r>
              <w:rPr>
                <w:rFonts w:hint="eastAsia" w:ascii="Times New Roman" w:hAnsi="Times New Roman" w:eastAsia="宋体"/>
                <w:color w:val="000000" w:themeColor="text1"/>
                <w:sz w:val="24"/>
                <w14:textFill>
                  <w14:solidFill>
                    <w14:schemeClr w14:val="tx1"/>
                  </w14:solidFill>
                </w14:textFill>
              </w:rPr>
              <w:t>计，则冲洗废水产生量约为</w:t>
            </w:r>
            <w:r>
              <w:rPr>
                <w:rFonts w:hint="eastAsia" w:ascii="Times New Roman" w:hAnsi="Times New Roman" w:eastAsia="宋体"/>
                <w:color w:val="000000" w:themeColor="text1"/>
                <w:sz w:val="24"/>
                <w:lang w:val="en-US" w:eastAsia="zh-CN"/>
                <w14:textFill>
                  <w14:solidFill>
                    <w14:schemeClr w14:val="tx1"/>
                  </w14:solidFill>
                </w14:textFill>
              </w:rPr>
              <w:t>0.8</w:t>
            </w:r>
            <w:r>
              <w:rPr>
                <w:rFonts w:ascii="Times New Roman" w:hAnsi="Times New Roman" w:eastAsia="宋体"/>
                <w:color w:val="000000" w:themeColor="text1"/>
                <w:sz w:val="24"/>
                <w14:textFill>
                  <w14:solidFill>
                    <w14:schemeClr w14:val="tx1"/>
                  </w14:solidFill>
                </w14:textFill>
              </w:rPr>
              <w:t>m</w:t>
            </w:r>
            <w:r>
              <w:rPr>
                <w:rFonts w:ascii="Times New Roman" w:hAnsi="Times New Roman" w:eastAsia="宋体"/>
                <w:color w:val="000000" w:themeColor="text1"/>
                <w:sz w:val="24"/>
                <w:vertAlign w:val="superscript"/>
                <w14:textFill>
                  <w14:solidFill>
                    <w14:schemeClr w14:val="tx1"/>
                  </w14:solidFill>
                </w14:textFill>
              </w:rPr>
              <w:t>3</w:t>
            </w:r>
            <w:r>
              <w:rPr>
                <w:rFonts w:ascii="Times New Roman" w:hAnsi="Times New Roman" w:eastAsia="宋体"/>
                <w:color w:val="000000" w:themeColor="text1"/>
                <w:sz w:val="24"/>
                <w14:textFill>
                  <w14:solidFill>
                    <w14:schemeClr w14:val="tx1"/>
                  </w14:solidFill>
                </w14:textFill>
              </w:rPr>
              <w:t>/d</w:t>
            </w:r>
            <w:r>
              <w:rPr>
                <w:rFonts w:hint="eastAsia" w:ascii="Times New Roman" w:hAnsi="Times New Roman" w:eastAsia="宋体"/>
                <w:color w:val="000000" w:themeColor="text1"/>
                <w:sz w:val="24"/>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240</w:t>
            </w:r>
            <w:r>
              <w:rPr>
                <w:rFonts w:ascii="Times New Roman" w:hAnsi="Times New Roman" w:eastAsia="宋体"/>
                <w:color w:val="000000" w:themeColor="text1"/>
                <w:sz w:val="24"/>
                <w14:textFill>
                  <w14:solidFill>
                    <w14:schemeClr w14:val="tx1"/>
                  </w14:solidFill>
                </w14:textFill>
              </w:rPr>
              <w:t>t/a</w:t>
            </w:r>
            <w:r>
              <w:rPr>
                <w:rFonts w:hint="eastAsia" w:ascii="Times New Roman" w:hAnsi="Times New Roman" w:eastAsia="宋体"/>
                <w:color w:val="000000" w:themeColor="text1"/>
                <w:sz w:val="24"/>
                <w14:textFill>
                  <w14:solidFill>
                    <w14:schemeClr w14:val="tx1"/>
                  </w14:solidFill>
                </w14:textFill>
              </w:rPr>
              <w:t>）。</w:t>
            </w:r>
            <w:r>
              <w:rPr>
                <w:rFonts w:ascii="Times New Roman" w:hAnsi="Times New Roman" w:eastAsia="宋体"/>
                <w:color w:val="000000" w:themeColor="text1"/>
                <w:sz w:val="24"/>
                <w14:textFill>
                  <w14:solidFill>
                    <w14:schemeClr w14:val="tx1"/>
                  </w14:solidFill>
                </w14:textFill>
              </w:rPr>
              <w:t xml:space="preserve"> </w:t>
            </w:r>
          </w:p>
          <w:p>
            <w:pPr>
              <w:pageBreakBefore w:val="0"/>
              <w:tabs>
                <w:tab w:val="left" w:pos="1755"/>
              </w:tabs>
              <w:kinsoku/>
              <w:bidi w:val="0"/>
              <w:spacing w:beforeAutospacing="0" w:afterAutospacing="0"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lang w:val="en-US" w:eastAsia="zh-CN"/>
                <w14:textFill>
                  <w14:solidFill>
                    <w14:schemeClr w14:val="tx1"/>
                  </w14:solidFill>
                </w14:textFill>
              </w:rPr>
              <w:t>②</w:t>
            </w:r>
            <w:r>
              <w:rPr>
                <w:rFonts w:hint="eastAsia" w:ascii="Times New Roman" w:hAnsi="Times New Roman" w:eastAsia="宋体"/>
                <w:color w:val="000000" w:themeColor="text1"/>
                <w:sz w:val="24"/>
                <w14:textFill>
                  <w14:solidFill>
                    <w14:schemeClr w14:val="tx1"/>
                  </w14:solidFill>
                </w14:textFill>
              </w:rPr>
              <w:t>作业区地面冲洗水</w:t>
            </w:r>
          </w:p>
          <w:p>
            <w:pPr>
              <w:pageBreakBefore w:val="0"/>
              <w:tabs>
                <w:tab w:val="left" w:pos="1755"/>
              </w:tabs>
              <w:kinsoku/>
              <w:bidi w:val="0"/>
              <w:spacing w:beforeAutospacing="0" w:afterAutospacing="0" w:line="360" w:lineRule="auto"/>
              <w:ind w:firstLine="480" w:firstLineChars="200"/>
              <w:rPr>
                <w:rFonts w:hint="eastAsia"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冲洗水量按1.2L/ m</w:t>
            </w:r>
            <w:r>
              <w:rPr>
                <w:rFonts w:hint="eastAsia" w:ascii="Times New Roman" w:hAnsi="Times New Roman" w:eastAsia="宋体"/>
                <w:color w:val="000000" w:themeColor="text1"/>
                <w:sz w:val="24"/>
                <w:vertAlign w:val="superscript"/>
                <w14:textFill>
                  <w14:solidFill>
                    <w14:schemeClr w14:val="tx1"/>
                  </w14:solidFill>
                </w14:textFill>
              </w:rPr>
              <w:t>2</w:t>
            </w:r>
            <w:r>
              <w:rPr>
                <w:rFonts w:hint="eastAsia" w:ascii="Times New Roman" w:hAnsi="Times New Roman" w:eastAsia="宋体"/>
                <w:color w:val="000000" w:themeColor="text1"/>
                <w:sz w:val="24"/>
                <w14:textFill>
                  <w14:solidFill>
                    <w14:schemeClr w14:val="tx1"/>
                  </w14:solidFill>
                </w14:textFill>
              </w:rPr>
              <w:t>·d计。主要污染因子为SS，其浓度约为1000mg/L。</w:t>
            </w:r>
          </w:p>
          <w:p>
            <w:pPr>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（6）车辆冲洗废水</w:t>
            </w:r>
          </w:p>
          <w:p>
            <w:pPr>
              <w:pageBreakBefore w:val="0"/>
              <w:kinsoku/>
              <w:bidi w:val="0"/>
              <w:adjustRightInd w:val="0"/>
              <w:snapToGrid w:val="0"/>
              <w:spacing w:beforeAutospacing="0" w:afterAutospacing="0" w:line="360" w:lineRule="auto"/>
              <w:ind w:firstLine="480" w:firstLineChars="200"/>
              <w:rPr>
                <w:rFonts w:hint="default" w:ascii="Times New Roman" w:hAnsi="Times New Roman" w:eastAsia="宋体" w:cs="Times New Roman"/>
                <w:snapToGrid w:val="0"/>
                <w:color w:val="000000" w:themeColor="text1"/>
                <w:kern w:val="0"/>
                <w:sz w:val="24"/>
                <w:highlight w:val="none"/>
                <w:u w:val="none" w:color="auto"/>
                <w:shd w:val="clear" w:color="auto" w:fill="auto"/>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color="auto"/>
                <w:shd w:val="clear" w:color="auto" w:fill="auto"/>
                <w:lang w:val="en-US" w:eastAsia="zh-CN"/>
                <w14:textFill>
                  <w14:solidFill>
                    <w14:schemeClr w14:val="tx1"/>
                  </w14:solidFill>
                </w14:textFill>
              </w:rPr>
              <w:t>车辆进出加工区需对车辆进行冲洗，以降低扬尘的影响，类比同类型项目，车辆冲洗废水</w:t>
            </w:r>
            <w:r>
              <w:rPr>
                <w:rFonts w:hint="default" w:ascii="Times New Roman" w:hAnsi="Times New Roman" w:eastAsia="宋体" w:cs="Times New Roman"/>
                <w:color w:val="000000" w:themeColor="text1"/>
                <w:sz w:val="24"/>
                <w:szCs w:val="24"/>
                <w:highlight w:val="none"/>
                <w:u w:val="none" w:color="auto"/>
                <w:shd w:val="clear" w:color="auto" w:fill="auto"/>
                <w14:textFill>
                  <w14:solidFill>
                    <w14:schemeClr w14:val="tx1"/>
                  </w14:solidFill>
                </w14:textFill>
              </w:rPr>
              <w:t>产生量为5m</w:t>
            </w:r>
            <w:r>
              <w:rPr>
                <w:rFonts w:hint="default" w:ascii="Times New Roman" w:hAnsi="Times New Roman" w:eastAsia="宋体" w:cs="Times New Roman"/>
                <w:color w:val="000000" w:themeColor="text1"/>
                <w:sz w:val="24"/>
                <w:szCs w:val="24"/>
                <w:highlight w:val="none"/>
                <w:u w:val="none" w:color="auto"/>
                <w:shd w:val="clear" w:color="auto" w:fill="auto"/>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u w:val="none" w:color="auto"/>
                <w:shd w:val="clear" w:color="auto" w:fill="auto"/>
                <w14:textFill>
                  <w14:solidFill>
                    <w14:schemeClr w14:val="tx1"/>
                  </w14:solidFill>
                </w14:textFill>
              </w:rPr>
              <w:t>/d</w:t>
            </w:r>
            <w:r>
              <w:rPr>
                <w:rFonts w:hint="eastAsia" w:ascii="Times New Roman" w:hAnsi="Times New Roman" w:eastAsia="宋体" w:cs="Times New Roman"/>
                <w:color w:val="000000" w:themeColor="text1"/>
                <w:sz w:val="24"/>
                <w:szCs w:val="24"/>
                <w:highlight w:val="none"/>
                <w:u w:val="none" w:color="auto"/>
                <w:shd w:val="clear" w:color="auto" w:fill="auto"/>
                <w:lang w:eastAsia="zh-CN"/>
                <w14:textFill>
                  <w14:solidFill>
                    <w14:schemeClr w14:val="tx1"/>
                  </w14:solidFill>
                </w14:textFill>
              </w:rPr>
              <w:t>，每日补充蒸发损耗水量</w:t>
            </w:r>
            <w:r>
              <w:rPr>
                <w:rFonts w:hint="eastAsia" w:ascii="Times New Roman" w:hAnsi="Times New Roman" w:eastAsia="宋体" w:cs="Times New Roman"/>
                <w:color w:val="000000" w:themeColor="text1"/>
                <w:sz w:val="24"/>
                <w:szCs w:val="24"/>
                <w:highlight w:val="none"/>
                <w:u w:val="none" w:color="auto"/>
                <w:shd w:val="clear" w:color="auto" w:fill="auto"/>
                <w:lang w:val="en-US" w:eastAsia="zh-CN"/>
                <w14:textFill>
                  <w14:solidFill>
                    <w14:schemeClr w14:val="tx1"/>
                  </w14:solidFill>
                </w14:textFill>
              </w:rPr>
              <w:t>0.5</w:t>
            </w:r>
            <w:r>
              <w:rPr>
                <w:rFonts w:hint="default" w:ascii="Times New Roman" w:hAnsi="Times New Roman" w:eastAsia="宋体" w:cs="Times New Roman"/>
                <w:color w:val="000000" w:themeColor="text1"/>
                <w:sz w:val="24"/>
                <w:szCs w:val="24"/>
                <w:highlight w:val="none"/>
                <w:u w:val="none" w:color="auto"/>
                <w:shd w:val="clear" w:color="auto" w:fill="auto"/>
                <w14:textFill>
                  <w14:solidFill>
                    <w14:schemeClr w14:val="tx1"/>
                  </w14:solidFill>
                </w14:textFill>
              </w:rPr>
              <w:t>m</w:t>
            </w:r>
            <w:r>
              <w:rPr>
                <w:rFonts w:hint="default" w:ascii="Times New Roman" w:hAnsi="Times New Roman" w:eastAsia="宋体" w:cs="Times New Roman"/>
                <w:color w:val="000000" w:themeColor="text1"/>
                <w:sz w:val="24"/>
                <w:szCs w:val="24"/>
                <w:highlight w:val="none"/>
                <w:u w:val="none" w:color="auto"/>
                <w:shd w:val="clear" w:color="auto" w:fill="auto"/>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u w:val="none" w:color="auto"/>
                <w:shd w:val="clear" w:color="auto" w:fill="auto"/>
                <w14:textFill>
                  <w14:solidFill>
                    <w14:schemeClr w14:val="tx1"/>
                  </w14:solidFill>
                </w14:textFill>
              </w:rPr>
              <w:t>/d，</w:t>
            </w:r>
            <w:r>
              <w:rPr>
                <w:rFonts w:hint="default" w:ascii="Times New Roman" w:hAnsi="Times New Roman" w:eastAsia="宋体" w:cs="Times New Roman"/>
                <w:snapToGrid w:val="0"/>
                <w:color w:val="000000" w:themeColor="text1"/>
                <w:kern w:val="0"/>
                <w:sz w:val="24"/>
                <w:highlight w:val="none"/>
                <w:u w:val="none" w:color="auto"/>
                <w:shd w:val="clear" w:color="auto" w:fill="auto"/>
                <w14:textFill>
                  <w14:solidFill>
                    <w14:schemeClr w14:val="tx1"/>
                  </w14:solidFill>
                </w14:textFill>
              </w:rPr>
              <w:t>主要污染物</w:t>
            </w:r>
            <w:r>
              <w:rPr>
                <w:rFonts w:hint="default" w:ascii="Times New Roman" w:hAnsi="Times New Roman" w:eastAsia="宋体" w:cs="Times New Roman"/>
                <w:color w:val="000000" w:themeColor="text1"/>
                <w:kern w:val="0"/>
                <w:sz w:val="24"/>
                <w:szCs w:val="22"/>
                <w:highlight w:val="none"/>
                <w:u w:val="none" w:color="auto"/>
                <w:shd w:val="clear" w:color="auto" w:fill="auto"/>
                <w14:textFill>
                  <w14:solidFill>
                    <w14:schemeClr w14:val="tx1"/>
                  </w14:solidFill>
                </w14:textFill>
              </w:rPr>
              <w:t>产生浓度</w:t>
            </w:r>
            <w:r>
              <w:rPr>
                <w:rFonts w:hint="default" w:ascii="Times New Roman" w:hAnsi="Times New Roman" w:eastAsia="宋体" w:cs="Times New Roman"/>
                <w:snapToGrid w:val="0"/>
                <w:color w:val="000000" w:themeColor="text1"/>
                <w:kern w:val="0"/>
                <w:sz w:val="24"/>
                <w:highlight w:val="none"/>
                <w:u w:val="none" w:color="auto"/>
                <w:shd w:val="clear" w:color="auto" w:fill="auto"/>
                <w14:textFill>
                  <w14:solidFill>
                    <w14:schemeClr w14:val="tx1"/>
                  </w14:solidFill>
                </w14:textFill>
              </w:rPr>
              <w:t>为S</w:t>
            </w:r>
            <w:r>
              <w:rPr>
                <w:rFonts w:hint="eastAsia" w:ascii="Times New Roman" w:hAnsi="Times New Roman" w:eastAsia="宋体" w:cs="Times New Roman"/>
                <w:snapToGrid w:val="0"/>
                <w:color w:val="000000" w:themeColor="text1"/>
                <w:kern w:val="0"/>
                <w:sz w:val="24"/>
                <w:highlight w:val="none"/>
                <w:u w:val="none" w:color="auto"/>
                <w:shd w:val="clear" w:color="auto" w:fill="auto"/>
                <w:lang w:val="en-US" w:eastAsia="zh-CN"/>
                <w14:textFill>
                  <w14:solidFill>
                    <w14:schemeClr w14:val="tx1"/>
                  </w14:solidFill>
                </w14:textFill>
              </w:rPr>
              <w:t>S和</w:t>
            </w:r>
            <w:r>
              <w:rPr>
                <w:rFonts w:hint="default" w:ascii="Times New Roman" w:hAnsi="Times New Roman" w:eastAsia="宋体" w:cs="Times New Roman"/>
                <w:snapToGrid w:val="0"/>
                <w:color w:val="000000" w:themeColor="text1"/>
                <w:kern w:val="0"/>
                <w:sz w:val="24"/>
                <w:highlight w:val="none"/>
                <w:u w:val="none" w:color="auto"/>
                <w:shd w:val="clear" w:color="auto" w:fill="auto"/>
                <w14:textFill>
                  <w14:solidFill>
                    <w14:schemeClr w14:val="tx1"/>
                  </w14:solidFill>
                </w14:textFill>
              </w:rPr>
              <w:t>石油类，经</w:t>
            </w:r>
            <w:r>
              <w:rPr>
                <w:rFonts w:hint="default" w:ascii="Times New Roman" w:hAnsi="Times New Roman" w:eastAsia="宋体" w:cs="Times New Roman"/>
                <w:snapToGrid w:val="0"/>
                <w:color w:val="000000" w:themeColor="text1"/>
                <w:kern w:val="0"/>
                <w:sz w:val="24"/>
                <w:highlight w:val="none"/>
                <w:u w:val="none" w:color="auto"/>
                <w:shd w:val="clear" w:color="auto" w:fill="auto"/>
                <w:lang w:eastAsia="zh-CN"/>
                <w14:textFill>
                  <w14:solidFill>
                    <w14:schemeClr w14:val="tx1"/>
                  </w14:solidFill>
                </w14:textFill>
              </w:rPr>
              <w:t>隔油</w:t>
            </w:r>
            <w:r>
              <w:rPr>
                <w:rFonts w:hint="default" w:ascii="Times New Roman" w:hAnsi="Times New Roman" w:eastAsia="宋体" w:cs="Times New Roman"/>
                <w:snapToGrid w:val="0"/>
                <w:color w:val="000000" w:themeColor="text1"/>
                <w:kern w:val="0"/>
                <w:sz w:val="24"/>
                <w:highlight w:val="none"/>
                <w:u w:val="none" w:color="auto"/>
                <w:shd w:val="clear" w:color="auto" w:fill="auto"/>
                <w14:textFill>
                  <w14:solidFill>
                    <w14:schemeClr w14:val="tx1"/>
                  </w14:solidFill>
                </w14:textFill>
              </w:rPr>
              <w:t>沉淀池处理后循环使用，不外排。</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初期雨水计算及分析见章节4.7，综上，</w:t>
            </w:r>
            <w:r>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项目施工期所产生的</w:t>
            </w:r>
            <w:r>
              <w:rPr>
                <w:rFonts w:hint="eastAsia"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废水</w:t>
            </w:r>
            <w:r>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污染物采取措施后对周边环境的影响较小</w:t>
            </w:r>
            <w:r>
              <w:rPr>
                <w:rFonts w:hint="eastAsia"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，水平衡图见图4.2-1</w:t>
            </w:r>
            <w:r>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w:t>
            </w:r>
          </w:p>
          <w:p>
            <w:pPr>
              <w:pStyle w:val="11"/>
              <w:pageBreakBefore w:val="0"/>
              <w:kinsoku/>
              <w:bidi w:val="0"/>
              <w:spacing w:beforeAutospacing="0" w:afterAutospacing="0"/>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drawing>
                <wp:inline distT="0" distB="0" distL="114300" distR="114300">
                  <wp:extent cx="5364480" cy="5364480"/>
                  <wp:effectExtent l="0" t="0" r="7620" b="7620"/>
                  <wp:docPr id="46" name="图片 46" descr="万成物流码头施工水平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万成物流码头施工水平衡图"/>
                          <pic:cNvPicPr>
                            <a:picLocks noChangeAspect="1"/>
                          </pic:cNvPicPr>
                        </pic:nvPicPr>
                        <pic:blipFill>
                          <a:blip r:embed="rId22"/>
                          <a:stretch>
                            <a:fillRect/>
                          </a:stretch>
                        </pic:blipFill>
                        <pic:spPr>
                          <a:xfrm>
                            <a:off x="0" y="0"/>
                            <a:ext cx="5364480" cy="5364480"/>
                          </a:xfrm>
                          <a:prstGeom prst="rect">
                            <a:avLst/>
                          </a:prstGeom>
                        </pic:spPr>
                      </pic:pic>
                    </a:graphicData>
                  </a:graphic>
                </wp:inline>
              </w:drawing>
            </w:r>
          </w:p>
          <w:p>
            <w:pPr>
              <w:pageBreakBefore w:val="0"/>
              <w:kinsoku/>
              <w:bidi w:val="0"/>
              <w:adjustRightInd w:val="0"/>
              <w:snapToGrid w:val="0"/>
              <w:spacing w:beforeAutospacing="0" w:afterAutospacing="0"/>
              <w:jc w:val="center"/>
              <w:rPr>
                <w:rFonts w:hint="default" w:ascii="Times New Roman" w:hAnsi="Times New Roman" w:eastAsia="宋体" w:cs="Times New Roman"/>
                <w:b/>
                <w:bCs/>
                <w:iCs/>
                <w:color w:val="000000" w:themeColor="text1"/>
                <w:sz w:val="24"/>
                <w:szCs w:val="24"/>
                <w:highlight w:val="none"/>
                <w:lang w:val="en-US" w:eastAsia="zh-CN"/>
                <w14:textFill>
                  <w14:solidFill>
                    <w14:schemeClr w14:val="tx1"/>
                  </w14:solidFill>
                </w14:textFill>
              </w:rPr>
            </w:pPr>
            <w:bookmarkStart w:id="58" w:name="_Toc945"/>
            <w:bookmarkStart w:id="59" w:name="_Toc4593"/>
            <w:bookmarkStart w:id="60" w:name="_Toc22167"/>
            <w:r>
              <w:rPr>
                <w:rFonts w:hint="eastAsia" w:ascii="Times New Roman" w:hAnsi="Times New Roman" w:eastAsia="宋体" w:cs="Times New Roman"/>
                <w:b/>
                <w:bCs/>
                <w:iCs/>
                <w:color w:val="000000" w:themeColor="text1"/>
                <w:sz w:val="24"/>
                <w:szCs w:val="24"/>
                <w:highlight w:val="none"/>
                <w:lang w:val="en-US" w:eastAsia="zh-CN"/>
                <w14:textFill>
                  <w14:solidFill>
                    <w14:schemeClr w14:val="tx1"/>
                  </w14:solidFill>
                </w14:textFill>
              </w:rPr>
              <w:t>图4.2-1</w:t>
            </w:r>
            <w:r>
              <w:rPr>
                <w:rFonts w:hint="default" w:ascii="Times New Roman" w:hAnsi="Times New Roman" w:eastAsia="宋体" w:cs="Times New Roman"/>
                <w:b/>
                <w:bCs/>
                <w:iCs/>
                <w:color w:val="000000" w:themeColor="text1"/>
                <w:sz w:val="24"/>
                <w:szCs w:val="24"/>
                <w:highlight w:val="none"/>
                <w:lang w:val="zh-CN" w:eastAsia="zh-CN"/>
                <w14:textFill>
                  <w14:solidFill>
                    <w14:schemeClr w14:val="tx1"/>
                  </w14:solidFill>
                </w14:textFill>
              </w:rPr>
              <w:t xml:space="preserve"> </w:t>
            </w:r>
            <w:r>
              <w:rPr>
                <w:rFonts w:hint="default" w:ascii="Times New Roman" w:hAnsi="Times New Roman" w:eastAsia="宋体" w:cs="Times New Roman"/>
                <w:b/>
                <w:bCs/>
                <w:iCs/>
                <w:color w:val="000000" w:themeColor="text1"/>
                <w:sz w:val="24"/>
                <w:szCs w:val="24"/>
                <w:highlight w:val="none"/>
                <w:lang w:val="en-US" w:eastAsia="zh-CN"/>
                <w14:textFill>
                  <w14:solidFill>
                    <w14:schemeClr w14:val="tx1"/>
                  </w14:solidFill>
                </w14:textFill>
              </w:rPr>
              <w:t xml:space="preserve"> </w:t>
            </w:r>
            <w:r>
              <w:rPr>
                <w:rFonts w:hint="eastAsia" w:ascii="Times New Roman" w:hAnsi="Times New Roman" w:eastAsia="宋体" w:cs="Times New Roman"/>
                <w:b/>
                <w:bCs/>
                <w:iCs/>
                <w:color w:val="000000" w:themeColor="text1"/>
                <w:sz w:val="24"/>
                <w:szCs w:val="24"/>
                <w:highlight w:val="none"/>
                <w:lang w:val="en-US" w:eastAsia="zh-CN"/>
                <w14:textFill>
                  <w14:solidFill>
                    <w14:schemeClr w14:val="tx1"/>
                  </w14:solidFill>
                </w14:textFill>
              </w:rPr>
              <w:t>施工期水平衡图</w:t>
            </w:r>
          </w:p>
          <w:p>
            <w:pPr>
              <w:pStyle w:val="11"/>
              <w:pageBreakBefore w:val="0"/>
              <w:kinsoku/>
              <w:bidi w:val="0"/>
              <w:spacing w:beforeAutospacing="0" w:afterAutospacing="0"/>
              <w:rPr>
                <w:rFonts w:hint="default" w:ascii="Times New Roman" w:hAnsi="Times New Roman" w:eastAsia="宋体" w:cs="Times New Roman"/>
                <w:color w:val="000000" w:themeColor="text1"/>
                <w:sz w:val="32"/>
                <w:szCs w:val="32"/>
                <w:lang w:val="en-US" w:eastAsia="zh-CN"/>
                <w14:textFill>
                  <w14:solidFill>
                    <w14:schemeClr w14:val="tx1"/>
                  </w14:solidFill>
                </w14:textFill>
              </w:rPr>
            </w:pPr>
            <w:r>
              <w:rPr>
                <w:rFonts w:hint="eastAsia" w:ascii="Times New Roman" w:hAnsi="Times New Roman" w:eastAsia="宋体" w:cs="Times New Roman"/>
                <w:color w:val="000000" w:themeColor="text1"/>
                <w:sz w:val="32"/>
                <w:szCs w:val="32"/>
                <w:lang w:val="en-US" w:eastAsia="zh-CN"/>
                <w14:textFill>
                  <w14:solidFill>
                    <w14:schemeClr w14:val="tx1"/>
                  </w14:solidFill>
                </w14:textFill>
              </w:rPr>
              <w:t>4</w:t>
            </w:r>
            <w:r>
              <w:rPr>
                <w:rFonts w:hint="default" w:ascii="Times New Roman" w:hAnsi="Times New Roman" w:eastAsia="宋体" w:cs="Times New Roman"/>
                <w:color w:val="000000" w:themeColor="text1"/>
                <w:sz w:val="32"/>
                <w:szCs w:val="32"/>
                <w:lang w:val="en-US" w:eastAsia="zh-CN"/>
                <w14:textFill>
                  <w14:solidFill>
                    <w14:schemeClr w14:val="tx1"/>
                  </w14:solidFill>
                </w14:textFill>
              </w:rPr>
              <w:t>.3施工期噪声环境影响分析</w:t>
            </w:r>
            <w:bookmarkEnd w:id="58"/>
            <w:bookmarkEnd w:id="59"/>
            <w:bookmarkEnd w:id="60"/>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施工期的主要噪声源是施工机械、运输车辆产生的噪声，施</w:t>
            </w:r>
            <w:r>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工设备</w:t>
            </w:r>
            <w:r>
              <w:rPr>
                <w:rFonts w:hint="eastAsia"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噪声</w:t>
            </w:r>
            <w:r>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可视为点声源，经过距离衰减后施工机械噪声详见表</w:t>
            </w:r>
            <w:r>
              <w:rPr>
                <w:rFonts w:hint="eastAsia"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4.3-</w:t>
            </w:r>
            <w:r>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1。</w:t>
            </w:r>
          </w:p>
          <w:p>
            <w:pPr>
              <w:pageBreakBefore w:val="0"/>
              <w:kinsoku/>
              <w:bidi w:val="0"/>
              <w:spacing w:beforeAutospacing="0" w:afterAutospacing="0"/>
              <w:ind w:firstLine="482"/>
              <w:jc w:val="center"/>
              <w:rPr>
                <w:rFonts w:hint="default" w:ascii="Times New Roman" w:hAnsi="Times New Roman" w:eastAsia="宋体" w:cs="Times New Roman"/>
                <w:b/>
                <w:bCs/>
                <w:color w:val="000000" w:themeColor="text1"/>
                <w:kern w:val="0"/>
                <w:sz w:val="24"/>
                <w:szCs w:val="24"/>
                <w:highlight w:val="none"/>
                <w:u w:val="none" w:color="auto"/>
                <w:shd w:val="clear" w:color="auto" w:fill="auto"/>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u w:val="none" w:color="auto"/>
                <w:shd w:val="clear" w:color="auto" w:fill="auto"/>
                <w:lang w:val="en-US" w:eastAsia="zh-CN" w:bidi="ar-SA"/>
                <w14:textFill>
                  <w14:solidFill>
                    <w14:schemeClr w14:val="tx1"/>
                  </w14:solidFill>
                </w14:textFill>
              </w:rPr>
              <w:t>表</w:t>
            </w:r>
            <w:r>
              <w:rPr>
                <w:rFonts w:hint="eastAsia" w:ascii="Times New Roman" w:hAnsi="Times New Roman" w:eastAsia="宋体" w:cs="Times New Roman"/>
                <w:b/>
                <w:bCs/>
                <w:color w:val="000000" w:themeColor="text1"/>
                <w:kern w:val="0"/>
                <w:sz w:val="24"/>
                <w:szCs w:val="24"/>
                <w:highlight w:val="none"/>
                <w:u w:val="none" w:color="auto"/>
                <w:shd w:val="clear" w:color="auto" w:fill="auto"/>
                <w:lang w:val="en-US" w:eastAsia="zh-CN" w:bidi="ar-SA"/>
                <w14:textFill>
                  <w14:solidFill>
                    <w14:schemeClr w14:val="tx1"/>
                  </w14:solidFill>
                </w14:textFill>
              </w:rPr>
              <w:t>4.3-</w:t>
            </w:r>
            <w:r>
              <w:rPr>
                <w:rFonts w:hint="default" w:ascii="Times New Roman" w:hAnsi="Times New Roman" w:eastAsia="宋体" w:cs="Times New Roman"/>
                <w:b/>
                <w:bCs/>
                <w:color w:val="000000" w:themeColor="text1"/>
                <w:kern w:val="0"/>
                <w:sz w:val="24"/>
                <w:szCs w:val="24"/>
                <w:highlight w:val="none"/>
                <w:u w:val="none" w:color="auto"/>
                <w:shd w:val="clear" w:color="auto" w:fill="auto"/>
                <w:lang w:val="en-US" w:eastAsia="zh-CN" w:bidi="ar-SA"/>
                <w14:textFill>
                  <w14:solidFill>
                    <w14:schemeClr w14:val="tx1"/>
                  </w14:solidFill>
                </w14:textFill>
              </w:rPr>
              <w:t>1  距离衰减后施工机械噪声表  单位</w:t>
            </w:r>
            <w:r>
              <w:rPr>
                <w:rFonts w:hint="eastAsia" w:ascii="Times New Roman" w:hAnsi="Times New Roman" w:eastAsia="宋体" w:cs="Times New Roman"/>
                <w:b/>
                <w:bCs/>
                <w:color w:val="000000" w:themeColor="text1"/>
                <w:kern w:val="0"/>
                <w:sz w:val="24"/>
                <w:szCs w:val="24"/>
                <w:highlight w:val="none"/>
                <w:u w:val="none" w:color="auto"/>
                <w:shd w:val="clear" w:color="auto" w:fill="auto"/>
                <w:lang w:val="en-US" w:eastAsia="zh-CN" w:bidi="ar-SA"/>
                <w14:textFill>
                  <w14:solidFill>
                    <w14:schemeClr w14:val="tx1"/>
                  </w14:solidFill>
                </w14:textFill>
              </w:rPr>
              <w:t>：</w:t>
            </w:r>
            <w:r>
              <w:rPr>
                <w:rFonts w:hint="default" w:ascii="Times New Roman" w:hAnsi="Times New Roman" w:eastAsia="宋体" w:cs="Times New Roman"/>
                <w:b/>
                <w:bCs/>
                <w:color w:val="000000" w:themeColor="text1"/>
                <w:kern w:val="0"/>
                <w:sz w:val="24"/>
                <w:szCs w:val="24"/>
                <w:highlight w:val="none"/>
                <w:u w:val="none" w:color="auto"/>
                <w:shd w:val="clear" w:color="auto" w:fill="auto"/>
                <w:lang w:val="en-US" w:eastAsia="zh-CN" w:bidi="ar-SA"/>
                <w14:textFill>
                  <w14:solidFill>
                    <w14:schemeClr w14:val="tx1"/>
                  </w14:solidFill>
                </w14:textFill>
              </w:rPr>
              <w:t>dB(A)</w:t>
            </w:r>
          </w:p>
          <w:tbl>
            <w:tblPr>
              <w:tblStyle w:val="34"/>
              <w:tblW w:w="844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5"/>
              <w:gridCol w:w="1071"/>
              <w:gridCol w:w="1201"/>
              <w:gridCol w:w="1201"/>
              <w:gridCol w:w="1201"/>
              <w:gridCol w:w="1221"/>
              <w:gridCol w:w="12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132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机械名称</w:t>
                  </w:r>
                </w:p>
              </w:tc>
              <w:tc>
                <w:tcPr>
                  <w:tcW w:w="107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5m</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15</w:t>
                  </w:r>
                  <w:r>
                    <w:rPr>
                      <w:rFonts w:hint="eastAsia"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20m</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30</w:t>
                  </w:r>
                  <w:r>
                    <w:rPr>
                      <w:rFonts w:hint="eastAsia"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40m</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60</w:t>
                  </w:r>
                  <w:r>
                    <w:rPr>
                      <w:rFonts w:hint="eastAsia"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80m</w:t>
                  </w:r>
                </w:p>
              </w:tc>
              <w:tc>
                <w:tcPr>
                  <w:tcW w:w="122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120</w:t>
                  </w:r>
                  <w:r>
                    <w:rPr>
                      <w:rFonts w:hint="eastAsia"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160m</w:t>
                  </w:r>
                </w:p>
              </w:tc>
              <w:tc>
                <w:tcPr>
                  <w:tcW w:w="122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180</w:t>
                  </w:r>
                  <w:r>
                    <w:rPr>
                      <w:rFonts w:hint="eastAsia"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200m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5"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履带吊</w:t>
                  </w:r>
                </w:p>
              </w:tc>
              <w:tc>
                <w:tcPr>
                  <w:tcW w:w="107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79</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72</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70</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66</w:t>
                  </w:r>
                </w:p>
              </w:tc>
              <w:tc>
                <w:tcPr>
                  <w:tcW w:w="122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60</w:t>
                  </w:r>
                </w:p>
              </w:tc>
              <w:tc>
                <w:tcPr>
                  <w:tcW w:w="122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5"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冲击钻机</w:t>
                  </w:r>
                </w:p>
              </w:tc>
              <w:tc>
                <w:tcPr>
                  <w:tcW w:w="107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88</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78</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72</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68</w:t>
                  </w:r>
                </w:p>
              </w:tc>
              <w:tc>
                <w:tcPr>
                  <w:tcW w:w="122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62</w:t>
                  </w:r>
                </w:p>
              </w:tc>
              <w:tc>
                <w:tcPr>
                  <w:tcW w:w="122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5"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振动锤</w:t>
                  </w:r>
                </w:p>
              </w:tc>
              <w:tc>
                <w:tcPr>
                  <w:tcW w:w="107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80</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74</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72</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65</w:t>
                  </w:r>
                </w:p>
              </w:tc>
              <w:tc>
                <w:tcPr>
                  <w:tcW w:w="122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60</w:t>
                  </w:r>
                </w:p>
              </w:tc>
              <w:tc>
                <w:tcPr>
                  <w:tcW w:w="122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5"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混凝土泵</w:t>
                  </w:r>
                </w:p>
              </w:tc>
              <w:tc>
                <w:tcPr>
                  <w:tcW w:w="107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78</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70</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67</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62</w:t>
                  </w:r>
                </w:p>
              </w:tc>
              <w:tc>
                <w:tcPr>
                  <w:tcW w:w="122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57</w:t>
                  </w:r>
                </w:p>
              </w:tc>
              <w:tc>
                <w:tcPr>
                  <w:tcW w:w="122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5"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交流电焊机</w:t>
                  </w:r>
                </w:p>
              </w:tc>
              <w:tc>
                <w:tcPr>
                  <w:tcW w:w="107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78</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71</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66</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63</w:t>
                  </w:r>
                </w:p>
              </w:tc>
              <w:tc>
                <w:tcPr>
                  <w:tcW w:w="122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56</w:t>
                  </w:r>
                </w:p>
              </w:tc>
              <w:tc>
                <w:tcPr>
                  <w:tcW w:w="122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jc w:val="center"/>
                    <w:textAlignment w:val="auto"/>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5"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汽车吊</w:t>
                  </w:r>
                </w:p>
              </w:tc>
              <w:tc>
                <w:tcPr>
                  <w:tcW w:w="107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79</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72</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70</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66</w:t>
                  </w:r>
                </w:p>
              </w:tc>
              <w:tc>
                <w:tcPr>
                  <w:tcW w:w="122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60</w:t>
                  </w:r>
                </w:p>
              </w:tc>
              <w:tc>
                <w:tcPr>
                  <w:tcW w:w="122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5"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装载机</w:t>
                  </w:r>
                </w:p>
              </w:tc>
              <w:tc>
                <w:tcPr>
                  <w:tcW w:w="107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80</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74</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72</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65</w:t>
                  </w:r>
                </w:p>
              </w:tc>
              <w:tc>
                <w:tcPr>
                  <w:tcW w:w="122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60</w:t>
                  </w:r>
                </w:p>
              </w:tc>
              <w:tc>
                <w:tcPr>
                  <w:tcW w:w="122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5"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发电机组</w:t>
                  </w:r>
                </w:p>
              </w:tc>
              <w:tc>
                <w:tcPr>
                  <w:tcW w:w="107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88</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78</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7</w:t>
                  </w:r>
                  <w:r>
                    <w:rPr>
                      <w:rFonts w:hint="eastAsia"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3</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68</w:t>
                  </w:r>
                </w:p>
              </w:tc>
              <w:tc>
                <w:tcPr>
                  <w:tcW w:w="122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62</w:t>
                  </w:r>
                </w:p>
              </w:tc>
              <w:tc>
                <w:tcPr>
                  <w:tcW w:w="122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5"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给料机</w:t>
                  </w:r>
                </w:p>
              </w:tc>
              <w:tc>
                <w:tcPr>
                  <w:tcW w:w="107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78</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70</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67</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62</w:t>
                  </w:r>
                </w:p>
              </w:tc>
              <w:tc>
                <w:tcPr>
                  <w:tcW w:w="122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57</w:t>
                  </w:r>
                </w:p>
              </w:tc>
              <w:tc>
                <w:tcPr>
                  <w:tcW w:w="122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5"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圆锥机</w:t>
                  </w:r>
                </w:p>
              </w:tc>
              <w:tc>
                <w:tcPr>
                  <w:tcW w:w="107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88</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78</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72</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68</w:t>
                  </w:r>
                </w:p>
              </w:tc>
              <w:tc>
                <w:tcPr>
                  <w:tcW w:w="122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62</w:t>
                  </w:r>
                </w:p>
              </w:tc>
              <w:tc>
                <w:tcPr>
                  <w:tcW w:w="122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5"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鄂破机</w:t>
                  </w:r>
                </w:p>
              </w:tc>
              <w:tc>
                <w:tcPr>
                  <w:tcW w:w="107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88</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78</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72</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68</w:t>
                  </w:r>
                </w:p>
              </w:tc>
              <w:tc>
                <w:tcPr>
                  <w:tcW w:w="122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62</w:t>
                  </w:r>
                </w:p>
              </w:tc>
              <w:tc>
                <w:tcPr>
                  <w:tcW w:w="122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5"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振动筛</w:t>
                  </w:r>
                </w:p>
              </w:tc>
              <w:tc>
                <w:tcPr>
                  <w:tcW w:w="107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79</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72</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70</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66</w:t>
                  </w:r>
                </w:p>
              </w:tc>
              <w:tc>
                <w:tcPr>
                  <w:tcW w:w="122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60</w:t>
                  </w:r>
                </w:p>
              </w:tc>
              <w:tc>
                <w:tcPr>
                  <w:tcW w:w="122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5"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冲击破碎机</w:t>
                  </w:r>
                </w:p>
              </w:tc>
              <w:tc>
                <w:tcPr>
                  <w:tcW w:w="107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88</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78</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72</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68</w:t>
                  </w:r>
                </w:p>
              </w:tc>
              <w:tc>
                <w:tcPr>
                  <w:tcW w:w="122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62</w:t>
                  </w:r>
                </w:p>
              </w:tc>
              <w:tc>
                <w:tcPr>
                  <w:tcW w:w="122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5"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配料仓</w:t>
                  </w:r>
                </w:p>
              </w:tc>
              <w:tc>
                <w:tcPr>
                  <w:tcW w:w="107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78</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70</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67</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62</w:t>
                  </w:r>
                </w:p>
              </w:tc>
              <w:tc>
                <w:tcPr>
                  <w:tcW w:w="122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57</w:t>
                  </w:r>
                </w:p>
              </w:tc>
              <w:tc>
                <w:tcPr>
                  <w:tcW w:w="122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5"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输送机</w:t>
                  </w:r>
                </w:p>
              </w:tc>
              <w:tc>
                <w:tcPr>
                  <w:tcW w:w="107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78</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71</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66</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63</w:t>
                  </w:r>
                </w:p>
              </w:tc>
              <w:tc>
                <w:tcPr>
                  <w:tcW w:w="122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56</w:t>
                  </w:r>
                </w:p>
              </w:tc>
              <w:tc>
                <w:tcPr>
                  <w:tcW w:w="122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5" w:type="dxa"/>
                  <w:tcBorders>
                    <w:tl2br w:val="nil"/>
                    <w:tr2bl w:val="nil"/>
                  </w:tcBorders>
                  <w:vAlign w:val="top"/>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t>搅拌机</w:t>
                  </w:r>
                </w:p>
              </w:tc>
              <w:tc>
                <w:tcPr>
                  <w:tcW w:w="107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80</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74</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72</w:t>
                  </w:r>
                </w:p>
              </w:tc>
              <w:tc>
                <w:tcPr>
                  <w:tcW w:w="120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65</w:t>
                  </w:r>
                </w:p>
              </w:tc>
              <w:tc>
                <w:tcPr>
                  <w:tcW w:w="122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60</w:t>
                  </w:r>
                </w:p>
              </w:tc>
              <w:tc>
                <w:tcPr>
                  <w:tcW w:w="1221"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leftChars="0" w:right="0" w:right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u w:val="none" w:color="auto"/>
                      <w:shd w:val="clear" w:color="auto" w:fill="auto"/>
                      <w:vertAlign w:val="baseline"/>
                      <w:lang w:val="en-US" w:eastAsia="zh-CN"/>
                      <w14:textFill>
                        <w14:solidFill>
                          <w14:schemeClr w14:val="tx1"/>
                        </w14:solidFill>
                      </w14:textFill>
                    </w:rPr>
                    <w:t>55</w:t>
                  </w:r>
                </w:p>
              </w:tc>
            </w:tr>
          </w:tbl>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从上表可知，施工期对</w:t>
            </w:r>
            <w:r>
              <w:rPr>
                <w:rFonts w:hint="eastAsia"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厂界</w:t>
            </w:r>
            <w:r>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距离超过200m的敏感目标基本不造成影响，且项目周边200m范围内无声环境敏感目标，施工噪声基本无影响。</w:t>
            </w:r>
          </w:p>
          <w:p>
            <w:pPr>
              <w:pStyle w:val="11"/>
              <w:pageBreakBefore w:val="0"/>
              <w:kinsoku/>
              <w:bidi w:val="0"/>
              <w:spacing w:beforeAutospacing="0" w:afterAutospacing="0"/>
              <w:rPr>
                <w:rFonts w:hint="default" w:ascii="Times New Roman" w:hAnsi="Times New Roman" w:eastAsia="宋体" w:cs="Times New Roman"/>
                <w:color w:val="000000" w:themeColor="text1"/>
                <w:sz w:val="32"/>
                <w:szCs w:val="32"/>
                <w:lang w:val="en-US" w:eastAsia="zh-CN"/>
                <w14:textFill>
                  <w14:solidFill>
                    <w14:schemeClr w14:val="tx1"/>
                  </w14:solidFill>
                </w14:textFill>
              </w:rPr>
            </w:pPr>
            <w:bookmarkStart w:id="61" w:name="_Toc784"/>
            <w:bookmarkStart w:id="62" w:name="_Toc26860"/>
            <w:bookmarkStart w:id="63" w:name="_Toc17953"/>
            <w:r>
              <w:rPr>
                <w:rFonts w:hint="eastAsia" w:ascii="Times New Roman" w:hAnsi="Times New Roman" w:eastAsia="宋体" w:cs="Times New Roman"/>
                <w:color w:val="000000" w:themeColor="text1"/>
                <w:sz w:val="32"/>
                <w:szCs w:val="32"/>
                <w:lang w:val="en-US" w:eastAsia="zh-CN"/>
                <w14:textFill>
                  <w14:solidFill>
                    <w14:schemeClr w14:val="tx1"/>
                  </w14:solidFill>
                </w14:textFill>
              </w:rPr>
              <w:t>4</w:t>
            </w:r>
            <w:r>
              <w:rPr>
                <w:rFonts w:hint="default" w:ascii="Times New Roman" w:hAnsi="Times New Roman" w:eastAsia="宋体" w:cs="Times New Roman"/>
                <w:color w:val="000000" w:themeColor="text1"/>
                <w:sz w:val="32"/>
                <w:szCs w:val="32"/>
                <w:lang w:val="en-US" w:eastAsia="zh-CN"/>
                <w14:textFill>
                  <w14:solidFill>
                    <w14:schemeClr w14:val="tx1"/>
                  </w14:solidFill>
                </w14:textFill>
              </w:rPr>
              <w:t>.4施工期固体废物环境影响分析</w:t>
            </w:r>
            <w:bookmarkEnd w:id="61"/>
            <w:bookmarkEnd w:id="62"/>
            <w:bookmarkEnd w:id="63"/>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outlineLvl w:val="9"/>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pPr>
            <w:bookmarkStart w:id="64" w:name="_Toc9014"/>
            <w:r>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（1）弃土石方</w:t>
            </w:r>
            <w:bookmarkEnd w:id="64"/>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项目施工期土石方工程量主要来自开挖，施工期开挖土方</w:t>
            </w:r>
            <w:r>
              <w:rPr>
                <w:rFonts w:hint="eastAsia"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大部分用于填方作业，剩余部分通过</w:t>
            </w:r>
            <w:r>
              <w:rPr>
                <w:rFonts w:hint="eastAsia"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配套加工区加工后用于</w:t>
            </w:r>
            <w:r>
              <w:rPr>
                <w:rFonts w:hint="eastAsia"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本项目施工使用</w:t>
            </w:r>
            <w:r>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就地消纳。</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outlineLvl w:val="9"/>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pPr>
            <w:bookmarkStart w:id="65" w:name="_Toc8055"/>
            <w:r>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（2）生活垃圾</w:t>
            </w:r>
            <w:bookmarkEnd w:id="65"/>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施工期间，施工现场的施工和管理人员人数约15人，生活垃圾按0.5kg/d人计算，产生量为7.5kg/d。生活垃圾统一收集到垃圾收集点，由环卫部门</w:t>
            </w:r>
            <w:r>
              <w:rPr>
                <w:rFonts w:hint="eastAsia"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清运</w:t>
            </w:r>
            <w:r>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处置。</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outlineLvl w:val="9"/>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w:t>
            </w:r>
            <w:r>
              <w:rPr>
                <w:rFonts w:hint="eastAsia"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3</w:t>
            </w:r>
            <w:r>
              <w:rPr>
                <w:rFonts w:hint="default" w:ascii="Times New Roman" w:hAnsi="Times New Roman" w:eastAsia="宋体" w:cs="Times New Roman"/>
                <w:color w:val="000000" w:themeColor="text1"/>
                <w:sz w:val="24"/>
                <w:highlight w:val="none"/>
                <w:u w:val="none" w:color="auto"/>
                <w:shd w:val="clear" w:color="auto" w:fill="auto"/>
                <w:lang w:val="en-US" w:eastAsia="zh-CN"/>
                <w14:textFill>
                  <w14:solidFill>
                    <w14:schemeClr w14:val="tx1"/>
                  </w14:solidFill>
                </w14:textFill>
              </w:rPr>
              <w:t>）钻渣</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outlineLvl w:val="9"/>
              <w:rPr>
                <w:rFonts w:hint="default" w:ascii="Times New Roman" w:hAnsi="Times New Roman" w:eastAsia="宋体" w:cs="Times New Roman"/>
                <w:color w:val="000000" w:themeColor="text1"/>
                <w:sz w:val="24"/>
                <w:szCs w:val="32"/>
                <w:lang w:val="en-US" w:eastAsia="zh-CN"/>
                <w14:textFill>
                  <w14:solidFill>
                    <w14:schemeClr w14:val="tx1"/>
                  </w14:solidFill>
                </w14:textFill>
              </w:rPr>
            </w:pPr>
            <w:r>
              <w:rPr>
                <w:rFonts w:hint="default" w:ascii="Times New Roman" w:hAnsi="Times New Roman" w:eastAsia="宋体" w:cs="Times New Roman"/>
                <w:color w:val="000000" w:themeColor="text1"/>
                <w:sz w:val="24"/>
                <w:szCs w:val="32"/>
                <w:lang w:val="en-US" w:eastAsia="zh-CN"/>
                <w14:textFill>
                  <w14:solidFill>
                    <w14:schemeClr w14:val="tx1"/>
                  </w14:solidFill>
                </w14:textFill>
              </w:rPr>
              <w:t>项目灌注桩施工过程中产生的钻渣全部收集至泥浆池进行沉淀处理，将处理 后的沉渣进行干化后用于后方项目区铺设道路回填。通过项目建设进行消纳，可以节约资源、变废为宝。</w:t>
            </w:r>
          </w:p>
          <w:p>
            <w:pPr>
              <w:pageBreakBefore w:val="0"/>
              <w:kinsoku/>
              <w:bidi w:val="0"/>
              <w:spacing w:beforeAutospacing="0" w:afterAutospacing="0" w:line="360" w:lineRule="auto"/>
              <w:ind w:firstLine="480" w:firstLineChars="200"/>
              <w:outlineLvl w:val="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）表土</w:t>
            </w:r>
          </w:p>
          <w:p>
            <w:pPr>
              <w:pageBreakBefore w:val="0"/>
              <w:kinsoku/>
              <w:bidi w:val="0"/>
              <w:spacing w:beforeAutospacing="0" w:afterAutospacing="0" w:line="360" w:lineRule="auto"/>
              <w:ind w:firstLine="480" w:firstLineChars="200"/>
              <w:outlineLvl w:val="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bookmarkStart w:id="66" w:name="_Toc29896"/>
            <w:bookmarkStart w:id="67" w:name="_Toc25229"/>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本</w:t>
            </w:r>
            <w:r>
              <w:rPr>
                <w:rFonts w:hint="default" w:ascii="Times New Roman" w:hAnsi="Times New Roman" w:eastAsia="宋体" w:cs="Times New Roman"/>
                <w:color w:val="000000" w:themeColor="text1"/>
                <w:sz w:val="24"/>
                <w:szCs w:val="24"/>
                <w:highlight w:val="none"/>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场地平整过程中，对砂石土资源表层浮土进行剥离，根据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w:t>
            </w:r>
            <w:r>
              <w:rPr>
                <w:rFonts w:hint="default" w:ascii="Times New Roman" w:hAnsi="Times New Roman" w:eastAsia="宋体" w:cs="Times New Roman"/>
                <w:color w:val="000000" w:themeColor="text1"/>
                <w:sz w:val="24"/>
                <w:szCs w:val="24"/>
                <w:highlight w:val="none"/>
                <w14:textFill>
                  <w14:solidFill>
                    <w14:schemeClr w14:val="tx1"/>
                  </w14:solidFill>
                </w14:textFill>
              </w:rPr>
              <w:t>普查地质报告，剥离量为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24.3</w:t>
            </w:r>
            <w:r>
              <w:rPr>
                <w:rFonts w:hint="default" w:ascii="Times New Roman" w:hAnsi="Times New Roman" w:eastAsia="宋体" w:cs="Times New Roman"/>
                <w:color w:val="000000" w:themeColor="text1"/>
                <w:sz w:val="24"/>
                <w:szCs w:val="24"/>
                <w:highlight w:val="none"/>
                <w14:textFill>
                  <w14:solidFill>
                    <w14:schemeClr w14:val="tx1"/>
                  </w14:solidFill>
                </w14:textFill>
              </w:rPr>
              <w:t>万</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收集后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主要用于本项目后期</w:t>
            </w:r>
            <w:r>
              <w:rPr>
                <w:rFonts w:ascii="Times New Roman" w:hAnsi="Times New Roman" w:eastAsia="宋体" w:cs="宋体"/>
                <w:color w:val="000000" w:themeColor="text1"/>
                <w:sz w:val="24"/>
                <w:szCs w:val="24"/>
                <w14:textFill>
                  <w14:solidFill>
                    <w14:schemeClr w14:val="tx1"/>
                  </w14:solidFill>
                </w14:textFill>
              </w:rPr>
              <w:t>绿化复垦</w:t>
            </w:r>
            <w:r>
              <w:rPr>
                <w:rFonts w:hint="eastAsia" w:ascii="Times New Roman" w:hAnsi="Times New Roman" w:eastAsia="宋体" w:cs="宋体"/>
                <w:color w:val="000000" w:themeColor="text1"/>
                <w:sz w:val="24"/>
                <w:szCs w:val="24"/>
                <w:lang w:val="en-US" w:eastAsia="zh-CN"/>
                <w14:textFill>
                  <w14:solidFill>
                    <w14:schemeClr w14:val="tx1"/>
                  </w14:solidFill>
                </w14:textFill>
              </w:rPr>
              <w:t>使用</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bookmarkEnd w:id="66"/>
            <w:bookmarkEnd w:id="67"/>
          </w:p>
          <w:p>
            <w:pPr>
              <w:pageBreakBefore w:val="0"/>
              <w:kinsoku/>
              <w:bidi w:val="0"/>
              <w:spacing w:beforeAutospacing="0" w:afterAutospacing="0" w:line="360" w:lineRule="auto"/>
              <w:ind w:firstLine="480" w:firstLineChars="200"/>
              <w:outlineLvl w:val="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污泥</w:t>
            </w:r>
          </w:p>
          <w:p>
            <w:pPr>
              <w:pageBreakBefore w:val="0"/>
              <w:kinsoku/>
              <w:bidi w:val="0"/>
              <w:spacing w:beforeAutospacing="0" w:afterAutospacing="0" w:line="360" w:lineRule="auto"/>
              <w:ind w:firstLine="480" w:firstLineChars="200"/>
              <w:outlineLvl w:val="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项目生产废水均采用</w:t>
            </w:r>
            <w:r>
              <w:rPr>
                <w:rFonts w:hint="default" w:ascii="Times New Roman" w:hAnsi="Times New Roman" w:eastAsia="宋体" w:cs="Times New Roman"/>
                <w:bCs/>
                <w:color w:val="000000" w:themeColor="text1"/>
                <w:sz w:val="24"/>
                <w:szCs w:val="24"/>
                <w:highlight w:val="none"/>
                <w14:textFill>
                  <w14:solidFill>
                    <w14:schemeClr w14:val="tx1"/>
                  </w14:solidFill>
                </w14:textFill>
              </w:rPr>
              <w:t>沉</w:t>
            </w:r>
            <w:r>
              <w:rPr>
                <w:rFonts w:hint="default" w:ascii="Times New Roman" w:hAnsi="Times New Roman" w:eastAsia="宋体" w:cs="Times New Roman"/>
                <w:color w:val="000000" w:themeColor="text1"/>
                <w:sz w:val="24"/>
                <w:szCs w:val="24"/>
                <w:highlight w:val="none"/>
                <w14:textFill>
                  <w14:solidFill>
                    <w14:schemeClr w14:val="tx1"/>
                  </w14:solidFill>
                </w14:textFill>
              </w:rPr>
              <w:t>淀池处理后回用，</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洗砂</w:t>
            </w:r>
            <w:r>
              <w:rPr>
                <w:rFonts w:hint="default" w:ascii="Times New Roman" w:hAnsi="Times New Roman" w:eastAsia="宋体" w:cs="Times New Roman"/>
                <w:b w:val="0"/>
                <w:color w:val="000000" w:themeColor="text1"/>
                <w:kern w:val="2"/>
                <w:sz w:val="24"/>
                <w:szCs w:val="24"/>
                <w:highlight w:val="none"/>
                <w:lang w:val="en-US" w:eastAsia="zh-CN" w:bidi="ar-SA"/>
                <w14:textFill>
                  <w14:solidFill>
                    <w14:schemeClr w14:val="tx1"/>
                  </w14:solidFill>
                </w14:textFill>
              </w:rPr>
              <w:t>脱水回收一体机</w:t>
            </w:r>
            <w:r>
              <w:rPr>
                <w:rFonts w:hint="default" w:ascii="Times New Roman" w:hAnsi="Times New Roman" w:eastAsia="宋体" w:cs="Times New Roman"/>
                <w:color w:val="000000" w:themeColor="text1"/>
                <w:sz w:val="24"/>
                <w:szCs w:val="24"/>
                <w:highlight w:val="none"/>
                <w14:textFill>
                  <w14:solidFill>
                    <w14:schemeClr w14:val="tx1"/>
                  </w14:solidFill>
                </w14:textFill>
              </w:rPr>
              <w:t>将产生污泥（含水率35%）。根据建设单位提供资料，本项目污泥约</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16880.23</w:t>
            </w:r>
            <w:r>
              <w:rPr>
                <w:rFonts w:ascii="Times New Roman" w:hAnsi="Times New Roman" w:eastAsia="宋体"/>
                <w:color w:val="000000" w:themeColor="text1"/>
                <w:sz w:val="24"/>
                <w:szCs w:val="24"/>
                <w:highlight w:val="none"/>
                <w14:textFill>
                  <w14:solidFill>
                    <w14:schemeClr w14:val="tx1"/>
                  </w14:solidFill>
                </w14:textFill>
              </w:rPr>
              <w:t>t/a</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收集后用于填方作业</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pageBreakBefore w:val="0"/>
              <w:kinsoku/>
              <w:bidi w:val="0"/>
              <w:spacing w:beforeAutospacing="0" w:afterAutospacing="0" w:line="360" w:lineRule="auto"/>
              <w:ind w:firstLine="480" w:firstLineChars="200"/>
              <w:outlineLvl w:val="0"/>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68" w:name="_Toc29990"/>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清扫粉尘</w:t>
            </w:r>
            <w:bookmarkEnd w:id="68"/>
          </w:p>
          <w:p>
            <w:pPr>
              <w:pStyle w:val="100"/>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项目定期安</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排员工对厂内运输道路、生产区进行清扫，收集到的粉尘约100t/a，</w:t>
            </w:r>
            <w: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t>收集后</w:t>
            </w: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回用于配套加工</w:t>
            </w:r>
            <w:r>
              <w:rPr>
                <w:rFonts w:hint="eastAsia" w:ascii="Times New Roman" w:hAnsi="Times New Roman" w:eastAsia="宋体" w:cs="Times New Roman"/>
                <w:color w:val="000000" w:themeColor="text1"/>
                <w:kern w:val="2"/>
                <w:sz w:val="24"/>
                <w:szCs w:val="24"/>
                <w:highlight w:val="none"/>
                <w:u w:val="none" w:color="auto"/>
                <w:shd w:val="clear" w:color="auto" w:fill="auto"/>
                <w:lang w:val="en-US" w:eastAsia="zh-CN" w:bidi="ar-SA"/>
                <w14:textFill>
                  <w14:solidFill>
                    <w14:schemeClr w14:val="tx1"/>
                  </w14:solidFill>
                </w14:textFill>
              </w:rPr>
              <w:t>建设材料</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p>
            <w:pPr>
              <w:pageBreakBefore w:val="0"/>
              <w:numPr>
                <w:ilvl w:val="0"/>
                <w:numId w:val="4"/>
              </w:numPr>
              <w:kinsoku/>
              <w:bidi w:val="0"/>
              <w:spacing w:beforeAutospacing="0" w:afterAutospacing="0" w:line="360" w:lineRule="auto"/>
              <w:ind w:firstLine="480" w:firstLineChars="200"/>
              <w:outlineLvl w:val="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含油抹布</w:t>
            </w:r>
          </w:p>
          <w:p>
            <w:pPr>
              <w:pStyle w:val="100"/>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本项目设备维护过程中会产生含油抹布，类比同类型项目，含油抹布产生量约0.05t/a，根据《国家危险废物名录（2021 年版）》，未分类收集的</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废弃的含油抹布、劳保用品</w:t>
            </w: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全过程不按危险废物管理，采取混入生活垃圾交由环卫部门清运处置。</w:t>
            </w:r>
          </w:p>
          <w:p>
            <w:pPr>
              <w:pageBreakBefore w:val="0"/>
              <w:numPr>
                <w:ilvl w:val="0"/>
                <w:numId w:val="4"/>
              </w:numPr>
              <w:kinsoku/>
              <w:bidi w:val="0"/>
              <w:spacing w:beforeAutospacing="0" w:afterAutospacing="0" w:line="360" w:lineRule="auto"/>
              <w:ind w:firstLine="480" w:firstLineChars="200"/>
              <w:outlineLvl w:val="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highlight w:val="none"/>
                <w:u w:val="none" w:color="auto"/>
                <w:shd w:val="clear" w:color="auto" w:fill="auto"/>
                <w:lang w:val="en-US" w:eastAsia="zh-CN"/>
                <w14:textFill>
                  <w14:solidFill>
                    <w14:schemeClr w14:val="tx1"/>
                  </w14:solidFill>
                </w14:textFill>
              </w:rPr>
              <w:t>隔油池油污</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outlineLvl w:val="9"/>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b w:val="0"/>
                <w:color w:val="000000" w:themeColor="text1"/>
                <w:kern w:val="2"/>
                <w:sz w:val="24"/>
                <w:szCs w:val="24"/>
                <w:highlight w:val="none"/>
                <w:u w:val="none" w:color="auto"/>
                <w:shd w:val="clear" w:color="auto" w:fill="auto"/>
                <w:lang w:val="en-US" w:eastAsia="zh-CN" w:bidi="ar-SA"/>
                <w14:textFill>
                  <w14:solidFill>
                    <w14:schemeClr w14:val="tx1"/>
                  </w14:solidFill>
                </w14:textFill>
              </w:rPr>
              <w:t>本项目车辆冲洗废水</w:t>
            </w:r>
            <w:r>
              <w:rPr>
                <w:rFonts w:hint="eastAsia" w:ascii="Times New Roman" w:hAnsi="Times New Roman" w:eastAsia="宋体" w:cs="Times New Roman"/>
                <w:b w:val="0"/>
                <w:color w:val="000000" w:themeColor="text1"/>
                <w:kern w:val="2"/>
                <w:sz w:val="24"/>
                <w:szCs w:val="24"/>
                <w:highlight w:val="none"/>
                <w:u w:val="none" w:color="auto"/>
                <w:shd w:val="clear" w:color="auto" w:fill="auto"/>
                <w:lang w:val="en-US" w:eastAsia="zh-CN" w:bidi="ar-SA"/>
                <w14:textFill>
                  <w14:solidFill>
                    <w14:schemeClr w14:val="tx1"/>
                  </w14:solidFill>
                </w14:textFill>
              </w:rPr>
              <w:t>经</w:t>
            </w:r>
            <w:r>
              <w:rPr>
                <w:rFonts w:hint="default" w:ascii="Times New Roman" w:hAnsi="Times New Roman" w:eastAsia="宋体" w:cs="Times New Roman"/>
                <w:b w:val="0"/>
                <w:color w:val="000000" w:themeColor="text1"/>
                <w:kern w:val="2"/>
                <w:sz w:val="24"/>
                <w:szCs w:val="24"/>
                <w:highlight w:val="none"/>
                <w:u w:val="none" w:color="auto"/>
                <w:shd w:val="clear" w:color="auto" w:fill="auto"/>
                <w:lang w:val="en-US" w:eastAsia="zh-CN" w:bidi="ar-SA"/>
                <w14:textFill>
                  <w14:solidFill>
                    <w14:schemeClr w14:val="tx1"/>
                  </w14:solidFill>
                </w14:textFill>
              </w:rPr>
              <w:t>隔油沉淀过程中会产生</w:t>
            </w:r>
            <w:r>
              <w:rPr>
                <w:rFonts w:hint="default" w:ascii="Times New Roman" w:hAnsi="Times New Roman" w:eastAsia="宋体" w:cs="Times New Roman"/>
                <w:snapToGrid w:val="0"/>
                <w:color w:val="000000" w:themeColor="text1"/>
                <w:kern w:val="0"/>
                <w:sz w:val="24"/>
                <w:szCs w:val="24"/>
                <w:highlight w:val="none"/>
                <w:u w:val="none" w:color="auto"/>
                <w:shd w:val="clear" w:color="auto" w:fill="auto"/>
                <w:lang w:val="en-US" w:eastAsia="zh-CN"/>
                <w14:textFill>
                  <w14:solidFill>
                    <w14:schemeClr w14:val="tx1"/>
                  </w14:solidFill>
                </w14:textFill>
              </w:rPr>
              <w:t>隔油池油污</w:t>
            </w:r>
            <w:r>
              <w:rPr>
                <w:rFonts w:hint="default" w:ascii="Times New Roman" w:hAnsi="Times New Roman" w:eastAsia="宋体" w:cs="Times New Roman"/>
                <w:b w:val="0"/>
                <w:color w:val="000000" w:themeColor="text1"/>
                <w:kern w:val="2"/>
                <w:sz w:val="24"/>
                <w:szCs w:val="24"/>
                <w:highlight w:val="none"/>
                <w:u w:val="none" w:color="auto"/>
                <w:shd w:val="clear" w:color="auto" w:fill="auto"/>
                <w:lang w:val="en-US" w:eastAsia="zh-CN" w:bidi="ar-SA"/>
                <w14:textFill>
                  <w14:solidFill>
                    <w14:schemeClr w14:val="tx1"/>
                  </w14:solidFill>
                </w14:textFill>
              </w:rPr>
              <w:t>，类比同类型项目，</w:t>
            </w:r>
            <w:r>
              <w:rPr>
                <w:rFonts w:hint="default" w:ascii="Times New Roman" w:hAnsi="Times New Roman" w:eastAsia="宋体" w:cs="Times New Roman"/>
                <w:snapToGrid w:val="0"/>
                <w:color w:val="000000" w:themeColor="text1"/>
                <w:kern w:val="0"/>
                <w:sz w:val="24"/>
                <w:szCs w:val="24"/>
                <w:highlight w:val="none"/>
                <w:u w:val="none" w:color="auto"/>
                <w:shd w:val="clear" w:color="auto" w:fill="auto"/>
                <w:lang w:val="en-US" w:eastAsia="zh-CN"/>
                <w14:textFill>
                  <w14:solidFill>
                    <w14:schemeClr w14:val="tx1"/>
                  </w14:solidFill>
                </w14:textFill>
              </w:rPr>
              <w:t>隔油池油污</w:t>
            </w:r>
            <w:r>
              <w:rPr>
                <w:rFonts w:hint="default" w:ascii="Times New Roman" w:hAnsi="Times New Roman" w:eastAsia="宋体" w:cs="Times New Roman"/>
                <w:b w:val="0"/>
                <w:color w:val="000000" w:themeColor="text1"/>
                <w:kern w:val="2"/>
                <w:sz w:val="24"/>
                <w:szCs w:val="24"/>
                <w:highlight w:val="none"/>
                <w:u w:val="none" w:color="auto"/>
                <w:shd w:val="clear" w:color="auto" w:fill="auto"/>
                <w:lang w:val="en-US" w:eastAsia="zh-CN" w:bidi="ar-SA"/>
                <w14:textFill>
                  <w14:solidFill>
                    <w14:schemeClr w14:val="tx1"/>
                  </w14:solidFill>
                </w14:textFill>
              </w:rPr>
              <w:t>产生量约为0.2t/a</w:t>
            </w:r>
            <w:r>
              <w:rPr>
                <w:rFonts w:hint="default" w:ascii="Times New Roman" w:hAnsi="Times New Roman" w:eastAsia="宋体" w:cs="Times New Roman"/>
                <w:color w:val="000000" w:themeColor="text1"/>
                <w:kern w:val="0"/>
                <w:sz w:val="24"/>
                <w:szCs w:val="24"/>
                <w:highlight w:val="none"/>
                <w:u w:val="none" w:color="auto"/>
                <w:shd w:val="clear" w:color="auto" w:fill="auto"/>
                <w:lang w:val="en-US" w:eastAsia="zh-CN" w:bidi="ar"/>
                <w14:textFill>
                  <w14:solidFill>
                    <w14:schemeClr w14:val="tx1"/>
                  </w14:solidFill>
                </w14:textFill>
              </w:rPr>
              <w:t>，属于《</w:t>
            </w:r>
            <w:r>
              <w:rPr>
                <w:rFonts w:hint="default" w:ascii="Times New Roman" w:hAnsi="Times New Roman" w:eastAsia="宋体" w:cs="Times New Roman"/>
                <w:b w:val="0"/>
                <w:color w:val="000000" w:themeColor="text1"/>
                <w:kern w:val="2"/>
                <w:sz w:val="24"/>
                <w:szCs w:val="24"/>
                <w:highlight w:val="none"/>
                <w:u w:val="none" w:color="auto"/>
                <w:shd w:val="clear" w:color="auto" w:fill="auto"/>
                <w:lang w:val="en-US" w:eastAsia="zh-CN" w:bidi="ar-SA"/>
                <w14:textFill>
                  <w14:solidFill>
                    <w14:schemeClr w14:val="tx1"/>
                  </w14:solidFill>
                </w14:textFill>
              </w:rPr>
              <w:t>国家危险废物名录》（2021年版）中</w:t>
            </w:r>
            <w:r>
              <w:rPr>
                <w:rFonts w:hint="eastAsia" w:ascii="Times New Roman" w:hAnsi="Times New Roman" w:eastAsia="宋体" w:cs="Times New Roman"/>
                <w:b w:val="0"/>
                <w:color w:val="000000" w:themeColor="text1"/>
                <w:kern w:val="2"/>
                <w:sz w:val="24"/>
                <w:szCs w:val="24"/>
                <w:highlight w:val="none"/>
                <w:u w:val="none" w:color="auto"/>
                <w:shd w:val="clear" w:color="auto" w:fill="auto"/>
                <w:lang w:val="en-US" w:eastAsia="zh-CN" w:bidi="ar-SA"/>
                <w14:textFill>
                  <w14:solidFill>
                    <w14:schemeClr w14:val="tx1"/>
                  </w14:solidFill>
                </w14:textFill>
              </w:rPr>
              <w:t>“</w:t>
            </w:r>
            <w:r>
              <w:rPr>
                <w:rFonts w:hint="default" w:ascii="Times New Roman" w:hAnsi="Times New Roman" w:eastAsia="宋体" w:cs="Times New Roman"/>
                <w:b w:val="0"/>
                <w:color w:val="000000" w:themeColor="text1"/>
                <w:kern w:val="2"/>
                <w:sz w:val="24"/>
                <w:szCs w:val="24"/>
                <w:highlight w:val="none"/>
                <w:u w:val="none" w:color="auto"/>
                <w:shd w:val="clear" w:color="auto" w:fill="auto"/>
                <w:lang w:val="en-US" w:eastAsia="zh-CN" w:bidi="ar-SA"/>
                <w14:textFill>
                  <w14:solidFill>
                    <w14:schemeClr w14:val="tx1"/>
                  </w14:solidFill>
                </w14:textFill>
              </w:rPr>
              <w:t>HW08 废矿物油与含矿物油废物</w:t>
            </w:r>
            <w:r>
              <w:rPr>
                <w:rFonts w:hint="eastAsia" w:ascii="Times New Roman" w:hAnsi="Times New Roman" w:eastAsia="宋体" w:cs="Times New Roman"/>
                <w:b w:val="0"/>
                <w:color w:val="000000" w:themeColor="text1"/>
                <w:kern w:val="2"/>
                <w:sz w:val="24"/>
                <w:szCs w:val="24"/>
                <w:highlight w:val="none"/>
                <w:u w:val="none" w:color="auto"/>
                <w:shd w:val="clear" w:color="auto" w:fill="auto"/>
                <w:lang w:val="en-US" w:eastAsia="zh-CN" w:bidi="ar-SA"/>
                <w14:textFill>
                  <w14:solidFill>
                    <w14:schemeClr w14:val="tx1"/>
                  </w14:solidFill>
                </w14:textFill>
              </w:rPr>
              <w:t>”</w:t>
            </w:r>
            <w:r>
              <w:rPr>
                <w:rFonts w:hint="default" w:ascii="Times New Roman" w:hAnsi="Times New Roman" w:eastAsia="宋体" w:cs="Times New Roman"/>
                <w:b w:val="0"/>
                <w:color w:val="000000" w:themeColor="text1"/>
                <w:kern w:val="2"/>
                <w:sz w:val="24"/>
                <w:szCs w:val="24"/>
                <w:highlight w:val="none"/>
                <w:u w:val="none" w:color="auto"/>
                <w:shd w:val="clear" w:color="auto" w:fill="auto"/>
                <w:lang w:val="en-US" w:eastAsia="zh-CN" w:bidi="ar-SA"/>
                <w14:textFill>
                  <w14:solidFill>
                    <w14:schemeClr w14:val="tx1"/>
                  </w14:solidFill>
                </w14:textFill>
              </w:rPr>
              <w:t>，废物代码为</w:t>
            </w:r>
            <w:r>
              <w:rPr>
                <w:rFonts w:hint="eastAsia" w:ascii="Times New Roman" w:hAnsi="Times New Roman" w:eastAsia="宋体" w:cs="Times New Roman"/>
                <w:b w:val="0"/>
                <w:color w:val="000000" w:themeColor="text1"/>
                <w:kern w:val="2"/>
                <w:sz w:val="24"/>
                <w:szCs w:val="24"/>
                <w:highlight w:val="none"/>
                <w:u w:val="none" w:color="auto"/>
                <w:shd w:val="clear" w:color="auto" w:fill="auto"/>
                <w:lang w:val="en-US" w:eastAsia="zh-CN" w:bidi="ar-SA"/>
                <w14:textFill>
                  <w14:solidFill>
                    <w14:schemeClr w14:val="tx1"/>
                  </w14:solidFill>
                </w14:textFill>
              </w:rPr>
              <w:t>“</w:t>
            </w:r>
            <w:r>
              <w:rPr>
                <w:rFonts w:hint="default" w:ascii="Times New Roman" w:hAnsi="Times New Roman" w:eastAsia="宋体" w:cs="Times New Roman"/>
                <w:b w:val="0"/>
                <w:color w:val="000000" w:themeColor="text1"/>
                <w:kern w:val="2"/>
                <w:sz w:val="24"/>
                <w:szCs w:val="24"/>
                <w:highlight w:val="none"/>
                <w:u w:val="none" w:color="auto"/>
                <w:shd w:val="clear" w:color="auto" w:fill="auto"/>
                <w:lang w:val="en-US" w:eastAsia="zh-CN" w:bidi="ar-SA"/>
                <w14:textFill>
                  <w14:solidFill>
                    <w14:schemeClr w14:val="tx1"/>
                  </w14:solidFill>
                </w14:textFill>
              </w:rPr>
              <w:t>900-210-08</w:t>
            </w:r>
            <w:r>
              <w:rPr>
                <w:rFonts w:hint="eastAsia" w:ascii="Times New Roman" w:hAnsi="Times New Roman" w:eastAsia="宋体" w:cs="Times New Roman"/>
                <w:b w:val="0"/>
                <w:color w:val="000000" w:themeColor="text1"/>
                <w:kern w:val="2"/>
                <w:sz w:val="24"/>
                <w:szCs w:val="24"/>
                <w:highlight w:val="none"/>
                <w:u w:val="none" w:color="auto"/>
                <w:shd w:val="clear" w:color="auto" w:fill="auto"/>
                <w:lang w:val="en-US" w:eastAsia="zh-CN" w:bidi="ar-SA"/>
                <w14:textFill>
                  <w14:solidFill>
                    <w14:schemeClr w14:val="tx1"/>
                  </w14:solidFill>
                </w14:textFill>
              </w:rPr>
              <w:t>”</w:t>
            </w:r>
            <w:r>
              <w:rPr>
                <w:rFonts w:hint="default" w:ascii="Times New Roman" w:hAnsi="Times New Roman" w:eastAsia="宋体" w:cs="Times New Roman"/>
                <w:b w:val="0"/>
                <w:color w:val="000000" w:themeColor="text1"/>
                <w:kern w:val="2"/>
                <w:sz w:val="24"/>
                <w:szCs w:val="24"/>
                <w:highlight w:val="none"/>
                <w:u w:val="none" w:color="auto"/>
                <w:shd w:val="clear" w:color="auto" w:fill="auto"/>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暂存于危废暂存间，定期委托有资质单位处置。</w:t>
            </w:r>
          </w:p>
          <w:p>
            <w:pPr>
              <w:pStyle w:val="11"/>
              <w:pageBreakBefore w:val="0"/>
              <w:kinsoku/>
              <w:bidi w:val="0"/>
              <w:spacing w:beforeAutospacing="0" w:afterAutospacing="0"/>
              <w:rPr>
                <w:rFonts w:hint="default" w:ascii="Times New Roman" w:hAnsi="Times New Roman" w:eastAsia="宋体" w:cs="Times New Roman"/>
                <w:color w:val="000000" w:themeColor="text1"/>
                <w:sz w:val="32"/>
                <w:szCs w:val="32"/>
                <w:lang w:val="en-US" w:eastAsia="zh-CN"/>
                <w14:textFill>
                  <w14:solidFill>
                    <w14:schemeClr w14:val="tx1"/>
                  </w14:solidFill>
                </w14:textFill>
              </w:rPr>
            </w:pPr>
            <w:bookmarkStart w:id="69" w:name="_Toc11329"/>
            <w:bookmarkStart w:id="70" w:name="_Toc20797"/>
            <w:bookmarkStart w:id="71" w:name="_Toc12006"/>
            <w:r>
              <w:rPr>
                <w:rFonts w:hint="eastAsia" w:ascii="Times New Roman" w:hAnsi="Times New Roman" w:eastAsia="宋体" w:cs="Times New Roman"/>
                <w:color w:val="000000" w:themeColor="text1"/>
                <w:sz w:val="32"/>
                <w:szCs w:val="32"/>
                <w:lang w:val="en-US" w:eastAsia="zh-CN"/>
                <w14:textFill>
                  <w14:solidFill>
                    <w14:schemeClr w14:val="tx1"/>
                  </w14:solidFill>
                </w14:textFill>
              </w:rPr>
              <w:t>4</w:t>
            </w:r>
            <w:r>
              <w:rPr>
                <w:rFonts w:hint="default" w:ascii="Times New Roman" w:hAnsi="Times New Roman" w:eastAsia="宋体" w:cs="Times New Roman"/>
                <w:color w:val="000000" w:themeColor="text1"/>
                <w:sz w:val="32"/>
                <w:szCs w:val="32"/>
                <w:lang w:val="en-US" w:eastAsia="zh-CN"/>
                <w14:textFill>
                  <w14:solidFill>
                    <w14:schemeClr w14:val="tx1"/>
                  </w14:solidFill>
                </w14:textFill>
              </w:rPr>
              <w:t>.5施工期生态环境影响分析</w:t>
            </w:r>
            <w:bookmarkEnd w:id="69"/>
            <w:bookmarkEnd w:id="70"/>
            <w:bookmarkEnd w:id="71"/>
          </w:p>
          <w:p>
            <w:pPr>
              <w:keepNext w:val="0"/>
              <w:keepLines w:val="0"/>
              <w:pageBreakBefore w:val="0"/>
              <w:kinsoku/>
              <w:wordWrap/>
              <w:overflowPunct/>
              <w:topLinePunct w:val="0"/>
              <w:autoSpaceDE/>
              <w:autoSpaceDN/>
              <w:bidi w:val="0"/>
              <w:adjustRightInd/>
              <w:snapToGrid/>
              <w:spacing w:beforeAutospacing="0" w:afterAutospacing="0" w:line="360" w:lineRule="auto"/>
              <w:ind w:firstLine="482" w:firstLineChars="200"/>
              <w:textAlignment w:val="auto"/>
              <w:outlineLvl w:val="9"/>
              <w:rPr>
                <w:rFonts w:hint="default" w:ascii="Times New Roman" w:hAnsi="Times New Roman" w:eastAsia="宋体"/>
                <w:b/>
                <w:bCs/>
                <w:color w:val="000000" w:themeColor="text1"/>
                <w:sz w:val="24"/>
                <w:szCs w:val="32"/>
                <w:lang w:val="en-US" w:eastAsia="zh-CN"/>
                <w14:textFill>
                  <w14:solidFill>
                    <w14:schemeClr w14:val="tx1"/>
                  </w14:solidFill>
                </w14:textFill>
              </w:rPr>
            </w:pPr>
            <w:r>
              <w:rPr>
                <w:rFonts w:hint="eastAsia" w:ascii="Times New Roman" w:hAnsi="Times New Roman" w:eastAsia="宋体"/>
                <w:b/>
                <w:bCs/>
                <w:color w:val="000000" w:themeColor="text1"/>
                <w:sz w:val="24"/>
                <w:szCs w:val="32"/>
                <w:lang w:val="en-US" w:eastAsia="zh-CN"/>
                <w14:textFill>
                  <w14:solidFill>
                    <w14:schemeClr w14:val="tx1"/>
                  </w14:solidFill>
                </w14:textFill>
              </w:rPr>
              <w:t>（1）</w:t>
            </w:r>
            <w:r>
              <w:rPr>
                <w:rFonts w:hint="default" w:ascii="Times New Roman" w:hAnsi="Times New Roman" w:eastAsia="宋体"/>
                <w:b/>
                <w:bCs/>
                <w:color w:val="000000" w:themeColor="text1"/>
                <w:sz w:val="24"/>
                <w:szCs w:val="32"/>
                <w:lang w:val="en-US" w:eastAsia="zh-CN"/>
                <w14:textFill>
                  <w14:solidFill>
                    <w14:schemeClr w14:val="tx1"/>
                  </w14:solidFill>
                </w14:textFill>
              </w:rPr>
              <w:t>水土流失影响</w:t>
            </w:r>
          </w:p>
          <w:p>
            <w:pPr>
              <w:pageBreakBefore w:val="0"/>
              <w:kinsoku/>
              <w:bidi w:val="0"/>
              <w:spacing w:beforeAutospacing="0" w:afterAutospacing="0" w:line="360" w:lineRule="auto"/>
              <w:ind w:firstLine="480" w:firstLineChars="200"/>
              <w:rPr>
                <w:rFonts w:hint="default" w:ascii="Times New Roman" w:hAnsi="Times New Roman" w:eastAsia="宋体"/>
                <w:color w:val="000000" w:themeColor="text1"/>
                <w:sz w:val="24"/>
                <w:szCs w:val="32"/>
                <w14:textFill>
                  <w14:solidFill>
                    <w14:schemeClr w14:val="tx1"/>
                  </w14:solidFill>
                </w14:textFill>
              </w:rPr>
            </w:pPr>
            <w:r>
              <w:rPr>
                <w:rFonts w:hint="default" w:ascii="Times New Roman" w:hAnsi="Times New Roman" w:eastAsia="宋体"/>
                <w:color w:val="000000" w:themeColor="text1"/>
                <w:sz w:val="24"/>
                <w:szCs w:val="32"/>
                <w14:textFill>
                  <w14:solidFill>
                    <w14:schemeClr w14:val="tx1"/>
                  </w14:solidFill>
                </w14:textFill>
              </w:rPr>
              <w:t>本项目施工过程中表土</w:t>
            </w:r>
            <w:r>
              <w:rPr>
                <w:rFonts w:hint="default" w:ascii="Times New Roman" w:hAnsi="Times New Roman" w:eastAsia="宋体"/>
                <w:color w:val="000000" w:themeColor="text1"/>
                <w:sz w:val="24"/>
                <w:szCs w:val="32"/>
                <w14:textFill>
                  <w14:solidFill>
                    <w14:schemeClr w14:val="tx1"/>
                  </w14:solidFill>
                </w14:textFill>
              </w:rPr>
              <w:t>剥离、土方挖填，改变了土地原有状态，土壤暴露在雨、风</w:t>
            </w:r>
            <w:r>
              <w:rPr>
                <w:rFonts w:hint="eastAsia" w:ascii="Times New Roman" w:hAnsi="Times New Roman" w:eastAsia="宋体"/>
                <w:color w:val="000000" w:themeColor="text1"/>
                <w:sz w:val="24"/>
                <w:szCs w:val="32"/>
                <w:lang w:eastAsia="zh-CN"/>
                <w14:textFill>
                  <w14:solidFill>
                    <w14:schemeClr w14:val="tx1"/>
                  </w14:solidFill>
                </w14:textFill>
              </w:rPr>
              <w:t>和其他</w:t>
            </w:r>
            <w:r>
              <w:rPr>
                <w:rFonts w:hint="default" w:ascii="Times New Roman" w:hAnsi="Times New Roman" w:eastAsia="宋体"/>
                <w:color w:val="000000" w:themeColor="text1"/>
                <w:sz w:val="24"/>
                <w:szCs w:val="32"/>
                <w14:textFill>
                  <w14:solidFill>
                    <w14:schemeClr w14:val="tx1"/>
                  </w14:solidFill>
                </w14:textFill>
              </w:rPr>
              <w:t>干扰之中，会使土壤暴露情况加剧。施工过程中，</w:t>
            </w:r>
            <w:r>
              <w:rPr>
                <w:rFonts w:hint="eastAsia" w:ascii="Times New Roman" w:hAnsi="Times New Roman" w:eastAsia="宋体"/>
                <w:color w:val="000000" w:themeColor="text1"/>
                <w:sz w:val="24"/>
                <w:szCs w:val="32"/>
                <w:lang w:val="en-US" w:eastAsia="zh-CN"/>
                <w14:textFill>
                  <w14:solidFill>
                    <w14:schemeClr w14:val="tx1"/>
                  </w14:solidFill>
                </w14:textFill>
              </w:rPr>
              <w:t>碎石</w:t>
            </w:r>
            <w:r>
              <w:rPr>
                <w:rFonts w:hint="default" w:ascii="Times New Roman" w:hAnsi="Times New Roman" w:eastAsia="宋体"/>
                <w:color w:val="000000" w:themeColor="text1"/>
                <w:sz w:val="24"/>
                <w:szCs w:val="32"/>
                <w14:textFill>
                  <w14:solidFill>
                    <w14:schemeClr w14:val="tx1"/>
                  </w14:solidFill>
                </w14:textFill>
              </w:rPr>
              <w:t>从</w:t>
            </w:r>
            <w:r>
              <w:rPr>
                <w:rFonts w:hint="eastAsia" w:ascii="Times New Roman" w:hAnsi="Times New Roman" w:eastAsia="宋体"/>
                <w:color w:val="000000" w:themeColor="text1"/>
                <w:sz w:val="24"/>
                <w:szCs w:val="32"/>
                <w:lang w:val="en-US" w:eastAsia="zh-CN"/>
                <w14:textFill>
                  <w14:solidFill>
                    <w14:schemeClr w14:val="tx1"/>
                  </w14:solidFill>
                </w14:textFill>
              </w:rPr>
              <w:t>场地平整区</w:t>
            </w:r>
            <w:r>
              <w:rPr>
                <w:rFonts w:hint="default" w:ascii="Times New Roman" w:hAnsi="Times New Roman" w:eastAsia="宋体"/>
                <w:color w:val="000000" w:themeColor="text1"/>
                <w:sz w:val="24"/>
                <w:szCs w:val="32"/>
                <w14:textFill>
                  <w14:solidFill>
                    <w14:schemeClr w14:val="tx1"/>
                  </w14:solidFill>
                </w14:textFill>
              </w:rPr>
              <w:t>、</w:t>
            </w:r>
            <w:r>
              <w:rPr>
                <w:rFonts w:hint="eastAsia" w:ascii="Times New Roman" w:hAnsi="Times New Roman" w:eastAsia="宋体"/>
                <w:color w:val="000000" w:themeColor="text1"/>
                <w:sz w:val="24"/>
                <w:szCs w:val="32"/>
                <w:lang w:eastAsia="zh-CN"/>
                <w14:textFill>
                  <w14:solidFill>
                    <w14:schemeClr w14:val="tx1"/>
                  </w14:solidFill>
                </w14:textFill>
              </w:rPr>
              <w:t>配套加工生产区</w:t>
            </w:r>
            <w:r>
              <w:rPr>
                <w:rFonts w:hint="default" w:ascii="Times New Roman" w:hAnsi="Times New Roman" w:eastAsia="宋体"/>
                <w:color w:val="000000" w:themeColor="text1"/>
                <w:sz w:val="24"/>
                <w:szCs w:val="32"/>
                <w14:textFill>
                  <w14:solidFill>
                    <w14:schemeClr w14:val="tx1"/>
                  </w14:solidFill>
                </w14:textFill>
              </w:rPr>
              <w:t>等地转运至临时堆场装卸作业过程中和堆放时，都可能出现散落和水土流失。同时，施工中，由于外力作用，土壤结构会受到破坏，土壤抵抗侵蚀的能力将会大大减弱，在暴雨中由降雨所产生的土壤侵蚀，将会造成项目建设施工过程中的水土流失。</w:t>
            </w:r>
          </w:p>
          <w:p>
            <w:pPr>
              <w:pageBreakBefore w:val="0"/>
              <w:kinsoku/>
              <w:bidi w:val="0"/>
              <w:spacing w:beforeAutospacing="0" w:afterAutospacing="0" w:line="360" w:lineRule="auto"/>
              <w:ind w:firstLine="480" w:firstLineChars="200"/>
              <w:rPr>
                <w:rFonts w:hint="default" w:ascii="Times New Roman" w:hAnsi="Times New Roman" w:eastAsia="宋体"/>
                <w:color w:val="000000" w:themeColor="text1"/>
                <w:sz w:val="24"/>
                <w:szCs w:val="32"/>
                <w14:textFill>
                  <w14:solidFill>
                    <w14:schemeClr w14:val="tx1"/>
                  </w14:solidFill>
                </w14:textFill>
              </w:rPr>
            </w:pPr>
            <w:r>
              <w:rPr>
                <w:rFonts w:hint="default" w:ascii="Times New Roman" w:hAnsi="Times New Roman" w:eastAsia="宋体"/>
                <w:color w:val="000000" w:themeColor="text1"/>
                <w:sz w:val="24"/>
                <w:szCs w:val="32"/>
                <w14:textFill>
                  <w14:solidFill>
                    <w14:schemeClr w14:val="tx1"/>
                  </w14:solidFill>
                </w14:textFill>
              </w:rPr>
              <w:t>施工过程中的水土流失，不但会影响工程进度和工程质量，还可能产生泥沙外排，对周围环境产生较为严重的影响：在施工场地上，如未设置截污治理措施，雨水径流将以</w:t>
            </w:r>
            <w:r>
              <w:rPr>
                <w:rFonts w:hint="eastAsia" w:ascii="Times New Roman" w:hAnsi="Times New Roman" w:eastAsia="宋体"/>
                <w:color w:val="000000" w:themeColor="text1"/>
                <w:sz w:val="24"/>
                <w:szCs w:val="32"/>
                <w:lang w:eastAsia="zh-CN"/>
                <w14:textFill>
                  <w14:solidFill>
                    <w14:schemeClr w14:val="tx1"/>
                  </w14:solidFill>
                </w14:textFill>
              </w:rPr>
              <w:t>“</w:t>
            </w:r>
            <w:r>
              <w:rPr>
                <w:rFonts w:hint="default" w:ascii="Times New Roman" w:hAnsi="Times New Roman" w:eastAsia="宋体"/>
                <w:color w:val="000000" w:themeColor="text1"/>
                <w:sz w:val="24"/>
                <w:szCs w:val="32"/>
                <w14:textFill>
                  <w14:solidFill>
                    <w14:schemeClr w14:val="tx1"/>
                  </w14:solidFill>
                </w14:textFill>
              </w:rPr>
              <w:t>黄泥水</w:t>
            </w:r>
            <w:r>
              <w:rPr>
                <w:rFonts w:hint="eastAsia" w:ascii="Times New Roman" w:hAnsi="Times New Roman" w:eastAsia="宋体"/>
                <w:color w:val="000000" w:themeColor="text1"/>
                <w:sz w:val="24"/>
                <w:szCs w:val="32"/>
                <w:lang w:eastAsia="zh-CN"/>
                <w14:textFill>
                  <w14:solidFill>
                    <w14:schemeClr w14:val="tx1"/>
                  </w14:solidFill>
                </w14:textFill>
              </w:rPr>
              <w:t>”</w:t>
            </w:r>
            <w:r>
              <w:rPr>
                <w:rFonts w:hint="default" w:ascii="Times New Roman" w:hAnsi="Times New Roman" w:eastAsia="宋体"/>
                <w:color w:val="000000" w:themeColor="text1"/>
                <w:sz w:val="24"/>
                <w:szCs w:val="32"/>
                <w14:textFill>
                  <w14:solidFill>
                    <w14:schemeClr w14:val="tx1"/>
                  </w14:solidFill>
                </w14:textFill>
              </w:rPr>
              <w:t>的形式排入水体，对水环境造成影响；同时，泥浆水还会夹带施工场地上的水泥等污染物进入水体，造成下游水体污染。</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2" w:firstLineChars="200"/>
              <w:textAlignment w:val="auto"/>
              <w:outlineLvl w:val="9"/>
              <w:rPr>
                <w:rFonts w:hint="default" w:ascii="Times New Roman" w:hAnsi="Times New Roman" w:eastAsia="宋体"/>
                <w:b/>
                <w:bCs/>
                <w:color w:val="000000" w:themeColor="text1"/>
                <w:sz w:val="24"/>
                <w:szCs w:val="32"/>
                <w:lang w:val="en-US" w:eastAsia="zh-CN"/>
                <w14:textFill>
                  <w14:solidFill>
                    <w14:schemeClr w14:val="tx1"/>
                  </w14:solidFill>
                </w14:textFill>
              </w:rPr>
            </w:pPr>
            <w:r>
              <w:rPr>
                <w:rFonts w:hint="eastAsia" w:ascii="Times New Roman" w:hAnsi="Times New Roman" w:eastAsia="宋体"/>
                <w:b/>
                <w:bCs/>
                <w:color w:val="000000" w:themeColor="text1"/>
                <w:sz w:val="24"/>
                <w:szCs w:val="32"/>
                <w:lang w:val="en-US" w:eastAsia="zh-CN"/>
                <w14:textFill>
                  <w14:solidFill>
                    <w14:schemeClr w14:val="tx1"/>
                  </w14:solidFill>
                </w14:textFill>
              </w:rPr>
              <w:t>（2）</w:t>
            </w:r>
            <w:r>
              <w:rPr>
                <w:rFonts w:hint="default" w:ascii="Times New Roman" w:hAnsi="Times New Roman" w:eastAsia="宋体"/>
                <w:b/>
                <w:bCs/>
                <w:color w:val="000000" w:themeColor="text1"/>
                <w:sz w:val="24"/>
                <w:szCs w:val="32"/>
                <w:lang w:val="en-US" w:eastAsia="zh-CN"/>
                <w14:textFill>
                  <w14:solidFill>
                    <w14:schemeClr w14:val="tx1"/>
                  </w14:solidFill>
                </w14:textFill>
              </w:rPr>
              <w:t>对植被影响</w:t>
            </w:r>
          </w:p>
          <w:p>
            <w:pPr>
              <w:pageBreakBefore w:val="0"/>
              <w:kinsoku/>
              <w:bidi w:val="0"/>
              <w:spacing w:beforeAutospacing="0" w:afterAutospacing="0" w:line="360" w:lineRule="auto"/>
              <w:ind w:firstLine="480" w:firstLineChars="200"/>
              <w:rPr>
                <w:rFonts w:hint="default" w:ascii="Times New Roman" w:hAnsi="Times New Roman" w:eastAsia="宋体"/>
                <w:color w:val="000000" w:themeColor="text1"/>
                <w:sz w:val="24"/>
                <w:szCs w:val="32"/>
                <w14:textFill>
                  <w14:solidFill>
                    <w14:schemeClr w14:val="tx1"/>
                  </w14:solidFill>
                </w14:textFill>
              </w:rPr>
            </w:pPr>
            <w:r>
              <w:rPr>
                <w:rFonts w:hint="eastAsia" w:ascii="Times New Roman" w:hAnsi="Times New Roman" w:eastAsia="宋体"/>
                <w:color w:val="000000" w:themeColor="text1"/>
                <w:sz w:val="24"/>
                <w:szCs w:val="32"/>
                <w:lang w:val="en-US" w:eastAsia="zh-CN"/>
                <w14:textFill>
                  <w14:solidFill>
                    <w14:schemeClr w14:val="tx1"/>
                  </w14:solidFill>
                </w14:textFill>
              </w:rPr>
              <w:t>①</w:t>
            </w:r>
            <w:r>
              <w:rPr>
                <w:rFonts w:hint="default" w:ascii="Times New Roman" w:hAnsi="Times New Roman" w:eastAsia="宋体"/>
                <w:color w:val="000000" w:themeColor="text1"/>
                <w:sz w:val="24"/>
                <w:szCs w:val="32"/>
                <w14:textFill>
                  <w14:solidFill>
                    <w14:schemeClr w14:val="tx1"/>
                  </w14:solidFill>
                </w14:textFill>
              </w:rPr>
              <w:t>工程占地对地表植被的破坏</w:t>
            </w:r>
          </w:p>
          <w:p>
            <w:pPr>
              <w:pageBreakBefore w:val="0"/>
              <w:kinsoku/>
              <w:bidi w:val="0"/>
              <w:spacing w:beforeAutospacing="0" w:afterAutospacing="0" w:line="360" w:lineRule="auto"/>
              <w:ind w:firstLine="480" w:firstLineChars="200"/>
              <w:rPr>
                <w:rFonts w:hint="default" w:ascii="Times New Roman" w:hAnsi="Times New Roman" w:eastAsia="宋体"/>
                <w:color w:val="000000" w:themeColor="text1"/>
                <w:sz w:val="24"/>
                <w:szCs w:val="32"/>
                <w14:textFill>
                  <w14:solidFill>
                    <w14:schemeClr w14:val="tx1"/>
                  </w14:solidFill>
                </w14:textFill>
              </w:rPr>
            </w:pPr>
            <w:r>
              <w:rPr>
                <w:rFonts w:hint="default" w:ascii="Times New Roman" w:hAnsi="Times New Roman" w:eastAsia="宋体"/>
                <w:color w:val="000000" w:themeColor="text1"/>
                <w:sz w:val="24"/>
                <w:szCs w:val="32"/>
                <w14:textFill>
                  <w14:solidFill>
                    <w14:schemeClr w14:val="tx1"/>
                  </w14:solidFill>
                </w14:textFill>
              </w:rPr>
              <w:t>本项目</w:t>
            </w:r>
            <w:r>
              <w:rPr>
                <w:rFonts w:hint="eastAsia" w:ascii="Times New Roman" w:hAnsi="Times New Roman" w:eastAsia="宋体"/>
                <w:color w:val="000000" w:themeColor="text1"/>
                <w:sz w:val="24"/>
                <w:szCs w:val="32"/>
                <w:lang w:val="en-US" w:eastAsia="zh-CN"/>
                <w14:textFill>
                  <w14:solidFill>
                    <w14:schemeClr w14:val="tx1"/>
                  </w14:solidFill>
                </w14:textFill>
              </w:rPr>
              <w:t>临时</w:t>
            </w:r>
            <w:r>
              <w:rPr>
                <w:rFonts w:hint="default" w:ascii="Times New Roman" w:hAnsi="Times New Roman" w:eastAsia="宋体"/>
                <w:color w:val="000000" w:themeColor="text1"/>
                <w:sz w:val="24"/>
                <w:szCs w:val="32"/>
                <w14:textFill>
                  <w14:solidFill>
                    <w14:schemeClr w14:val="tx1"/>
                  </w14:solidFill>
                </w14:textFill>
              </w:rPr>
              <w:t>占地主要为截水沟、</w:t>
            </w:r>
            <w:r>
              <w:rPr>
                <w:rFonts w:hint="eastAsia" w:ascii="Times New Roman" w:hAnsi="Times New Roman" w:eastAsia="宋体"/>
                <w:color w:val="000000" w:themeColor="text1"/>
                <w:sz w:val="24"/>
                <w:szCs w:val="32"/>
                <w:lang w:val="en-US" w:eastAsia="zh-CN"/>
                <w14:textFill>
                  <w14:solidFill>
                    <w14:schemeClr w14:val="tx1"/>
                  </w14:solidFill>
                </w14:textFill>
              </w:rPr>
              <w:t>配套加工生产区</w:t>
            </w:r>
            <w:r>
              <w:rPr>
                <w:rFonts w:hint="default" w:ascii="Times New Roman" w:hAnsi="Times New Roman" w:eastAsia="宋体"/>
                <w:color w:val="000000" w:themeColor="text1"/>
                <w:sz w:val="24"/>
                <w:szCs w:val="32"/>
                <w14:textFill>
                  <w14:solidFill>
                    <w14:schemeClr w14:val="tx1"/>
                  </w14:solidFill>
                </w14:textFill>
              </w:rPr>
              <w:t>基地建设占地，占地过程中会压覆一定量植被。根</w:t>
            </w:r>
            <w:r>
              <w:rPr>
                <w:rFonts w:hint="default" w:ascii="Times New Roman" w:hAnsi="Times New Roman" w:eastAsia="宋体"/>
                <w:color w:val="000000" w:themeColor="text1"/>
                <w:sz w:val="24"/>
                <w:szCs w:val="32"/>
                <w:lang w:val="zh-CN" w:eastAsia="zh-CN"/>
                <w14:textFill>
                  <w14:solidFill>
                    <w14:schemeClr w14:val="tx1"/>
                  </w14:solidFill>
                </w14:textFill>
              </w:rPr>
              <w:t>据现场调查</w:t>
            </w:r>
            <w:r>
              <w:rPr>
                <w:rFonts w:hint="default" w:ascii="Times New Roman" w:hAnsi="Times New Roman" w:eastAsia="宋体"/>
                <w:color w:val="000000" w:themeColor="text1"/>
                <w:sz w:val="24"/>
                <w:szCs w:val="32"/>
                <w14:textFill>
                  <w14:solidFill>
                    <w14:schemeClr w14:val="tx1"/>
                  </w14:solidFill>
                </w14:textFill>
              </w:rPr>
              <w:t>，占地涉及的植被类型主要为</w:t>
            </w:r>
            <w:r>
              <w:rPr>
                <w:rFonts w:hint="eastAsia" w:ascii="Times New Roman" w:hAnsi="Times New Roman" w:eastAsia="宋体"/>
                <w:color w:val="000000" w:themeColor="text1"/>
                <w:sz w:val="24"/>
                <w:szCs w:val="32"/>
                <w:lang w:val="en-US" w:eastAsia="zh-CN"/>
                <w14:textFill>
                  <w14:solidFill>
                    <w14:schemeClr w14:val="tx1"/>
                  </w14:solidFill>
                </w14:textFill>
              </w:rPr>
              <w:t>经济林、</w:t>
            </w:r>
            <w:r>
              <w:rPr>
                <w:rFonts w:hint="default" w:ascii="Times New Roman" w:hAnsi="Times New Roman" w:eastAsia="宋体"/>
                <w:color w:val="000000" w:themeColor="text1"/>
                <w:sz w:val="24"/>
                <w:szCs w:val="32"/>
                <w14:textFill>
                  <w14:solidFill>
                    <w14:schemeClr w14:val="tx1"/>
                  </w14:solidFill>
                </w14:textFill>
              </w:rPr>
              <w:t>灌丛和灌草丛。</w:t>
            </w:r>
            <w:r>
              <w:rPr>
                <w:rFonts w:hint="eastAsia" w:ascii="Times New Roman" w:hAnsi="Times New Roman" w:eastAsia="宋体"/>
                <w:color w:val="000000" w:themeColor="text1"/>
                <w:sz w:val="24"/>
                <w:szCs w:val="32"/>
                <w:lang w:val="en-US" w:eastAsia="zh-CN"/>
                <w14:textFill>
                  <w14:solidFill>
                    <w14:schemeClr w14:val="tx1"/>
                  </w14:solidFill>
                </w14:textFill>
              </w:rPr>
              <w:t>本次临时占地</w:t>
            </w:r>
            <w:r>
              <w:rPr>
                <w:rFonts w:hint="default" w:ascii="Times New Roman" w:hAnsi="Times New Roman" w:eastAsia="宋体"/>
                <w:color w:val="000000" w:themeColor="text1"/>
                <w:sz w:val="24"/>
                <w:szCs w:val="32"/>
                <w14:textFill>
                  <w14:solidFill>
                    <w14:schemeClr w14:val="tx1"/>
                  </w14:solidFill>
                </w14:textFill>
              </w:rPr>
              <w:t>遭破坏的植被面积与整个区域面积相比很小，不会导致区域生态系统的破坏和失衡。临时用地对植被影响随着施工期结束影响消失，且本项目施工期结束后对临时占地进行植被恢复，对地表植被的影响较小。</w:t>
            </w:r>
          </w:p>
          <w:p>
            <w:pPr>
              <w:pageBreakBefore w:val="0"/>
              <w:kinsoku/>
              <w:bidi w:val="0"/>
              <w:spacing w:beforeAutospacing="0" w:afterAutospacing="0" w:line="360" w:lineRule="auto"/>
              <w:ind w:firstLine="480" w:firstLineChars="200"/>
              <w:rPr>
                <w:rFonts w:hint="default" w:ascii="Times New Roman" w:hAnsi="Times New Roman" w:eastAsia="宋体"/>
                <w:color w:val="000000" w:themeColor="text1"/>
                <w:sz w:val="24"/>
                <w:szCs w:val="32"/>
                <w14:textFill>
                  <w14:solidFill>
                    <w14:schemeClr w14:val="tx1"/>
                  </w14:solidFill>
                </w14:textFill>
              </w:rPr>
            </w:pPr>
            <w:r>
              <w:rPr>
                <w:rFonts w:hint="eastAsia" w:ascii="Times New Roman" w:hAnsi="Times New Roman" w:eastAsia="宋体"/>
                <w:color w:val="000000" w:themeColor="text1"/>
                <w:sz w:val="24"/>
                <w:szCs w:val="32"/>
                <w:lang w:val="en-US" w:eastAsia="zh-CN"/>
                <w14:textFill>
                  <w14:solidFill>
                    <w14:schemeClr w14:val="tx1"/>
                  </w14:solidFill>
                </w14:textFill>
              </w:rPr>
              <w:t>②</w:t>
            </w:r>
            <w:r>
              <w:rPr>
                <w:rFonts w:hint="default" w:ascii="Times New Roman" w:hAnsi="Times New Roman" w:eastAsia="宋体"/>
                <w:color w:val="000000" w:themeColor="text1"/>
                <w:sz w:val="24"/>
                <w:szCs w:val="32"/>
                <w14:textFill>
                  <w14:solidFill>
                    <w14:schemeClr w14:val="tx1"/>
                  </w14:solidFill>
                </w14:textFill>
              </w:rPr>
              <w:t>施工对场地周围植物的影响</w:t>
            </w:r>
          </w:p>
          <w:p>
            <w:pPr>
              <w:pageBreakBefore w:val="0"/>
              <w:kinsoku/>
              <w:bidi w:val="0"/>
              <w:spacing w:beforeAutospacing="0" w:afterAutospacing="0" w:line="360" w:lineRule="auto"/>
              <w:ind w:firstLine="480" w:firstLineChars="200"/>
              <w:rPr>
                <w:rFonts w:hint="default" w:ascii="Times New Roman" w:hAnsi="Times New Roman" w:eastAsia="宋体"/>
                <w:color w:val="000000" w:themeColor="text1"/>
                <w:sz w:val="24"/>
                <w:szCs w:val="32"/>
                <w14:textFill>
                  <w14:solidFill>
                    <w14:schemeClr w14:val="tx1"/>
                  </w14:solidFill>
                </w14:textFill>
              </w:rPr>
            </w:pPr>
            <w:r>
              <w:rPr>
                <w:rFonts w:hint="eastAsia" w:ascii="Times New Roman" w:hAnsi="Times New Roman" w:eastAsia="宋体"/>
                <w:color w:val="000000" w:themeColor="text1"/>
                <w:sz w:val="24"/>
                <w:szCs w:val="32"/>
                <w:lang w:eastAsia="zh-CN"/>
                <w14:textFill>
                  <w14:solidFill>
                    <w14:schemeClr w14:val="tx1"/>
                  </w14:solidFill>
                </w14:textFill>
              </w:rPr>
              <w:t>本</w:t>
            </w:r>
            <w:r>
              <w:rPr>
                <w:rFonts w:hint="default" w:ascii="Times New Roman" w:hAnsi="Times New Roman" w:eastAsia="宋体"/>
                <w:color w:val="000000" w:themeColor="text1"/>
                <w:sz w:val="24"/>
                <w:szCs w:val="32"/>
                <w14:textFill>
                  <w14:solidFill>
                    <w14:schemeClr w14:val="tx1"/>
                  </w14:solidFill>
                </w14:textFill>
              </w:rPr>
              <w:t>项目施工过程中，泥土从露天采场、生产基地等地转运至临时表土堆场装卸作业过程中引起的石灰和水泥，会对周围植物的生长带来直接的影响。这些尘土降落到植物的叶面上，会堵塞毛孔，影响植物的光合作用，从而使之生长减缓甚至枯萎。石灰和水泥若被雨水冲刷渗入地下，还会导致土壤板结，影响植物根系对水分和矿物质的吸收。</w:t>
            </w:r>
          </w:p>
          <w:p>
            <w:pPr>
              <w:pageBreakBefore w:val="0"/>
              <w:kinsoku/>
              <w:bidi w:val="0"/>
              <w:spacing w:beforeAutospacing="0" w:afterAutospacing="0" w:line="360" w:lineRule="auto"/>
              <w:ind w:firstLine="480" w:firstLineChars="200"/>
              <w:rPr>
                <w:rFonts w:hint="default" w:ascii="Times New Roman" w:hAnsi="Times New Roman" w:eastAsia="宋体"/>
                <w:color w:val="000000" w:themeColor="text1"/>
                <w:sz w:val="24"/>
                <w:szCs w:val="32"/>
                <w14:textFill>
                  <w14:solidFill>
                    <w14:schemeClr w14:val="tx1"/>
                  </w14:solidFill>
                </w14:textFill>
              </w:rPr>
            </w:pPr>
            <w:r>
              <w:rPr>
                <w:rFonts w:hint="default" w:ascii="Times New Roman" w:hAnsi="Times New Roman" w:eastAsia="宋体"/>
                <w:color w:val="000000" w:themeColor="text1"/>
                <w:sz w:val="24"/>
                <w:szCs w:val="32"/>
                <w14:textFill>
                  <w14:solidFill>
                    <w14:schemeClr w14:val="tx1"/>
                  </w14:solidFill>
                </w14:textFill>
              </w:rPr>
              <w:t>另外，原材料的堆放、车辆漏油等还会污染土壤，从而间接影响植物的生长。随着施工的结束不再产生扬尘，情况会有所好转，但是这些影响将持续较长一段时间。因此，</w:t>
            </w:r>
            <w:r>
              <w:rPr>
                <w:rFonts w:hint="default" w:ascii="Times New Roman" w:hAnsi="Times New Roman" w:eastAsia="宋体"/>
                <w:color w:val="000000" w:themeColor="text1"/>
                <w:sz w:val="24"/>
                <w:szCs w:val="32"/>
                <w:lang w:val="en-US" w:eastAsia="zh-CN"/>
                <w14:textFill>
                  <w14:solidFill>
                    <w14:schemeClr w14:val="tx1"/>
                  </w14:solidFill>
                </w14:textFill>
              </w:rPr>
              <w:t>在</w:t>
            </w:r>
            <w:r>
              <w:rPr>
                <w:rFonts w:hint="default" w:ascii="Times New Roman" w:hAnsi="Times New Roman" w:eastAsia="宋体"/>
                <w:color w:val="000000" w:themeColor="text1"/>
                <w:sz w:val="24"/>
                <w:szCs w:val="32"/>
                <w14:textFill>
                  <w14:solidFill>
                    <w14:schemeClr w14:val="tx1"/>
                  </w14:solidFill>
                </w14:textFill>
              </w:rPr>
              <w:t>施工过程中，一定要处理好原材料和废弃材料的处理，运输车辆按照固定的路线行驶，将影响减小到最小的范围。</w:t>
            </w:r>
          </w:p>
          <w:p>
            <w:pPr>
              <w:pageBreakBefore w:val="0"/>
              <w:kinsoku/>
              <w:bidi w:val="0"/>
              <w:spacing w:beforeAutospacing="0" w:afterAutospacing="0" w:line="360" w:lineRule="auto"/>
              <w:ind w:firstLine="480" w:firstLineChars="200"/>
              <w:rPr>
                <w:rFonts w:hint="default" w:ascii="Times New Roman" w:hAnsi="Times New Roman" w:eastAsia="宋体"/>
                <w:color w:val="000000" w:themeColor="text1"/>
                <w:sz w:val="24"/>
                <w:szCs w:val="32"/>
                <w14:textFill>
                  <w14:solidFill>
                    <w14:schemeClr w14:val="tx1"/>
                  </w14:solidFill>
                </w14:textFill>
              </w:rPr>
            </w:pPr>
            <w:r>
              <w:rPr>
                <w:rFonts w:hint="default" w:ascii="Times New Roman" w:hAnsi="Times New Roman" w:eastAsia="宋体"/>
                <w:color w:val="000000" w:themeColor="text1"/>
                <w:sz w:val="24"/>
                <w:szCs w:val="32"/>
                <w14:textFill>
                  <w14:solidFill>
                    <w14:schemeClr w14:val="tx1"/>
                  </w14:solidFill>
                </w14:textFill>
              </w:rPr>
              <w:t>因此，在施工过程中，应加强废水、废气等污染控制管理，不让其污染周边环境。</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2" w:firstLineChars="200"/>
              <w:textAlignment w:val="auto"/>
              <w:outlineLvl w:val="9"/>
              <w:rPr>
                <w:rFonts w:hint="default" w:ascii="Times New Roman" w:hAnsi="Times New Roman" w:eastAsia="宋体"/>
                <w:b/>
                <w:bCs/>
                <w:color w:val="000000" w:themeColor="text1"/>
                <w:sz w:val="24"/>
                <w:szCs w:val="32"/>
                <w:lang w:val="en-US" w:eastAsia="zh-CN"/>
                <w14:textFill>
                  <w14:solidFill>
                    <w14:schemeClr w14:val="tx1"/>
                  </w14:solidFill>
                </w14:textFill>
              </w:rPr>
            </w:pPr>
            <w:r>
              <w:rPr>
                <w:rFonts w:hint="eastAsia" w:ascii="Times New Roman" w:hAnsi="Times New Roman" w:eastAsia="宋体"/>
                <w:b/>
                <w:bCs/>
                <w:color w:val="000000" w:themeColor="text1"/>
                <w:sz w:val="24"/>
                <w:szCs w:val="32"/>
                <w:lang w:val="en-US" w:eastAsia="zh-CN"/>
                <w14:textFill>
                  <w14:solidFill>
                    <w14:schemeClr w14:val="tx1"/>
                  </w14:solidFill>
                </w14:textFill>
              </w:rPr>
              <w:t>（3）</w:t>
            </w:r>
            <w:r>
              <w:rPr>
                <w:rFonts w:hint="default" w:ascii="Times New Roman" w:hAnsi="Times New Roman" w:eastAsia="宋体"/>
                <w:b/>
                <w:bCs/>
                <w:color w:val="000000" w:themeColor="text1"/>
                <w:sz w:val="24"/>
                <w:szCs w:val="32"/>
                <w:lang w:val="en-US" w:eastAsia="zh-CN"/>
                <w14:textFill>
                  <w14:solidFill>
                    <w14:schemeClr w14:val="tx1"/>
                  </w14:solidFill>
                </w14:textFill>
              </w:rPr>
              <w:t>海域生态影响</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firstLine="480" w:firstLineChars="200"/>
              <w:textAlignment w:val="auto"/>
              <w:rPr>
                <w:rFonts w:hint="eastAsia" w:ascii="Times New Roman" w:hAnsi="Times New Roman" w:eastAsia="宋体"/>
                <w:color w:val="000000" w:themeColor="text1"/>
                <w:sz w:val="24"/>
                <w:szCs w:val="32"/>
                <w:lang w:val="en-US" w:eastAsia="zh-CN"/>
                <w14:textFill>
                  <w14:solidFill>
                    <w14:schemeClr w14:val="tx1"/>
                  </w14:solidFill>
                </w14:textFill>
              </w:rPr>
            </w:pPr>
            <w:r>
              <w:rPr>
                <w:rFonts w:hint="eastAsia" w:ascii="Times New Roman" w:hAnsi="Times New Roman" w:eastAsia="宋体"/>
                <w:color w:val="000000" w:themeColor="text1"/>
                <w:sz w:val="24"/>
                <w:szCs w:val="32"/>
                <w:lang w:val="en-US" w:eastAsia="zh-CN"/>
                <w14:textFill>
                  <w14:solidFill>
                    <w14:schemeClr w14:val="tx1"/>
                  </w14:solidFill>
                </w14:textFill>
              </w:rPr>
              <w:t>根据《万成港口开发有限公司用地围填海生态评估报告》可知，本项目用海属于交通运输用海中的港口用海，项目主要为散货、杂货仓储运输为主，符合沙埕港区的发展定位和功能分工要求。本项目对临港工业的发展有着积极的促进作用，符合相关产业政策。填海过程严格遵守“先围后填”的原则，继续填海后，工程前沿更为顺直，有利于工程前沿海流的冲刷，对水流的阻力减小，且工程填方量较小，对周围流场和水动力环境影响不大。在工程建设期间悬浮泥沙对水质造成的影响也是短暂的且是可以恢复的，工程填海对周边海洋环境及生态影响不大，对渔业资源自然繁育空间影响很小。</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firstLine="480" w:firstLineChars="200"/>
              <w:textAlignment w:val="auto"/>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sz w:val="24"/>
                <w:szCs w:val="32"/>
                <w:lang w:val="en-US" w:eastAsia="zh-CN"/>
                <w14:textFill>
                  <w14:solidFill>
                    <w14:schemeClr w14:val="tx1"/>
                  </w14:solidFill>
                </w14:textFill>
              </w:rPr>
              <w:t>通过收集项目施工前后的数据对比分析可知，本项目已填部分工程实施对周边海域的水质环境影响不大，工程海域沉积物质量总体良好，围填海项目未对周边海域沉积物质量造成明显影响，未对周边海域生态环境造成明显影响。总体而言，本项目已填部分未对周边海域的生物生态环境产生明显影响，且可通过生态补偿措施进行修复。因此，本项目对周边海域生态影响较小。</w:t>
            </w:r>
          </w:p>
          <w:bookmarkEnd w:id="46"/>
          <w:bookmarkEnd w:id="47"/>
          <w:bookmarkEnd w:id="48"/>
          <w:bookmarkEnd w:id="49"/>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firstLine="480" w:firstLineChars="200"/>
              <w:textAlignment w:val="auto"/>
              <w:rPr>
                <w:rFonts w:hint="default"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sz w:val="24"/>
                <w:szCs w:val="32"/>
                <w:lang w:val="en-US" w:eastAsia="zh-CN"/>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76" w:hRule="atLeast"/>
          <w:jc w:val="center"/>
        </w:trPr>
        <w:tc>
          <w:tcPr>
            <w:tcW w:w="311" w:type="dxa"/>
            <w:tcMar>
              <w:left w:w="28" w:type="dxa"/>
              <w:right w:w="28" w:type="dxa"/>
            </w:tcMar>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运营</w:t>
            </w:r>
          </w:p>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期环</w:t>
            </w:r>
          </w:p>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境影</w:t>
            </w:r>
          </w:p>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响和</w:t>
            </w:r>
          </w:p>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保护</w:t>
            </w:r>
          </w:p>
          <w:p>
            <w:pPr>
              <w:pageBreakBefore w:val="0"/>
              <w:kinsoku/>
              <w:bidi w:val="0"/>
              <w:adjustRightInd w:val="0"/>
              <w:snapToGrid w:val="0"/>
              <w:spacing w:beforeAutospacing="0" w:afterAutospacing="0"/>
              <w:jc w:val="center"/>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lang w:val="en-US" w:eastAsia="zh-CN" w:bidi="ar-SA"/>
                <w14:textFill>
                  <w14:solidFill>
                    <w14:schemeClr w14:val="tx1"/>
                  </w14:solidFill>
                </w14:textFill>
              </w:rPr>
              <w:t>措施</w:t>
            </w:r>
          </w:p>
        </w:tc>
        <w:tc>
          <w:tcPr>
            <w:tcW w:w="8670" w:type="dxa"/>
            <w:vAlign w:val="center"/>
          </w:tcPr>
          <w:p>
            <w:pPr>
              <w:pStyle w:val="22"/>
              <w:pageBreakBefore w:val="0"/>
              <w:kinsoku/>
              <w:bidi w:val="0"/>
              <w:spacing w:beforeAutospacing="0" w:after="0" w:afterAutospacing="0" w:line="360" w:lineRule="auto"/>
              <w:ind w:left="0" w:leftChars="0"/>
              <w:jc w:val="left"/>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本项目码头装卸工艺简述：</w:t>
            </w:r>
          </w:p>
          <w:p>
            <w:pPr>
              <w:pStyle w:val="22"/>
              <w:pageBreakBefore w:val="0"/>
              <w:kinsoku/>
              <w:bidi w:val="0"/>
              <w:spacing w:beforeAutospacing="0" w:after="0" w:afterAutospacing="0" w:line="360" w:lineRule="auto"/>
              <w:ind w:left="0" w:leftChars="0"/>
              <w:jc w:val="left"/>
              <w:rPr>
                <w:rFonts w:hint="default" w:ascii="Times New Roman" w:hAnsi="Times New Roman" w:eastAsia="宋体"/>
                <w:b/>
                <w:bCs/>
                <w:color w:val="000000" w:themeColor="text1"/>
                <w:lang w:val="en-US" w:eastAsia="zh-CN"/>
                <w14:textFill>
                  <w14:solidFill>
                    <w14:schemeClr w14:val="tx1"/>
                  </w14:solidFill>
                </w14:textFill>
              </w:rPr>
            </w:pPr>
            <w:r>
              <w:rPr>
                <w:rFonts w:hint="eastAsia" w:ascii="Times New Roman" w:hAnsi="Times New Roman" w:eastAsia="宋体"/>
                <w:b/>
                <w:bCs/>
                <w:color w:val="000000" w:themeColor="text1"/>
                <w:lang w:val="en-US" w:eastAsia="zh-CN"/>
                <w14:textFill>
                  <w14:solidFill>
                    <w14:schemeClr w14:val="tx1"/>
                  </w14:solidFill>
                </w14:textFill>
              </w:rPr>
              <w:t>1、散货装卸</w:t>
            </w:r>
          </w:p>
          <w:p>
            <w:pPr>
              <w:pStyle w:val="22"/>
              <w:pageBreakBefore w:val="0"/>
              <w:kinsoku/>
              <w:bidi w:val="0"/>
              <w:spacing w:beforeAutospacing="0" w:after="0" w:afterAutospacing="0" w:line="360" w:lineRule="auto"/>
              <w:ind w:left="0" w:leftChars="0"/>
              <w:jc w:val="left"/>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通过船舶将</w:t>
            </w:r>
            <w:r>
              <w:rPr>
                <w:rFonts w:hint="eastAsia" w:ascii="Times New Roman" w:hAnsi="Times New Roman" w:eastAsia="宋体"/>
                <w:color w:val="000000" w:themeColor="text1"/>
                <w:lang w:val="en-US" w:eastAsia="zh-CN"/>
                <w14:textFill>
                  <w14:solidFill>
                    <w14:schemeClr w14:val="tx1"/>
                  </w14:solidFill>
                </w14:textFill>
              </w:rPr>
              <w:t>碎石、河砂及非金属矿石等材料</w:t>
            </w:r>
            <w:r>
              <w:rPr>
                <w:rFonts w:hint="default" w:ascii="Times New Roman" w:hAnsi="Times New Roman" w:eastAsia="宋体"/>
                <w:color w:val="000000" w:themeColor="text1"/>
                <w:lang w:val="en-US" w:eastAsia="zh-CN"/>
                <w14:textFill>
                  <w14:solidFill>
                    <w14:schemeClr w14:val="tx1"/>
                  </w14:solidFill>
                </w14:textFill>
              </w:rPr>
              <w:t>运入码头。</w:t>
            </w:r>
            <w:r>
              <w:rPr>
                <w:rFonts w:hint="eastAsia" w:ascii="Times New Roman" w:hAnsi="Times New Roman" w:eastAsia="宋体"/>
                <w:color w:val="000000" w:themeColor="text1"/>
                <w:lang w:val="en-US" w:eastAsia="zh-CN"/>
                <w14:textFill>
                  <w14:solidFill>
                    <w14:schemeClr w14:val="tx1"/>
                  </w14:solidFill>
                </w14:textFill>
              </w:rPr>
              <w:t>材料</w:t>
            </w:r>
            <w:r>
              <w:rPr>
                <w:rFonts w:hint="default" w:ascii="Times New Roman" w:hAnsi="Times New Roman" w:eastAsia="宋体"/>
                <w:color w:val="000000" w:themeColor="text1"/>
                <w:lang w:val="en-US" w:eastAsia="zh-CN"/>
                <w14:textFill>
                  <w14:solidFill>
                    <w14:schemeClr w14:val="tx1"/>
                  </w14:solidFill>
                </w14:textFill>
              </w:rPr>
              <w:t>通过</w:t>
            </w:r>
            <w:r>
              <w:rPr>
                <w:rFonts w:hint="eastAsia" w:ascii="Times New Roman" w:hAnsi="Times New Roman" w:eastAsia="宋体"/>
                <w:color w:val="000000" w:themeColor="text1"/>
                <w:lang w:val="en-US" w:eastAsia="zh-CN"/>
                <w14:textFill>
                  <w14:solidFill>
                    <w14:schemeClr w14:val="tx1"/>
                  </w14:solidFill>
                </w14:textFill>
              </w:rPr>
              <w:t>吊机</w:t>
            </w:r>
            <w:r>
              <w:rPr>
                <w:rFonts w:hint="default" w:ascii="Times New Roman" w:hAnsi="Times New Roman" w:eastAsia="宋体"/>
                <w:color w:val="000000" w:themeColor="text1"/>
                <w:lang w:val="en-US" w:eastAsia="zh-CN"/>
                <w14:textFill>
                  <w14:solidFill>
                    <w14:schemeClr w14:val="tx1"/>
                  </w14:solidFill>
                </w14:textFill>
              </w:rPr>
              <w:t>、抓斗等设备装入料斗，</w:t>
            </w:r>
            <w:r>
              <w:rPr>
                <w:rFonts w:hint="eastAsia" w:ascii="Times New Roman" w:hAnsi="Times New Roman" w:eastAsia="宋体"/>
                <w:color w:val="000000" w:themeColor="text1"/>
                <w:lang w:val="en-US" w:eastAsia="zh-CN"/>
                <w14:textFill>
                  <w14:solidFill>
                    <w14:schemeClr w14:val="tx1"/>
                  </w14:solidFill>
                </w14:textFill>
              </w:rPr>
              <w:t>部分</w:t>
            </w:r>
            <w:r>
              <w:rPr>
                <w:rFonts w:hint="default" w:ascii="Times New Roman" w:hAnsi="Times New Roman" w:eastAsia="宋体"/>
                <w:color w:val="000000" w:themeColor="text1"/>
                <w:lang w:val="en-US" w:eastAsia="zh-CN"/>
                <w14:textFill>
                  <w14:solidFill>
                    <w14:schemeClr w14:val="tx1"/>
                  </w14:solidFill>
                </w14:textFill>
              </w:rPr>
              <w:t>通过带式输送机或车辆输送至堆场</w:t>
            </w:r>
            <w:r>
              <w:rPr>
                <w:rFonts w:hint="eastAsia" w:ascii="Times New Roman" w:hAnsi="Times New Roman" w:eastAsia="宋体"/>
                <w:color w:val="000000" w:themeColor="text1"/>
                <w:lang w:val="en-US" w:eastAsia="zh-CN"/>
                <w14:textFill>
                  <w14:solidFill>
                    <w14:schemeClr w14:val="tx1"/>
                  </w14:solidFill>
                </w14:textFill>
              </w:rPr>
              <w:t>，另一部分则直接通过车辆外运，不在码头停留，</w:t>
            </w:r>
            <w:r>
              <w:rPr>
                <w:rFonts w:hint="default" w:ascii="Times New Roman" w:hAnsi="Times New Roman" w:eastAsia="宋体"/>
                <w:color w:val="000000" w:themeColor="text1"/>
                <w:lang w:val="en-US" w:eastAsia="zh-CN"/>
                <w14:textFill>
                  <w14:solidFill>
                    <w14:schemeClr w14:val="tx1"/>
                  </w14:solidFill>
                </w14:textFill>
              </w:rPr>
              <w:t>带式输送机外均安装防尘罩或用廊道进行封闭；车辆运输过程中均安装防尘罩，故该输送过程中无粉尘产生，仅转接点过程中产生粉尘。输送过程产生噪声。</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ascii="Times New Roman" w:hAnsi="Times New Roman" w:eastAsia="宋体"/>
                <w:b/>
                <w:color w:val="000000" w:themeColor="text1"/>
                <w:sz w:val="24"/>
                <w:szCs w:val="40"/>
                <w:highlight w:val="none"/>
                <w:lang w:val="en-US" w:eastAsia="zh-CN"/>
                <w14:textFill>
                  <w14:solidFill>
                    <w14:schemeClr w14:val="tx1"/>
                  </w14:solidFill>
                </w14:textFill>
              </w:rPr>
            </w:pPr>
            <w:r>
              <w:rPr>
                <w:rFonts w:hint="default" w:ascii="Times New Roman" w:hAnsi="Times New Roman" w:eastAsia="宋体"/>
                <w:b/>
                <w:color w:val="000000" w:themeColor="text1"/>
                <w:sz w:val="24"/>
                <w:szCs w:val="40"/>
                <w:highlight w:val="none"/>
                <w:lang w:val="en-US" w:eastAsia="zh-CN"/>
                <w14:textFill>
                  <w14:solidFill>
                    <w14:schemeClr w14:val="tx1"/>
                  </w14:solidFill>
                </w14:textFill>
              </w:rPr>
              <w:drawing>
                <wp:inline distT="0" distB="0" distL="114300" distR="114300">
                  <wp:extent cx="3609975" cy="3625215"/>
                  <wp:effectExtent l="0" t="0" r="9525" b="13335"/>
                  <wp:docPr id="34" name="图片 34" descr="散货装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散货装船"/>
                          <pic:cNvPicPr>
                            <a:picLocks noChangeAspect="1"/>
                          </pic:cNvPicPr>
                        </pic:nvPicPr>
                        <pic:blipFill>
                          <a:blip r:embed="rId23"/>
                          <a:srcRect l="20650" t="10390" r="12151" b="22128"/>
                          <a:stretch>
                            <a:fillRect/>
                          </a:stretch>
                        </pic:blipFill>
                        <pic:spPr>
                          <a:xfrm>
                            <a:off x="0" y="0"/>
                            <a:ext cx="3609975" cy="36252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b/>
                <w:color w:val="000000" w:themeColor="text1"/>
                <w:sz w:val="24"/>
                <w:szCs w:val="40"/>
                <w:highlight w:val="none"/>
                <w:lang w:val="en-US" w:eastAsia="zh-CN"/>
                <w14:textFill>
                  <w14:solidFill>
                    <w14:schemeClr w14:val="tx1"/>
                  </w14:solidFill>
                </w14:textFill>
              </w:rPr>
            </w:pPr>
            <w:r>
              <w:rPr>
                <w:rFonts w:hint="eastAsia" w:ascii="Times New Roman" w:hAnsi="Times New Roman" w:eastAsia="宋体"/>
                <w:b/>
                <w:color w:val="000000" w:themeColor="text1"/>
                <w:sz w:val="24"/>
                <w:szCs w:val="40"/>
                <w:highlight w:val="none"/>
                <w:lang w:val="en-US" w:eastAsia="zh-CN"/>
                <w14:textFill>
                  <w14:solidFill>
                    <w14:schemeClr w14:val="tx1"/>
                  </w14:solidFill>
                </w14:textFill>
              </w:rPr>
              <w:t>图4.6-1</w:t>
            </w:r>
            <w:r>
              <w:rPr>
                <w:rFonts w:ascii="Times New Roman" w:hAnsi="Times New Roman" w:eastAsia="宋体"/>
                <w:b/>
                <w:color w:val="000000" w:themeColor="text1"/>
                <w:sz w:val="24"/>
                <w:szCs w:val="40"/>
                <w:highlight w:val="none"/>
                <w14:textFill>
                  <w14:solidFill>
                    <w14:schemeClr w14:val="tx1"/>
                  </w14:solidFill>
                </w14:textFill>
              </w:rPr>
              <w:t xml:space="preserve"> </w:t>
            </w:r>
            <w:r>
              <w:rPr>
                <w:rFonts w:hint="eastAsia" w:ascii="Times New Roman" w:hAnsi="Times New Roman" w:eastAsia="宋体"/>
                <w:b/>
                <w:color w:val="000000" w:themeColor="text1"/>
                <w:sz w:val="24"/>
                <w:szCs w:val="40"/>
                <w:highlight w:val="none"/>
                <w:lang w:val="en-US" w:eastAsia="zh-CN"/>
                <w14:textFill>
                  <w14:solidFill>
                    <w14:schemeClr w14:val="tx1"/>
                  </w14:solidFill>
                </w14:textFill>
              </w:rPr>
              <w:t>散货装船工艺流程图</w:t>
            </w:r>
          </w:p>
          <w:p>
            <w:pPr>
              <w:pStyle w:val="10"/>
              <w:pageBreakBefore w:val="0"/>
              <w:kinsoku/>
              <w:bidi w:val="0"/>
              <w:spacing w:before="0" w:beforeAutospacing="0" w:after="0" w:afterAutospacing="0"/>
              <w:rPr>
                <w:rFonts w:hint="eastAsia" w:ascii="Times New Roman" w:hAnsi="Times New Roman" w:eastAsia="宋体"/>
                <w:b/>
                <w:color w:val="000000" w:themeColor="text1"/>
                <w:sz w:val="24"/>
                <w:szCs w:val="40"/>
                <w:highlight w:val="none"/>
                <w:lang w:val="en-US" w:eastAsia="zh-CN"/>
                <w14:textFill>
                  <w14:solidFill>
                    <w14:schemeClr w14:val="tx1"/>
                  </w14:solidFill>
                </w14:textFill>
              </w:rPr>
            </w:pPr>
          </w:p>
          <w:p>
            <w:pPr>
              <w:pageBreakBefore w:val="0"/>
              <w:kinsoku/>
              <w:bidi w:val="0"/>
              <w:spacing w:beforeAutospacing="0" w:afterAutospacing="0"/>
              <w:jc w:val="center"/>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drawing>
                <wp:inline distT="0" distB="0" distL="114300" distR="114300">
                  <wp:extent cx="3467100" cy="4584065"/>
                  <wp:effectExtent l="0" t="0" r="0" b="6985"/>
                  <wp:docPr id="37" name="图片 37" descr="散货卸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散货卸船"/>
                          <pic:cNvPicPr>
                            <a:picLocks noChangeAspect="1"/>
                          </pic:cNvPicPr>
                        </pic:nvPicPr>
                        <pic:blipFill>
                          <a:blip r:embed="rId24"/>
                          <a:srcRect l="21537" t="3605" r="13924" b="11064"/>
                          <a:stretch>
                            <a:fillRect/>
                          </a:stretch>
                        </pic:blipFill>
                        <pic:spPr>
                          <a:xfrm>
                            <a:off x="0" y="0"/>
                            <a:ext cx="3467100" cy="45840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b/>
                <w:color w:val="000000" w:themeColor="text1"/>
                <w:sz w:val="24"/>
                <w:szCs w:val="40"/>
                <w:highlight w:val="none"/>
                <w:lang w:val="en-US" w:eastAsia="zh-CN"/>
                <w14:textFill>
                  <w14:solidFill>
                    <w14:schemeClr w14:val="tx1"/>
                  </w14:solidFill>
                </w14:textFill>
              </w:rPr>
            </w:pPr>
            <w:r>
              <w:rPr>
                <w:rFonts w:hint="eastAsia" w:ascii="Times New Roman" w:hAnsi="Times New Roman" w:eastAsia="宋体"/>
                <w:b/>
                <w:color w:val="000000" w:themeColor="text1"/>
                <w:sz w:val="24"/>
                <w:szCs w:val="40"/>
                <w:highlight w:val="none"/>
                <w:lang w:val="en-US" w:eastAsia="zh-CN"/>
                <w14:textFill>
                  <w14:solidFill>
                    <w14:schemeClr w14:val="tx1"/>
                  </w14:solidFill>
                </w14:textFill>
              </w:rPr>
              <w:t>图4.6-2</w:t>
            </w:r>
            <w:r>
              <w:rPr>
                <w:rFonts w:ascii="Times New Roman" w:hAnsi="Times New Roman" w:eastAsia="宋体"/>
                <w:b/>
                <w:color w:val="000000" w:themeColor="text1"/>
                <w:sz w:val="24"/>
                <w:szCs w:val="40"/>
                <w:highlight w:val="none"/>
                <w14:textFill>
                  <w14:solidFill>
                    <w14:schemeClr w14:val="tx1"/>
                  </w14:solidFill>
                </w14:textFill>
              </w:rPr>
              <w:t xml:space="preserve"> </w:t>
            </w:r>
            <w:r>
              <w:rPr>
                <w:rFonts w:hint="eastAsia" w:ascii="Times New Roman" w:hAnsi="Times New Roman" w:eastAsia="宋体"/>
                <w:b/>
                <w:color w:val="000000" w:themeColor="text1"/>
                <w:sz w:val="24"/>
                <w:szCs w:val="40"/>
                <w:highlight w:val="none"/>
                <w:lang w:val="en-US" w:eastAsia="zh-CN"/>
                <w14:textFill>
                  <w14:solidFill>
                    <w14:schemeClr w14:val="tx1"/>
                  </w14:solidFill>
                </w14:textFill>
              </w:rPr>
              <w:t>散货卸船工艺流程图</w:t>
            </w:r>
          </w:p>
          <w:p>
            <w:pPr>
              <w:pStyle w:val="22"/>
              <w:pageBreakBefore w:val="0"/>
              <w:kinsoku/>
              <w:bidi w:val="0"/>
              <w:spacing w:beforeAutospacing="0" w:after="0" w:afterAutospacing="0" w:line="360" w:lineRule="auto"/>
              <w:ind w:left="0" w:leftChars="0"/>
              <w:jc w:val="left"/>
              <w:rPr>
                <w:rFonts w:hint="default" w:ascii="Times New Roman" w:hAnsi="Times New Roman" w:eastAsia="宋体"/>
                <w:b/>
                <w:bCs/>
                <w:color w:val="000000" w:themeColor="text1"/>
                <w:lang w:val="en-US" w:eastAsia="zh-CN"/>
                <w14:textFill>
                  <w14:solidFill>
                    <w14:schemeClr w14:val="tx1"/>
                  </w14:solidFill>
                </w14:textFill>
              </w:rPr>
            </w:pPr>
            <w:r>
              <w:rPr>
                <w:rFonts w:hint="eastAsia" w:ascii="Times New Roman" w:hAnsi="Times New Roman" w:eastAsia="宋体"/>
                <w:b/>
                <w:bCs/>
                <w:color w:val="000000" w:themeColor="text1"/>
                <w:lang w:val="en-US" w:eastAsia="zh-CN"/>
                <w14:textFill>
                  <w14:solidFill>
                    <w14:schemeClr w14:val="tx1"/>
                  </w14:solidFill>
                </w14:textFill>
              </w:rPr>
              <w:t>2、件杂货装卸</w:t>
            </w:r>
          </w:p>
          <w:p>
            <w:pPr>
              <w:pStyle w:val="22"/>
              <w:pageBreakBefore w:val="0"/>
              <w:kinsoku/>
              <w:bidi w:val="0"/>
              <w:spacing w:beforeAutospacing="0" w:after="0" w:afterAutospacing="0" w:line="360" w:lineRule="auto"/>
              <w:ind w:left="0" w:leftChars="0"/>
              <w:jc w:val="left"/>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件杂货主要为石板材、钢板，装卸过程除噪声外对</w:t>
            </w:r>
            <w:r>
              <w:rPr>
                <w:rFonts w:hint="eastAsia" w:ascii="Times New Roman" w:hAnsi="Times New Roman" w:eastAsia="宋体"/>
                <w:color w:val="000000" w:themeColor="text1"/>
                <w:lang w:val="en-US" w:eastAsia="zh-CN"/>
                <w14:textFill>
                  <w14:solidFill>
                    <w14:schemeClr w14:val="tx1"/>
                  </w14:solidFill>
                </w14:textFill>
              </w:rPr>
              <w:t>周边环境基本无影响</w:t>
            </w:r>
            <w:r>
              <w:rPr>
                <w:rFonts w:hint="eastAsia" w:ascii="Times New Roman" w:hAnsi="Times New Roman" w:eastAsia="宋体"/>
                <w:color w:val="000000" w:themeColor="text1"/>
                <w:lang w:val="en-US" w:eastAsia="zh-CN"/>
                <w14:textFill>
                  <w14:solidFill>
                    <w14:schemeClr w14:val="tx1"/>
                  </w14:solidFill>
                </w14:textFill>
              </w:rPr>
              <w:t>。</w:t>
            </w:r>
          </w:p>
          <w:p>
            <w:pPr>
              <w:pageBreakBefore w:val="0"/>
              <w:kinsoku/>
              <w:bidi w:val="0"/>
              <w:spacing w:beforeAutospacing="0" w:afterAutospacing="0"/>
              <w:jc w:val="center"/>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drawing>
                <wp:inline distT="0" distB="0" distL="114300" distR="114300">
                  <wp:extent cx="2895600" cy="4048125"/>
                  <wp:effectExtent l="0" t="0" r="0" b="9525"/>
                  <wp:docPr id="39" name="图片 39" descr="件杂货装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件杂货装卸"/>
                          <pic:cNvPicPr>
                            <a:picLocks noChangeAspect="1"/>
                          </pic:cNvPicPr>
                        </pic:nvPicPr>
                        <pic:blipFill>
                          <a:blip r:embed="rId25"/>
                          <a:srcRect l="22778" t="3511" r="23322" b="21135"/>
                          <a:stretch>
                            <a:fillRect/>
                          </a:stretch>
                        </pic:blipFill>
                        <pic:spPr>
                          <a:xfrm>
                            <a:off x="0" y="0"/>
                            <a:ext cx="2895600" cy="404812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ascii="Times New Roman" w:hAnsi="Times New Roman" w:eastAsia="宋体"/>
                <w:b/>
                <w:color w:val="000000" w:themeColor="text1"/>
                <w:sz w:val="24"/>
                <w:szCs w:val="40"/>
                <w:highlight w:val="none"/>
                <w:lang w:val="en-US" w:eastAsia="zh-CN"/>
                <w14:textFill>
                  <w14:solidFill>
                    <w14:schemeClr w14:val="tx1"/>
                  </w14:solidFill>
                </w14:textFill>
              </w:rPr>
            </w:pPr>
            <w:r>
              <w:rPr>
                <w:rFonts w:hint="eastAsia" w:ascii="Times New Roman" w:hAnsi="Times New Roman" w:eastAsia="宋体"/>
                <w:b/>
                <w:color w:val="000000" w:themeColor="text1"/>
                <w:sz w:val="24"/>
                <w:szCs w:val="40"/>
                <w:highlight w:val="none"/>
                <w:lang w:val="en-US" w:eastAsia="zh-CN"/>
                <w14:textFill>
                  <w14:solidFill>
                    <w14:schemeClr w14:val="tx1"/>
                  </w14:solidFill>
                </w14:textFill>
              </w:rPr>
              <w:t>图4.6-3</w:t>
            </w:r>
            <w:r>
              <w:rPr>
                <w:rFonts w:ascii="Times New Roman" w:hAnsi="Times New Roman" w:eastAsia="宋体"/>
                <w:b/>
                <w:color w:val="000000" w:themeColor="text1"/>
                <w:sz w:val="24"/>
                <w:szCs w:val="40"/>
                <w:highlight w:val="none"/>
                <w14:textFill>
                  <w14:solidFill>
                    <w14:schemeClr w14:val="tx1"/>
                  </w14:solidFill>
                </w14:textFill>
              </w:rPr>
              <w:t xml:space="preserve"> </w:t>
            </w:r>
            <w:r>
              <w:rPr>
                <w:rFonts w:hint="eastAsia" w:ascii="Times New Roman" w:hAnsi="Times New Roman" w:eastAsia="宋体"/>
                <w:b/>
                <w:color w:val="000000" w:themeColor="text1"/>
                <w:sz w:val="24"/>
                <w:szCs w:val="40"/>
                <w:highlight w:val="none"/>
                <w:lang w:val="en-US" w:eastAsia="zh-CN"/>
                <w14:textFill>
                  <w14:solidFill>
                    <w14:schemeClr w14:val="tx1"/>
                  </w14:solidFill>
                </w14:textFill>
              </w:rPr>
              <w:t>件杂货装卸工艺流程图</w:t>
            </w:r>
          </w:p>
          <w:p>
            <w:pPr>
              <w:pStyle w:val="22"/>
              <w:pageBreakBefore w:val="0"/>
              <w:kinsoku/>
              <w:bidi w:val="0"/>
              <w:spacing w:beforeAutospacing="0" w:after="0" w:afterAutospacing="0" w:line="360" w:lineRule="auto"/>
              <w:ind w:left="0" w:leftChars="0"/>
              <w:jc w:val="left"/>
              <w:rPr>
                <w:rFonts w:hint="eastAsia"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本项目运营期主要产污环节如下：</w:t>
            </w:r>
          </w:p>
          <w:p>
            <w:pPr>
              <w:pStyle w:val="22"/>
              <w:pageBreakBefore w:val="0"/>
              <w:kinsoku/>
              <w:bidi w:val="0"/>
              <w:spacing w:beforeAutospacing="0" w:after="0" w:afterAutospacing="0" w:line="360" w:lineRule="auto"/>
              <w:ind w:left="0" w:leftChars="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（1）生态影响：工程对海洋生态环境的影响。</w:t>
            </w:r>
          </w:p>
          <w:p>
            <w:pPr>
              <w:pStyle w:val="22"/>
              <w:pageBreakBefore w:val="0"/>
              <w:kinsoku/>
              <w:bidi w:val="0"/>
              <w:spacing w:beforeAutospacing="0" w:after="0" w:afterAutospacing="0" w:line="360" w:lineRule="auto"/>
              <w:ind w:left="0" w:leftChars="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（2）废气：码头卸料过程产生的粉尘，运输车辆及船舶产生的废气等。</w:t>
            </w:r>
          </w:p>
          <w:p>
            <w:pPr>
              <w:pStyle w:val="22"/>
              <w:pageBreakBefore w:val="0"/>
              <w:kinsoku/>
              <w:bidi w:val="0"/>
              <w:spacing w:beforeAutospacing="0" w:after="0" w:afterAutospacing="0" w:line="360" w:lineRule="auto"/>
              <w:ind w:left="0" w:leftChars="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（3）废水：码头生活污</w:t>
            </w:r>
            <w:r>
              <w:rPr>
                <w:rFonts w:hint="eastAsia" w:ascii="Times New Roman" w:hAnsi="Times New Roman" w:eastAsia="宋体" w:cs="Times New Roman"/>
                <w:color w:val="000000" w:themeColor="text1"/>
                <w:lang w:val="en-US" w:eastAsia="zh-CN"/>
                <w14:textFill>
                  <w14:solidFill>
                    <w14:schemeClr w14:val="tx1"/>
                  </w14:solidFill>
                </w14:textFill>
              </w:rPr>
              <w:t>、</w:t>
            </w:r>
            <w:r>
              <w:rPr>
                <w:rFonts w:hint="default" w:ascii="Times New Roman" w:hAnsi="Times New Roman" w:eastAsia="宋体" w:cs="Times New Roman"/>
                <w:color w:val="000000" w:themeColor="text1"/>
                <w:lang w:val="en-US" w:eastAsia="zh-CN"/>
                <w14:textFill>
                  <w14:solidFill>
                    <w14:schemeClr w14:val="tx1"/>
                  </w14:solidFill>
                </w14:textFill>
              </w:rPr>
              <w:t>水船舶舱底油污水、船舶生活污水。</w:t>
            </w:r>
          </w:p>
          <w:p>
            <w:pPr>
              <w:pStyle w:val="22"/>
              <w:pageBreakBefore w:val="0"/>
              <w:kinsoku/>
              <w:bidi w:val="0"/>
              <w:spacing w:beforeAutospacing="0" w:after="0" w:afterAutospacing="0" w:line="360" w:lineRule="auto"/>
              <w:ind w:left="0" w:leftChars="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（4）噪声：停靠码头的船舶噪声源、物流车辆的交通噪声及人工装卸噪声等。</w:t>
            </w:r>
          </w:p>
          <w:p>
            <w:pPr>
              <w:pStyle w:val="22"/>
              <w:pageBreakBefore w:val="0"/>
              <w:kinsoku/>
              <w:bidi w:val="0"/>
              <w:spacing w:beforeAutospacing="0" w:after="0" w:afterAutospacing="0" w:line="360" w:lineRule="auto"/>
              <w:ind w:left="0" w:leftChars="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lang w:val="en-US" w:eastAsia="zh-CN"/>
                <w14:textFill>
                  <w14:solidFill>
                    <w14:schemeClr w14:val="tx1"/>
                  </w14:solidFill>
                </w14:textFill>
              </w:rPr>
              <w:t>（5）固体废物：码头生活垃圾、船舶生活垃圾以及船舶含油垃圾。</w:t>
            </w:r>
          </w:p>
          <w:p>
            <w:pPr>
              <w:pStyle w:val="11"/>
              <w:pageBreakBefore w:val="0"/>
              <w:kinsoku/>
              <w:bidi w:val="0"/>
              <w:spacing w:beforeAutospacing="0" w:afterAutospacing="0"/>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4</w:t>
            </w:r>
            <w:r>
              <w:rPr>
                <w:rFonts w:hint="default" w:ascii="Times New Roman" w:hAnsi="Times New Roman" w:eastAsia="宋体"/>
                <w:color w:val="000000" w:themeColor="text1"/>
                <w:lang w:val="en-US" w:eastAsia="zh-CN"/>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6</w:t>
            </w:r>
            <w:r>
              <w:rPr>
                <w:rFonts w:hint="default" w:ascii="Times New Roman" w:hAnsi="Times New Roman" w:eastAsia="宋体"/>
                <w:color w:val="000000" w:themeColor="text1"/>
                <w:lang w:val="en-US" w:eastAsia="zh-CN"/>
                <w14:textFill>
                  <w14:solidFill>
                    <w14:schemeClr w14:val="tx1"/>
                  </w14:solidFill>
                </w14:textFill>
              </w:rPr>
              <w:t>生态环境影响分析</w:t>
            </w:r>
          </w:p>
          <w:p>
            <w:pPr>
              <w:pStyle w:val="22"/>
              <w:pageBreakBefore w:val="0"/>
              <w:kinsoku/>
              <w:bidi w:val="0"/>
              <w:spacing w:beforeAutospacing="0" w:after="0" w:afterAutospacing="0" w:line="360" w:lineRule="auto"/>
              <w:ind w:left="0" w:leftChars="0"/>
              <w:jc w:val="left"/>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（1）</w:t>
            </w:r>
            <w:r>
              <w:rPr>
                <w:rFonts w:hint="default" w:ascii="Times New Roman" w:hAnsi="Times New Roman" w:eastAsia="宋体"/>
                <w:color w:val="000000" w:themeColor="text1"/>
                <w:lang w:val="en-US" w:eastAsia="zh-CN"/>
                <w14:textFill>
                  <w14:solidFill>
                    <w14:schemeClr w14:val="tx1"/>
                  </w14:solidFill>
                </w14:textFill>
              </w:rPr>
              <w:t>对水域水质及水生生物的影响</w:t>
            </w:r>
          </w:p>
          <w:p>
            <w:pPr>
              <w:pStyle w:val="22"/>
              <w:pageBreakBefore w:val="0"/>
              <w:kinsoku/>
              <w:bidi w:val="0"/>
              <w:spacing w:beforeAutospacing="0" w:after="0" w:afterAutospacing="0" w:line="360" w:lineRule="auto"/>
              <w:ind w:left="0" w:leftChars="0"/>
              <w:jc w:val="left"/>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本项目不设置船舶含油废水处理设施，项目不接收船舶生活污水和含油水，船舶生活污水和含油污水均由船舶自行处理，不在本次评价范围内。运营期的水污染源主要为生活污水、初期雨水。生活污水经过三级化粪池处理后</w:t>
            </w:r>
            <w:r>
              <w:rPr>
                <w:rFonts w:hint="eastAsia" w:ascii="Times New Roman" w:hAnsi="Times New Roman" w:eastAsia="宋体"/>
                <w:color w:val="000000" w:themeColor="text1"/>
                <w:lang w:val="en-US" w:eastAsia="zh-CN"/>
                <w14:textFill>
                  <w14:solidFill>
                    <w14:schemeClr w14:val="tx1"/>
                  </w14:solidFill>
                </w14:textFill>
              </w:rPr>
              <w:t>由槽罐车运输至福鼎市白琳镇污水处理站处理</w:t>
            </w:r>
            <w:r>
              <w:rPr>
                <w:rFonts w:hint="default" w:ascii="Times New Roman" w:hAnsi="Times New Roman" w:eastAsia="宋体"/>
                <w:color w:val="000000" w:themeColor="text1"/>
                <w:lang w:val="en-US" w:eastAsia="zh-CN"/>
                <w14:textFill>
                  <w14:solidFill>
                    <w14:schemeClr w14:val="tx1"/>
                  </w14:solidFill>
                </w14:textFill>
              </w:rPr>
              <w:t>；初期雨水经初期雨水池处理后回用于场地洒水抑尘用水。抑尘用水自行蒸发。通过上述措施后</w:t>
            </w:r>
            <w:r>
              <w:rPr>
                <w:rFonts w:hint="eastAsia" w:ascii="Times New Roman" w:hAnsi="Times New Roman" w:eastAsia="宋体"/>
                <w:color w:val="000000" w:themeColor="text1"/>
                <w:lang w:val="en-US" w:eastAsia="zh-CN"/>
                <w14:textFill>
                  <w14:solidFill>
                    <w14:schemeClr w14:val="tx1"/>
                  </w14:solidFill>
                </w14:textFill>
              </w:rPr>
              <w:t>，</w:t>
            </w:r>
            <w:r>
              <w:rPr>
                <w:rFonts w:hint="default" w:ascii="Times New Roman" w:hAnsi="Times New Roman" w:eastAsia="宋体"/>
                <w:color w:val="000000" w:themeColor="text1"/>
                <w:lang w:val="en-US" w:eastAsia="zh-CN"/>
                <w14:textFill>
                  <w14:solidFill>
                    <w14:schemeClr w14:val="tx1"/>
                  </w14:solidFill>
                </w14:textFill>
              </w:rPr>
              <w:t>项目码头</w:t>
            </w:r>
            <w:r>
              <w:rPr>
                <w:rFonts w:hint="eastAsia" w:ascii="Times New Roman" w:hAnsi="Times New Roman" w:eastAsia="宋体"/>
                <w:color w:val="000000" w:themeColor="text1"/>
                <w:lang w:val="en-US" w:eastAsia="zh-CN"/>
                <w14:textFill>
                  <w14:solidFill>
                    <w14:schemeClr w14:val="tx1"/>
                  </w14:solidFill>
                </w14:textFill>
              </w:rPr>
              <w:t>基本</w:t>
            </w:r>
            <w:r>
              <w:rPr>
                <w:rFonts w:hint="default" w:ascii="Times New Roman" w:hAnsi="Times New Roman" w:eastAsia="宋体"/>
                <w:color w:val="000000" w:themeColor="text1"/>
                <w:lang w:val="en-US" w:eastAsia="zh-CN"/>
                <w14:textFill>
                  <w14:solidFill>
                    <w14:schemeClr w14:val="tx1"/>
                  </w14:solidFill>
                </w14:textFill>
              </w:rPr>
              <w:t>不会对水域水质及水生生物产生影响。</w:t>
            </w:r>
          </w:p>
          <w:p>
            <w:pPr>
              <w:pStyle w:val="22"/>
              <w:pageBreakBefore w:val="0"/>
              <w:kinsoku/>
              <w:bidi w:val="0"/>
              <w:spacing w:beforeAutospacing="0" w:after="0" w:afterAutospacing="0" w:line="360" w:lineRule="auto"/>
              <w:ind w:left="0" w:leftChars="0"/>
              <w:jc w:val="left"/>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（2）</w:t>
            </w:r>
            <w:r>
              <w:rPr>
                <w:rFonts w:hint="default" w:ascii="Times New Roman" w:hAnsi="Times New Roman" w:eastAsia="宋体"/>
                <w:color w:val="000000" w:themeColor="text1"/>
                <w:lang w:val="en-US" w:eastAsia="zh-CN"/>
                <w14:textFill>
                  <w14:solidFill>
                    <w14:schemeClr w14:val="tx1"/>
                  </w14:solidFill>
                </w14:textFill>
              </w:rPr>
              <w:t>码头结构对鱼类的影响</w:t>
            </w:r>
          </w:p>
          <w:p>
            <w:pPr>
              <w:pStyle w:val="22"/>
              <w:pageBreakBefore w:val="0"/>
              <w:kinsoku/>
              <w:bidi w:val="0"/>
              <w:spacing w:beforeAutospacing="0" w:after="0" w:afterAutospacing="0" w:line="360" w:lineRule="auto"/>
              <w:ind w:left="0" w:leftChars="0"/>
              <w:jc w:val="left"/>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项目码头所在</w:t>
            </w:r>
            <w:r>
              <w:rPr>
                <w:rFonts w:hint="eastAsia" w:ascii="Times New Roman" w:hAnsi="Times New Roman" w:eastAsia="宋体"/>
                <w:color w:val="000000" w:themeColor="text1"/>
                <w:lang w:val="en-US" w:eastAsia="zh-CN"/>
                <w14:textFill>
                  <w14:solidFill>
                    <w14:schemeClr w14:val="tx1"/>
                  </w14:solidFill>
                </w14:textFill>
              </w:rPr>
              <w:t>的</w:t>
            </w:r>
            <w:r>
              <w:rPr>
                <w:rFonts w:hint="default" w:ascii="Times New Roman" w:hAnsi="Times New Roman" w:eastAsia="宋体"/>
                <w:color w:val="000000" w:themeColor="text1"/>
                <w:lang w:val="en-US" w:eastAsia="zh-CN"/>
                <w14:textFill>
                  <w14:solidFill>
                    <w14:schemeClr w14:val="tx1"/>
                  </w14:solidFill>
                </w14:textFill>
              </w:rPr>
              <w:t>河段为非渔业水域，因此项目周边不存在鱼类</w:t>
            </w:r>
            <w:r>
              <w:rPr>
                <w:rFonts w:hint="eastAsia" w:ascii="Times New Roman" w:hAnsi="Times New Roman" w:eastAsia="宋体"/>
                <w:color w:val="000000" w:themeColor="text1"/>
                <w:lang w:val="en-US" w:eastAsia="zh-CN"/>
                <w14:textFill>
                  <w14:solidFill>
                    <w14:schemeClr w14:val="tx1"/>
                  </w14:solidFill>
                </w14:textFill>
              </w:rPr>
              <w:t>“</w:t>
            </w:r>
            <w:r>
              <w:rPr>
                <w:rFonts w:hint="default" w:ascii="Times New Roman" w:hAnsi="Times New Roman" w:eastAsia="宋体"/>
                <w:color w:val="000000" w:themeColor="text1"/>
                <w:lang w:val="en-US" w:eastAsia="zh-CN"/>
                <w14:textFill>
                  <w14:solidFill>
                    <w14:schemeClr w14:val="tx1"/>
                  </w14:solidFill>
                </w14:textFill>
              </w:rPr>
              <w:t>三场</w:t>
            </w:r>
            <w:r>
              <w:rPr>
                <w:rFonts w:hint="eastAsia" w:ascii="Times New Roman" w:hAnsi="Times New Roman" w:eastAsia="宋体"/>
                <w:color w:val="000000" w:themeColor="text1"/>
                <w:lang w:val="en-US" w:eastAsia="zh-CN"/>
                <w14:textFill>
                  <w14:solidFill>
                    <w14:schemeClr w14:val="tx1"/>
                  </w14:solidFill>
                </w14:textFill>
              </w:rPr>
              <w:t>”</w:t>
            </w:r>
            <w:r>
              <w:rPr>
                <w:rFonts w:hint="default" w:ascii="Times New Roman" w:hAnsi="Times New Roman" w:eastAsia="宋体"/>
                <w:color w:val="000000" w:themeColor="text1"/>
                <w:lang w:val="en-US" w:eastAsia="zh-CN"/>
                <w14:textFill>
                  <w14:solidFill>
                    <w14:schemeClr w14:val="tx1"/>
                  </w14:solidFill>
                </w14:textFill>
              </w:rPr>
              <w:t>，且由于码头、平台均采用透空式高桩梁板式结构，鱼类仍可在平台下面游动。因此，项目码头对鱼类的影响较小。</w:t>
            </w:r>
          </w:p>
          <w:p>
            <w:pPr>
              <w:pStyle w:val="22"/>
              <w:pageBreakBefore w:val="0"/>
              <w:kinsoku/>
              <w:bidi w:val="0"/>
              <w:spacing w:beforeAutospacing="0" w:after="0" w:afterAutospacing="0" w:line="360" w:lineRule="auto"/>
              <w:ind w:left="0" w:leftChars="0"/>
              <w:jc w:val="left"/>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（3）</w:t>
            </w:r>
            <w:r>
              <w:rPr>
                <w:rFonts w:hint="default" w:ascii="Times New Roman" w:hAnsi="Times New Roman" w:eastAsia="宋体"/>
                <w:color w:val="000000" w:themeColor="text1"/>
                <w:lang w:val="en-US" w:eastAsia="zh-CN"/>
                <w14:textFill>
                  <w14:solidFill>
                    <w14:schemeClr w14:val="tx1"/>
                  </w14:solidFill>
                </w14:textFill>
              </w:rPr>
              <w:t>清淤工程影响分析</w:t>
            </w:r>
          </w:p>
          <w:p>
            <w:pPr>
              <w:pStyle w:val="22"/>
              <w:pageBreakBefore w:val="0"/>
              <w:kinsoku/>
              <w:bidi w:val="0"/>
              <w:spacing w:beforeAutospacing="0" w:after="0" w:afterAutospacing="0" w:line="360" w:lineRule="auto"/>
              <w:ind w:left="0" w:leftChars="0"/>
              <w:jc w:val="left"/>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项目</w:t>
            </w:r>
            <w:r>
              <w:rPr>
                <w:rFonts w:hint="eastAsia" w:ascii="Times New Roman" w:hAnsi="Times New Roman" w:eastAsia="宋体"/>
                <w:color w:val="000000" w:themeColor="text1"/>
                <w:lang w:val="en-US" w:eastAsia="zh-CN"/>
                <w14:textFill>
                  <w14:solidFill>
                    <w14:schemeClr w14:val="tx1"/>
                  </w14:solidFill>
                </w14:textFill>
              </w:rPr>
              <w:t>所在</w:t>
            </w:r>
            <w:r>
              <w:rPr>
                <w:rFonts w:hint="default" w:ascii="Times New Roman" w:hAnsi="Times New Roman" w:eastAsia="宋体"/>
                <w:color w:val="000000" w:themeColor="text1"/>
                <w:lang w:val="en-US" w:eastAsia="zh-CN"/>
                <w14:textFill>
                  <w14:solidFill>
                    <w14:schemeClr w14:val="tx1"/>
                  </w14:solidFill>
                </w14:textFill>
              </w:rPr>
              <w:t>河段河面较宽，水流速度较快，同时本工程为顺岸式码头，对水体影响较小，因此本河段不容易发生淤积。</w:t>
            </w:r>
          </w:p>
          <w:p>
            <w:pPr>
              <w:pStyle w:val="22"/>
              <w:pageBreakBefore w:val="0"/>
              <w:kinsoku/>
              <w:bidi w:val="0"/>
              <w:spacing w:beforeAutospacing="0" w:after="0" w:afterAutospacing="0" w:line="360" w:lineRule="auto"/>
              <w:ind w:left="0" w:leftChars="0"/>
              <w:jc w:val="left"/>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项目清淤工程</w:t>
            </w:r>
            <w:r>
              <w:rPr>
                <w:rFonts w:hint="eastAsia" w:ascii="Times New Roman" w:hAnsi="Times New Roman" w:eastAsia="宋体"/>
                <w:color w:val="000000" w:themeColor="text1"/>
                <w:lang w:val="en-US" w:eastAsia="zh-CN"/>
                <w14:textFill>
                  <w14:solidFill>
                    <w14:schemeClr w14:val="tx1"/>
                  </w14:solidFill>
                </w14:textFill>
              </w:rPr>
              <w:t>采取</w:t>
            </w:r>
            <w:r>
              <w:rPr>
                <w:rFonts w:hint="default" w:ascii="Times New Roman" w:hAnsi="Times New Roman" w:eastAsia="宋体"/>
                <w:color w:val="000000" w:themeColor="text1"/>
                <w:lang w:val="en-US" w:eastAsia="zh-CN"/>
                <w14:textFill>
                  <w14:solidFill>
                    <w14:schemeClr w14:val="tx1"/>
                  </w14:solidFill>
                </w14:textFill>
              </w:rPr>
              <w:t>计划性港池疏浚，周期为五年一次。施工泥浆扩散增加局部水体的浑浊度，降低透光率，阻碍浮游植物的光合作用，降低单位水体内浮游植物的数量，最终导致附近水域初级生产力水平的下降；同时可能打破靠光线强弱而进行垂直迁移的某些浮游动物的生活规律。由于某些滤食浮游动物只有分辨颗粒大小的能力，因此只要粒径合适就可能摄入体内，如果摄入的是泥沙，动物有可能饥饿而死亡；悬浮物还会刺激动物，使之难以在附近水域栖身而逃离现场，因此有可能使附近水域内生物的种类和数量减少。</w:t>
            </w:r>
          </w:p>
          <w:p>
            <w:pPr>
              <w:pStyle w:val="22"/>
              <w:pageBreakBefore w:val="0"/>
              <w:kinsoku/>
              <w:bidi w:val="0"/>
              <w:spacing w:beforeAutospacing="0" w:after="0" w:afterAutospacing="0" w:line="360" w:lineRule="auto"/>
              <w:ind w:left="0" w:leftChars="0"/>
              <w:jc w:val="left"/>
              <w:rPr>
                <w:rFonts w:hint="eastAsia"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尽管施工所在河段水体中悬浮物的增加会对水生生态尤其是浮游生物</w:t>
            </w:r>
            <w:r>
              <w:rPr>
                <w:rFonts w:hint="eastAsia" w:ascii="Times New Roman" w:hAnsi="Times New Roman" w:eastAsia="宋体"/>
                <w:color w:val="000000" w:themeColor="text1"/>
                <w:lang w:val="en-US" w:eastAsia="zh-CN"/>
                <w14:textFill>
                  <w14:solidFill>
                    <w14:schemeClr w14:val="tx1"/>
                  </w14:solidFill>
                </w14:textFill>
              </w:rPr>
              <w:t>产生</w:t>
            </w:r>
            <w:r>
              <w:rPr>
                <w:rFonts w:hint="default" w:ascii="Times New Roman" w:hAnsi="Times New Roman" w:eastAsia="宋体"/>
                <w:color w:val="000000" w:themeColor="text1"/>
                <w:lang w:val="en-US" w:eastAsia="zh-CN"/>
                <w14:textFill>
                  <w14:solidFill>
                    <w14:schemeClr w14:val="tx1"/>
                  </w14:solidFill>
                </w14:textFill>
              </w:rPr>
              <w:t>一定的影响，但由于营运期维护性疏浚作业时间较短，且每五年一次，避免3月至8月鱼虾等水生动物的产卵季。因此，营运期维护性清淤作业对环境的这种影响是暂时的、局部的。当清淤结束后，水体浑浊将逐渐消失，水质将逐渐恢复。根据资料表明，浮游生物的重新建立所需时间较短，一般只需几周时间。施工作业属于短期行为，施工结束后，水生生物将在一定的时间内得以恢复。同时，由于本码头施工</w:t>
            </w:r>
            <w:r>
              <w:rPr>
                <w:rFonts w:hint="eastAsia" w:ascii="Times New Roman" w:hAnsi="Times New Roman" w:eastAsia="宋体"/>
                <w:color w:val="000000" w:themeColor="text1"/>
                <w:lang w:val="en-US" w:eastAsia="zh-CN"/>
                <w14:textFill>
                  <w14:solidFill>
                    <w14:schemeClr w14:val="tx1"/>
                  </w14:solidFill>
                </w14:textFill>
              </w:rPr>
              <w:t>面积</w:t>
            </w:r>
            <w:r>
              <w:rPr>
                <w:rFonts w:hint="default" w:ascii="Times New Roman" w:hAnsi="Times New Roman" w:eastAsia="宋体"/>
                <w:color w:val="000000" w:themeColor="text1"/>
                <w:lang w:val="en-US" w:eastAsia="zh-CN"/>
                <w14:textFill>
                  <w14:solidFill>
                    <w14:schemeClr w14:val="tx1"/>
                  </w14:solidFill>
                </w14:textFill>
              </w:rPr>
              <w:t>较小，施工活动对水体的扰动影响有限，不会根本改变水生生物的生境，不足以对生态系统产生明显影响</w:t>
            </w:r>
            <w:r>
              <w:rPr>
                <w:rFonts w:hint="eastAsia" w:ascii="Times New Roman" w:hAnsi="Times New Roman" w:eastAsia="宋体"/>
                <w:color w:val="000000" w:themeColor="text1"/>
                <w:lang w:val="en-US" w:eastAsia="zh-CN"/>
                <w14:textFill>
                  <w14:solidFill>
                    <w14:schemeClr w14:val="tx1"/>
                  </w14:solidFill>
                </w14:textFill>
              </w:rPr>
              <w:t>。</w:t>
            </w:r>
          </w:p>
          <w:p>
            <w:pPr>
              <w:pStyle w:val="11"/>
              <w:pageBreakBefore w:val="0"/>
              <w:kinsoku/>
              <w:bidi w:val="0"/>
              <w:spacing w:beforeAutospacing="0" w:afterAutospacing="0"/>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4</w:t>
            </w:r>
            <w:r>
              <w:rPr>
                <w:rFonts w:hint="default" w:ascii="Times New Roman" w:hAnsi="Times New Roman" w:eastAsia="宋体"/>
                <w:color w:val="000000" w:themeColor="text1"/>
                <w:lang w:val="en-US" w:eastAsia="zh-CN"/>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7运营期水</w:t>
            </w:r>
            <w:r>
              <w:rPr>
                <w:rFonts w:hint="default" w:ascii="Times New Roman" w:hAnsi="Times New Roman" w:eastAsia="宋体"/>
                <w:color w:val="000000" w:themeColor="text1"/>
                <w:lang w:val="en-US" w:eastAsia="zh-CN"/>
                <w14:textFill>
                  <w14:solidFill>
                    <w14:schemeClr w14:val="tx1"/>
                  </w14:solidFill>
                </w14:textFill>
              </w:rPr>
              <w:t>环境影响分析</w:t>
            </w:r>
          </w:p>
          <w:p>
            <w:pPr>
              <w:pStyle w:val="22"/>
              <w:pageBreakBefore w:val="0"/>
              <w:kinsoku/>
              <w:bidi w:val="0"/>
              <w:spacing w:beforeAutospacing="0" w:after="0" w:afterAutospacing="0" w:line="360" w:lineRule="auto"/>
              <w:ind w:left="0" w:leftChars="0"/>
              <w:jc w:val="left"/>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4"/>
                <w:szCs w:val="20"/>
                <w:lang w:val="en-US" w:eastAsia="zh-CN" w:bidi="ar-SA"/>
                <w14:textFill>
                  <w14:solidFill>
                    <w14:schemeClr w14:val="tx1"/>
                  </w14:solidFill>
                </w14:textFill>
              </w:rPr>
              <w:t>本项目不设置船舶含油废水处理设施，项目不接收船舶生活污水和含油污水，船舶生活污水和含油污水均由船舶自行处理，不在本次评价范围内。运营期的水污染源主要为生活污水、初期雨水</w:t>
            </w:r>
            <w:r>
              <w:rPr>
                <w:rFonts w:hint="eastAsia" w:ascii="Times New Roman" w:hAnsi="Times New Roman" w:eastAsia="宋体" w:cs="Times New Roman"/>
                <w:color w:val="000000" w:themeColor="text1"/>
                <w:kern w:val="0"/>
                <w:sz w:val="24"/>
                <w:szCs w:val="20"/>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u w:val="none" w:color="auto"/>
                <w:shd w:val="clear" w:color="auto" w:fill="auto"/>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color="auto"/>
                <w:shd w:val="clear" w:color="auto" w:fill="auto"/>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color="auto"/>
                <w:shd w:val="clear" w:color="auto" w:fill="auto"/>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u w:val="none" w:color="auto"/>
                <w:shd w:val="clear" w:color="auto" w:fill="auto"/>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u w:val="none" w:color="auto"/>
                <w:shd w:val="clear" w:color="auto" w:fill="auto"/>
                <w14:textFill>
                  <w14:solidFill>
                    <w14:schemeClr w14:val="tx1"/>
                  </w14:solidFill>
                </w14:textFill>
              </w:rPr>
              <w:t>生活污水</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u w:val="none" w:color="auto"/>
                <w:shd w:val="clear" w:color="auto" w:fill="auto"/>
                <w14:textFill>
                  <w14:solidFill>
                    <w14:schemeClr w14:val="tx1"/>
                  </w14:solidFill>
                </w14:textFill>
              </w:rPr>
            </w:pPr>
            <w:r>
              <w:rPr>
                <w:rFonts w:hint="eastAsia" w:ascii="Times New Roman" w:hAnsi="Times New Roman" w:eastAsia="宋体" w:cs="Times New Roman"/>
                <w:color w:val="000000" w:themeColor="text1"/>
                <w:sz w:val="24"/>
                <w:szCs w:val="24"/>
                <w:highlight w:val="none"/>
                <w:u w:val="none" w:color="auto"/>
                <w:shd w:val="clear" w:color="auto" w:fill="auto"/>
                <w14:textFill>
                  <w14:solidFill>
                    <w14:schemeClr w14:val="tx1"/>
                  </w14:solidFill>
                </w14:textFill>
              </w:rPr>
              <w:t>项目职工20人，均不在厂内食宿，年工作时间为330天。根据《给水排水标准规范实施手册》中的指标计算，员工每天生活用水量按</w:t>
            </w:r>
            <w:r>
              <w:rPr>
                <w:rFonts w:hint="default" w:ascii="Times New Roman" w:hAnsi="Times New Roman" w:eastAsia="宋体" w:cs="Times New Roman"/>
                <w:color w:val="000000" w:themeColor="text1"/>
                <w:sz w:val="24"/>
                <w:szCs w:val="24"/>
                <w:highlight w:val="none"/>
                <w:u w:val="none" w:color="auto"/>
                <w:shd w:val="clear" w:color="auto" w:fill="auto"/>
                <w14:textFill>
                  <w14:solidFill>
                    <w14:schemeClr w14:val="tx1"/>
                  </w14:solidFill>
                </w14:textFill>
              </w:rPr>
              <w:t>50L/</w:t>
            </w:r>
            <w:r>
              <w:rPr>
                <w:rFonts w:hint="eastAsia" w:ascii="Times New Roman" w:hAnsi="Times New Roman" w:eastAsia="宋体" w:cs="Times New Roman"/>
                <w:color w:val="000000" w:themeColor="text1"/>
                <w:sz w:val="24"/>
                <w:szCs w:val="24"/>
                <w:highlight w:val="none"/>
                <w:u w:val="none" w:color="auto"/>
                <w:shd w:val="clear" w:color="auto" w:fill="auto"/>
                <w14:textFill>
                  <w14:solidFill>
                    <w14:schemeClr w14:val="tx1"/>
                  </w14:solidFill>
                </w14:textFill>
              </w:rPr>
              <w:t>人</w:t>
            </w:r>
            <w:r>
              <w:rPr>
                <w:rFonts w:hint="default" w:ascii="Times New Roman" w:hAnsi="Times New Roman" w:eastAsia="宋体" w:cs="Times New Roman"/>
                <w:color w:val="000000" w:themeColor="text1"/>
                <w:sz w:val="24"/>
                <w:szCs w:val="24"/>
                <w:highlight w:val="none"/>
                <w:u w:val="none" w:color="auto"/>
                <w:shd w:val="clear" w:color="auto" w:fill="auto"/>
                <w14:textFill>
                  <w14:solidFill>
                    <w14:schemeClr w14:val="tx1"/>
                  </w14:solidFill>
                </w14:textFill>
              </w:rPr>
              <w:t>/d</w:t>
            </w:r>
            <w:r>
              <w:rPr>
                <w:rFonts w:hint="eastAsia" w:ascii="Times New Roman" w:hAnsi="Times New Roman" w:eastAsia="宋体" w:cs="Times New Roman"/>
                <w:color w:val="000000" w:themeColor="text1"/>
                <w:sz w:val="24"/>
                <w:szCs w:val="24"/>
                <w:highlight w:val="none"/>
                <w:u w:val="none" w:color="auto"/>
                <w:shd w:val="clear" w:color="auto" w:fill="auto"/>
                <w14:textFill>
                  <w14:solidFill>
                    <w14:schemeClr w14:val="tx1"/>
                  </w14:solidFill>
                </w14:textFill>
              </w:rPr>
              <w:t>计，则公司员工的日常生活用水为330</w:t>
            </w:r>
            <w:r>
              <w:rPr>
                <w:rFonts w:hint="default" w:ascii="Times New Roman" w:hAnsi="Times New Roman" w:eastAsia="宋体" w:cs="Times New Roman"/>
                <w:color w:val="000000" w:themeColor="text1"/>
                <w:sz w:val="24"/>
                <w:szCs w:val="24"/>
                <w:highlight w:val="none"/>
                <w:u w:val="none" w:color="auto"/>
                <w:shd w:val="clear" w:color="auto" w:fill="auto"/>
                <w14:textFill>
                  <w14:solidFill>
                    <w14:schemeClr w14:val="tx1"/>
                  </w14:solidFill>
                </w14:textFill>
              </w:rPr>
              <w:t>t/a</w:t>
            </w:r>
            <w:r>
              <w:rPr>
                <w:rFonts w:hint="eastAsia" w:ascii="Times New Roman" w:hAnsi="Times New Roman" w:eastAsia="宋体" w:cs="Times New Roman"/>
                <w:color w:val="000000" w:themeColor="text1"/>
                <w:sz w:val="24"/>
                <w:szCs w:val="24"/>
                <w:highlight w:val="none"/>
                <w:u w:val="none" w:color="auto"/>
                <w:shd w:val="clear" w:color="auto" w:fill="auto"/>
                <w14:textFill>
                  <w14:solidFill>
                    <w14:schemeClr w14:val="tx1"/>
                  </w14:solidFill>
                </w14:textFill>
              </w:rPr>
              <w:t>（1</w:t>
            </w:r>
            <w:r>
              <w:rPr>
                <w:rFonts w:hint="default" w:ascii="Times New Roman" w:hAnsi="Times New Roman" w:eastAsia="宋体" w:cs="Times New Roman"/>
                <w:color w:val="000000" w:themeColor="text1"/>
                <w:sz w:val="24"/>
                <w:szCs w:val="24"/>
                <w:highlight w:val="none"/>
                <w:u w:val="none" w:color="auto"/>
                <w:shd w:val="clear" w:color="auto" w:fill="auto"/>
                <w14:textFill>
                  <w14:solidFill>
                    <w14:schemeClr w14:val="tx1"/>
                  </w14:solidFill>
                </w14:textFill>
              </w:rPr>
              <w:t>t/d</w:t>
            </w:r>
            <w:r>
              <w:rPr>
                <w:rFonts w:hint="eastAsia" w:ascii="Times New Roman" w:hAnsi="Times New Roman" w:eastAsia="宋体" w:cs="Times New Roman"/>
                <w:color w:val="000000" w:themeColor="text1"/>
                <w:sz w:val="24"/>
                <w:szCs w:val="24"/>
                <w:highlight w:val="none"/>
                <w:u w:val="none" w:color="auto"/>
                <w:shd w:val="clear" w:color="auto" w:fill="auto"/>
                <w14:textFill>
                  <w14:solidFill>
                    <w14:schemeClr w14:val="tx1"/>
                  </w14:solidFill>
                </w14:textFill>
              </w:rPr>
              <w:t>），项目污水排放系数取</w:t>
            </w:r>
            <w:r>
              <w:rPr>
                <w:rFonts w:hint="default" w:ascii="Times New Roman" w:hAnsi="Times New Roman" w:eastAsia="宋体" w:cs="Times New Roman"/>
                <w:color w:val="000000" w:themeColor="text1"/>
                <w:sz w:val="24"/>
                <w:szCs w:val="24"/>
                <w:highlight w:val="none"/>
                <w:u w:val="none" w:color="auto"/>
                <w:shd w:val="clear" w:color="auto" w:fill="auto"/>
                <w14:textFill>
                  <w14:solidFill>
                    <w14:schemeClr w14:val="tx1"/>
                  </w14:solidFill>
                </w14:textFill>
              </w:rPr>
              <w:t>0.8</w:t>
            </w:r>
            <w:r>
              <w:rPr>
                <w:rFonts w:hint="eastAsia" w:ascii="Times New Roman" w:hAnsi="Times New Roman" w:eastAsia="宋体" w:cs="Times New Roman"/>
                <w:color w:val="000000" w:themeColor="text1"/>
                <w:sz w:val="24"/>
                <w:szCs w:val="24"/>
                <w:highlight w:val="none"/>
                <w:u w:val="none" w:color="auto"/>
                <w:shd w:val="clear" w:color="auto" w:fill="auto"/>
                <w14:textFill>
                  <w14:solidFill>
                    <w14:schemeClr w14:val="tx1"/>
                  </w14:solidFill>
                </w14:textFill>
              </w:rPr>
              <w:t>，则生活污水的排放量为264</w:t>
            </w:r>
            <w:r>
              <w:rPr>
                <w:rFonts w:hint="default" w:ascii="Times New Roman" w:hAnsi="Times New Roman" w:eastAsia="宋体" w:cs="Times New Roman"/>
                <w:color w:val="000000" w:themeColor="text1"/>
                <w:sz w:val="24"/>
                <w:szCs w:val="24"/>
                <w:highlight w:val="none"/>
                <w:u w:val="none" w:color="auto"/>
                <w:shd w:val="clear" w:color="auto" w:fill="auto"/>
                <w14:textFill>
                  <w14:solidFill>
                    <w14:schemeClr w14:val="tx1"/>
                  </w14:solidFill>
                </w14:textFill>
              </w:rPr>
              <w:t>t/a</w:t>
            </w:r>
            <w:r>
              <w:rPr>
                <w:rFonts w:hint="eastAsia" w:ascii="Times New Roman" w:hAnsi="Times New Roman" w:eastAsia="宋体" w:cs="Times New Roman"/>
                <w:color w:val="000000" w:themeColor="text1"/>
                <w:sz w:val="24"/>
                <w:szCs w:val="24"/>
                <w:highlight w:val="none"/>
                <w:u w:val="none" w:color="auto"/>
                <w:shd w:val="clear" w:color="auto" w:fill="auto"/>
                <w14:textFill>
                  <w14:solidFill>
                    <w14:schemeClr w14:val="tx1"/>
                  </w14:solidFill>
                </w14:textFill>
              </w:rPr>
              <w:t>（0.8</w:t>
            </w:r>
            <w:r>
              <w:rPr>
                <w:rFonts w:hint="default" w:ascii="Times New Roman" w:hAnsi="Times New Roman" w:eastAsia="宋体" w:cs="Times New Roman"/>
                <w:color w:val="000000" w:themeColor="text1"/>
                <w:sz w:val="24"/>
                <w:szCs w:val="24"/>
                <w:highlight w:val="none"/>
                <w:u w:val="none" w:color="auto"/>
                <w:shd w:val="clear" w:color="auto" w:fill="auto"/>
                <w14:textFill>
                  <w14:solidFill>
                    <w14:schemeClr w14:val="tx1"/>
                  </w14:solidFill>
                </w14:textFill>
              </w:rPr>
              <w:t>t/d</w:t>
            </w:r>
            <w:r>
              <w:rPr>
                <w:rFonts w:hint="eastAsia" w:ascii="Times New Roman" w:hAnsi="Times New Roman" w:eastAsia="宋体" w:cs="Times New Roman"/>
                <w:color w:val="000000" w:themeColor="text1"/>
                <w:sz w:val="24"/>
                <w:szCs w:val="24"/>
                <w:highlight w:val="none"/>
                <w:u w:val="none" w:color="auto"/>
                <w:shd w:val="clear" w:color="auto" w:fill="auto"/>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u w:val="none" w:color="auto"/>
                <w:shd w:val="clear" w:color="auto" w:fill="auto"/>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shd w:val="clear" w:color="auto" w:fill="auto"/>
                <w14:textFill>
                  <w14:solidFill>
                    <w14:schemeClr w14:val="tx1"/>
                  </w14:solidFill>
                </w14:textFill>
              </w:rPr>
              <w:t>生活污水未经处理前，参考《给排水设计手册》典型生活污水水质示例：得出本项目生活污水中主要污染指标浓度选取为COD：400mg/L，BOD</w:t>
            </w:r>
            <w:r>
              <w:rPr>
                <w:rFonts w:hint="default" w:ascii="Times New Roman" w:hAnsi="Times New Roman" w:eastAsia="宋体" w:cs="Times New Roman"/>
                <w:color w:val="000000" w:themeColor="text1"/>
                <w:sz w:val="24"/>
                <w:szCs w:val="24"/>
                <w:highlight w:val="none"/>
                <w:u w:val="none" w:color="auto"/>
                <w:shd w:val="clear" w:color="auto" w:fill="auto"/>
                <w:vertAlign w:val="subscript"/>
                <w14:textFill>
                  <w14:solidFill>
                    <w14:schemeClr w14:val="tx1"/>
                  </w14:solidFill>
                </w14:textFill>
              </w:rPr>
              <w:t>5</w:t>
            </w:r>
            <w:r>
              <w:rPr>
                <w:rFonts w:hint="default" w:ascii="Times New Roman" w:hAnsi="Times New Roman" w:eastAsia="宋体" w:cs="Times New Roman"/>
                <w:color w:val="000000" w:themeColor="text1"/>
                <w:sz w:val="24"/>
                <w:szCs w:val="24"/>
                <w:highlight w:val="none"/>
                <w:u w:val="none" w:color="auto"/>
                <w:shd w:val="clear" w:color="auto" w:fill="auto"/>
                <w14:textFill>
                  <w14:solidFill>
                    <w14:schemeClr w14:val="tx1"/>
                  </w14:solidFill>
                </w14:textFill>
              </w:rPr>
              <w:t>：200mg/L，SS：220mg/L，NH</w:t>
            </w:r>
            <w:r>
              <w:rPr>
                <w:rFonts w:hint="default" w:ascii="Times New Roman" w:hAnsi="Times New Roman" w:eastAsia="宋体" w:cs="Times New Roman"/>
                <w:color w:val="000000" w:themeColor="text1"/>
                <w:sz w:val="24"/>
                <w:szCs w:val="24"/>
                <w:highlight w:val="none"/>
                <w:u w:val="none" w:color="auto"/>
                <w:shd w:val="clear" w:color="auto" w:fill="auto"/>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u w:val="none" w:color="auto"/>
                <w:shd w:val="clear" w:color="auto" w:fill="auto"/>
                <w14:textFill>
                  <w14:solidFill>
                    <w14:schemeClr w14:val="tx1"/>
                  </w14:solidFill>
                </w14:textFill>
              </w:rPr>
              <w:t>-N：35mg/L。化粪池对生活污水中COD、BOD</w:t>
            </w:r>
            <w:r>
              <w:rPr>
                <w:rFonts w:hint="default" w:ascii="Times New Roman" w:hAnsi="Times New Roman" w:eastAsia="宋体" w:cs="Times New Roman"/>
                <w:color w:val="000000" w:themeColor="text1"/>
                <w:sz w:val="24"/>
                <w:szCs w:val="24"/>
                <w:highlight w:val="none"/>
                <w:u w:val="none" w:color="auto"/>
                <w:shd w:val="clear" w:color="auto" w:fill="auto"/>
                <w:vertAlign w:val="subscript"/>
                <w14:textFill>
                  <w14:solidFill>
                    <w14:schemeClr w14:val="tx1"/>
                  </w14:solidFill>
                </w14:textFill>
              </w:rPr>
              <w:t>5</w:t>
            </w:r>
            <w:r>
              <w:rPr>
                <w:rFonts w:hint="default" w:ascii="Times New Roman" w:hAnsi="Times New Roman" w:eastAsia="宋体" w:cs="Times New Roman"/>
                <w:color w:val="000000" w:themeColor="text1"/>
                <w:sz w:val="24"/>
                <w:szCs w:val="24"/>
                <w:highlight w:val="none"/>
                <w:u w:val="none" w:color="auto"/>
                <w:shd w:val="clear" w:color="auto" w:fill="auto"/>
                <w14:textFill>
                  <w14:solidFill>
                    <w14:schemeClr w14:val="tx1"/>
                  </w14:solidFill>
                </w14:textFill>
              </w:rPr>
              <w:t>、SS、NH</w:t>
            </w:r>
            <w:r>
              <w:rPr>
                <w:rFonts w:hint="default" w:ascii="Times New Roman" w:hAnsi="Times New Roman" w:eastAsia="宋体" w:cs="Times New Roman"/>
                <w:color w:val="000000" w:themeColor="text1"/>
                <w:sz w:val="24"/>
                <w:szCs w:val="24"/>
                <w:highlight w:val="none"/>
                <w:u w:val="none" w:color="auto"/>
                <w:shd w:val="clear" w:color="auto" w:fill="auto"/>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u w:val="none" w:color="auto"/>
                <w:shd w:val="clear" w:color="auto" w:fill="auto"/>
                <w14:textFill>
                  <w14:solidFill>
                    <w14:schemeClr w14:val="tx1"/>
                  </w14:solidFill>
                </w14:textFill>
              </w:rPr>
              <w:t>-N的处理效率分别为15%、9%、30%、3%，生活污水产生情况见表</w:t>
            </w:r>
            <w:r>
              <w:rPr>
                <w:rFonts w:hint="eastAsia" w:ascii="Times New Roman" w:hAnsi="Times New Roman" w:eastAsia="宋体" w:cs="Times New Roman"/>
                <w:color w:val="000000" w:themeColor="text1"/>
                <w:sz w:val="24"/>
                <w:szCs w:val="24"/>
                <w:highlight w:val="none"/>
                <w:u w:val="none" w:color="auto"/>
                <w:shd w:val="clear" w:color="auto" w:fill="auto"/>
                <w:lang w:val="en-US" w:eastAsia="zh-CN"/>
                <w14:textFill>
                  <w14:solidFill>
                    <w14:schemeClr w14:val="tx1"/>
                  </w14:solidFill>
                </w14:textFill>
              </w:rPr>
              <w:t>4.7-1</w:t>
            </w:r>
            <w:r>
              <w:rPr>
                <w:rFonts w:hint="default" w:ascii="Times New Roman" w:hAnsi="Times New Roman" w:eastAsia="宋体" w:cs="Times New Roman"/>
                <w:color w:val="000000" w:themeColor="text1"/>
                <w:sz w:val="24"/>
                <w:szCs w:val="24"/>
                <w:highlight w:val="none"/>
                <w:u w:val="none" w:color="auto"/>
                <w:shd w:val="clear" w:color="auto" w:fill="auto"/>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ascii="Times New Roman" w:hAnsi="Times New Roman" w:eastAsia="宋体"/>
                <w:b/>
                <w:color w:val="000000" w:themeColor="text1"/>
                <w:sz w:val="24"/>
                <w:szCs w:val="40"/>
                <w:highlight w:val="none"/>
                <w14:textFill>
                  <w14:solidFill>
                    <w14:schemeClr w14:val="tx1"/>
                  </w14:solidFill>
                </w14:textFill>
              </w:rPr>
            </w:pPr>
            <w:r>
              <w:rPr>
                <w:rFonts w:ascii="Times New Roman" w:hAnsi="Times New Roman" w:eastAsia="宋体"/>
                <w:b/>
                <w:color w:val="000000" w:themeColor="text1"/>
                <w:sz w:val="24"/>
                <w:szCs w:val="40"/>
                <w:highlight w:val="none"/>
                <w14:textFill>
                  <w14:solidFill>
                    <w14:schemeClr w14:val="tx1"/>
                  </w14:solidFill>
                </w14:textFill>
              </w:rPr>
              <w:t>表</w:t>
            </w:r>
            <w:r>
              <w:rPr>
                <w:rFonts w:hint="eastAsia" w:ascii="Times New Roman" w:hAnsi="Times New Roman" w:eastAsia="宋体"/>
                <w:b/>
                <w:color w:val="000000" w:themeColor="text1"/>
                <w:sz w:val="24"/>
                <w:szCs w:val="40"/>
                <w:highlight w:val="none"/>
                <w:lang w:val="en-US" w:eastAsia="zh-CN"/>
                <w14:textFill>
                  <w14:solidFill>
                    <w14:schemeClr w14:val="tx1"/>
                  </w14:solidFill>
                </w14:textFill>
              </w:rPr>
              <w:t>4.7-1</w:t>
            </w:r>
            <w:r>
              <w:rPr>
                <w:rFonts w:ascii="Times New Roman" w:hAnsi="Times New Roman" w:eastAsia="宋体"/>
                <w:b/>
                <w:color w:val="000000" w:themeColor="text1"/>
                <w:sz w:val="24"/>
                <w:szCs w:val="40"/>
                <w:highlight w:val="none"/>
                <w14:textFill>
                  <w14:solidFill>
                    <w14:schemeClr w14:val="tx1"/>
                  </w14:solidFill>
                </w14:textFill>
              </w:rPr>
              <w:t xml:space="preserve"> 生活污水污染源强一览表</w:t>
            </w:r>
          </w:p>
          <w:tbl>
            <w:tblPr>
              <w:tblStyle w:val="33"/>
              <w:tblW w:w="5827"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24"/>
              <w:gridCol w:w="1027"/>
              <w:gridCol w:w="876"/>
              <w:gridCol w:w="1112"/>
              <w:gridCol w:w="876"/>
              <w:gridCol w:w="111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4" w:type="dxa"/>
                  <w:vMerge w:val="restart"/>
                  <w:tcBorders>
                    <w:top w:val="single" w:color="auto" w:sz="12" w:space="0"/>
                  </w:tcBorders>
                  <w:vAlign w:val="center"/>
                </w:tcPr>
                <w:p>
                  <w:pPr>
                    <w:pageBreakBefore w:val="0"/>
                    <w:kinsoku/>
                    <w:bidi w:val="0"/>
                    <w:adjustRightInd w:val="0"/>
                    <w:snapToGrid w:val="0"/>
                    <w:spacing w:beforeAutospacing="0" w:afterAutospacing="0"/>
                    <w:jc w:val="center"/>
                    <w:rPr>
                      <w:rFonts w:ascii="Times New Roman" w:hAnsi="Times New Roman" w:eastAsia="宋体"/>
                      <w:b w:val="0"/>
                      <w:bCs w:val="0"/>
                      <w:color w:val="000000" w:themeColor="text1"/>
                      <w:szCs w:val="21"/>
                      <w:highlight w:val="none"/>
                      <w14:textFill>
                        <w14:solidFill>
                          <w14:schemeClr w14:val="tx1"/>
                        </w14:solidFill>
                      </w14:textFill>
                    </w:rPr>
                  </w:pPr>
                  <w:r>
                    <w:rPr>
                      <w:rFonts w:ascii="Times New Roman" w:hAnsi="Times New Roman" w:eastAsia="宋体"/>
                      <w:b w:val="0"/>
                      <w:bCs w:val="0"/>
                      <w:color w:val="000000" w:themeColor="text1"/>
                      <w:szCs w:val="21"/>
                      <w:highlight w:val="none"/>
                      <w14:textFill>
                        <w14:solidFill>
                          <w14:schemeClr w14:val="tx1"/>
                        </w14:solidFill>
                      </w14:textFill>
                    </w:rPr>
                    <w:t>废水量</w:t>
                  </w:r>
                </w:p>
                <w:p>
                  <w:pPr>
                    <w:pageBreakBefore w:val="0"/>
                    <w:kinsoku/>
                    <w:bidi w:val="0"/>
                    <w:adjustRightInd w:val="0"/>
                    <w:snapToGrid w:val="0"/>
                    <w:spacing w:beforeAutospacing="0" w:afterAutospacing="0"/>
                    <w:jc w:val="center"/>
                    <w:rPr>
                      <w:rFonts w:ascii="Times New Roman" w:hAnsi="Times New Roman" w:eastAsia="宋体"/>
                      <w:b w:val="0"/>
                      <w:bCs w:val="0"/>
                      <w:color w:val="000000" w:themeColor="text1"/>
                      <w:szCs w:val="21"/>
                      <w:highlight w:val="none"/>
                      <w14:textFill>
                        <w14:solidFill>
                          <w14:schemeClr w14:val="tx1"/>
                        </w14:solidFill>
                      </w14:textFill>
                    </w:rPr>
                  </w:pPr>
                  <w:r>
                    <w:rPr>
                      <w:rFonts w:ascii="Times New Roman" w:hAnsi="Times New Roman" w:eastAsia="宋体"/>
                      <w:b w:val="0"/>
                      <w:bCs w:val="0"/>
                      <w:color w:val="000000" w:themeColor="text1"/>
                      <w:szCs w:val="21"/>
                      <w:highlight w:val="none"/>
                      <w14:textFill>
                        <w14:solidFill>
                          <w14:schemeClr w14:val="tx1"/>
                        </w14:solidFill>
                      </w14:textFill>
                    </w:rPr>
                    <w:t>t/a</w:t>
                  </w:r>
                </w:p>
              </w:tc>
              <w:tc>
                <w:tcPr>
                  <w:tcW w:w="1027" w:type="dxa"/>
                  <w:vMerge w:val="restart"/>
                  <w:tcBorders>
                    <w:top w:val="single" w:color="auto" w:sz="12" w:space="0"/>
                  </w:tcBorders>
                  <w:vAlign w:val="center"/>
                </w:tcPr>
                <w:p>
                  <w:pPr>
                    <w:pageBreakBefore w:val="0"/>
                    <w:kinsoku/>
                    <w:bidi w:val="0"/>
                    <w:adjustRightInd w:val="0"/>
                    <w:snapToGrid w:val="0"/>
                    <w:spacing w:beforeAutospacing="0" w:afterAutospacing="0"/>
                    <w:jc w:val="center"/>
                    <w:rPr>
                      <w:rFonts w:ascii="Times New Roman" w:hAnsi="Times New Roman" w:eastAsia="宋体"/>
                      <w:b w:val="0"/>
                      <w:bCs w:val="0"/>
                      <w:color w:val="000000" w:themeColor="text1"/>
                      <w:szCs w:val="21"/>
                      <w:highlight w:val="none"/>
                      <w14:textFill>
                        <w14:solidFill>
                          <w14:schemeClr w14:val="tx1"/>
                        </w14:solidFill>
                      </w14:textFill>
                    </w:rPr>
                  </w:pPr>
                  <w:r>
                    <w:rPr>
                      <w:rFonts w:ascii="Times New Roman" w:hAnsi="Times New Roman" w:eastAsia="宋体"/>
                      <w:b w:val="0"/>
                      <w:bCs w:val="0"/>
                      <w:color w:val="000000" w:themeColor="text1"/>
                      <w:szCs w:val="21"/>
                      <w:highlight w:val="none"/>
                      <w14:textFill>
                        <w14:solidFill>
                          <w14:schemeClr w14:val="tx1"/>
                        </w14:solidFill>
                      </w14:textFill>
                    </w:rPr>
                    <w:t>污染因子</w:t>
                  </w:r>
                </w:p>
              </w:tc>
              <w:tc>
                <w:tcPr>
                  <w:tcW w:w="1988" w:type="dxa"/>
                  <w:gridSpan w:val="2"/>
                  <w:tcBorders>
                    <w:top w:val="single" w:color="auto" w:sz="12" w:space="0"/>
                  </w:tcBorders>
                  <w:vAlign w:val="center"/>
                </w:tcPr>
                <w:p>
                  <w:pPr>
                    <w:pageBreakBefore w:val="0"/>
                    <w:kinsoku/>
                    <w:bidi w:val="0"/>
                    <w:adjustRightInd w:val="0"/>
                    <w:snapToGrid w:val="0"/>
                    <w:spacing w:beforeAutospacing="0" w:afterAutospacing="0"/>
                    <w:jc w:val="center"/>
                    <w:rPr>
                      <w:rFonts w:ascii="Times New Roman" w:hAnsi="Times New Roman" w:eastAsia="宋体"/>
                      <w:b w:val="0"/>
                      <w:bCs w:val="0"/>
                      <w:color w:val="000000" w:themeColor="text1"/>
                      <w:szCs w:val="21"/>
                      <w:highlight w:val="none"/>
                      <w14:textFill>
                        <w14:solidFill>
                          <w14:schemeClr w14:val="tx1"/>
                        </w14:solidFill>
                      </w14:textFill>
                    </w:rPr>
                  </w:pPr>
                  <w:r>
                    <w:rPr>
                      <w:rFonts w:ascii="Times New Roman" w:hAnsi="Times New Roman" w:eastAsia="宋体"/>
                      <w:b w:val="0"/>
                      <w:bCs w:val="0"/>
                      <w:color w:val="000000" w:themeColor="text1"/>
                      <w:szCs w:val="21"/>
                      <w:highlight w:val="none"/>
                      <w14:textFill>
                        <w14:solidFill>
                          <w14:schemeClr w14:val="tx1"/>
                        </w14:solidFill>
                      </w14:textFill>
                    </w:rPr>
                    <w:t>产生情况</w:t>
                  </w:r>
                </w:p>
              </w:tc>
              <w:tc>
                <w:tcPr>
                  <w:tcW w:w="1988" w:type="dxa"/>
                  <w:gridSpan w:val="2"/>
                  <w:tcBorders>
                    <w:top w:val="single" w:color="auto" w:sz="12" w:space="0"/>
                    <w:left w:val="single" w:color="auto" w:sz="4" w:space="0"/>
                  </w:tcBorders>
                  <w:vAlign w:val="center"/>
                </w:tcPr>
                <w:p>
                  <w:pPr>
                    <w:pageBreakBefore w:val="0"/>
                    <w:kinsoku/>
                    <w:bidi w:val="0"/>
                    <w:adjustRightInd w:val="0"/>
                    <w:snapToGrid w:val="0"/>
                    <w:spacing w:beforeAutospacing="0" w:afterAutospacing="0"/>
                    <w:jc w:val="center"/>
                    <w:rPr>
                      <w:rFonts w:ascii="Times New Roman" w:hAnsi="Times New Roman" w:eastAsia="宋体"/>
                      <w:b w:val="0"/>
                      <w:bCs w:val="0"/>
                      <w:color w:val="000000" w:themeColor="text1"/>
                      <w:szCs w:val="21"/>
                      <w:highlight w:val="none"/>
                      <w14:textFill>
                        <w14:solidFill>
                          <w14:schemeClr w14:val="tx1"/>
                        </w14:solidFill>
                      </w14:textFill>
                    </w:rPr>
                  </w:pPr>
                  <w:r>
                    <w:rPr>
                      <w:rFonts w:ascii="Times New Roman" w:hAnsi="Times New Roman" w:eastAsia="宋体"/>
                      <w:b w:val="0"/>
                      <w:bCs w:val="0"/>
                      <w:color w:val="000000" w:themeColor="text1"/>
                      <w:szCs w:val="21"/>
                      <w:highlight w:val="none"/>
                      <w14:textFill>
                        <w14:solidFill>
                          <w14:schemeClr w14:val="tx1"/>
                        </w14:solidFill>
                      </w14:textFill>
                    </w:rPr>
                    <w:t>处理后浓度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4" w:type="dxa"/>
                  <w:vMerge w:val="continue"/>
                  <w:vAlign w:val="center"/>
                </w:tcPr>
                <w:p>
                  <w:pPr>
                    <w:pageBreakBefore w:val="0"/>
                    <w:kinsoku/>
                    <w:bidi w:val="0"/>
                    <w:adjustRightInd w:val="0"/>
                    <w:snapToGrid w:val="0"/>
                    <w:spacing w:beforeAutospacing="0" w:afterAutospacing="0"/>
                    <w:jc w:val="center"/>
                    <w:rPr>
                      <w:rFonts w:ascii="Times New Roman" w:hAnsi="Times New Roman" w:eastAsia="宋体"/>
                      <w:b w:val="0"/>
                      <w:bCs w:val="0"/>
                      <w:color w:val="000000" w:themeColor="text1"/>
                      <w:szCs w:val="21"/>
                      <w:highlight w:val="none"/>
                      <w14:textFill>
                        <w14:solidFill>
                          <w14:schemeClr w14:val="tx1"/>
                        </w14:solidFill>
                      </w14:textFill>
                    </w:rPr>
                  </w:pPr>
                </w:p>
              </w:tc>
              <w:tc>
                <w:tcPr>
                  <w:tcW w:w="1027" w:type="dxa"/>
                  <w:vMerge w:val="continue"/>
                  <w:vAlign w:val="center"/>
                </w:tcPr>
                <w:p>
                  <w:pPr>
                    <w:pageBreakBefore w:val="0"/>
                    <w:kinsoku/>
                    <w:bidi w:val="0"/>
                    <w:adjustRightInd w:val="0"/>
                    <w:snapToGrid w:val="0"/>
                    <w:spacing w:beforeAutospacing="0" w:afterAutospacing="0"/>
                    <w:jc w:val="center"/>
                    <w:rPr>
                      <w:rFonts w:ascii="Times New Roman" w:hAnsi="Times New Roman" w:eastAsia="宋体"/>
                      <w:b w:val="0"/>
                      <w:bCs w:val="0"/>
                      <w:color w:val="000000" w:themeColor="text1"/>
                      <w:szCs w:val="21"/>
                      <w:highlight w:val="none"/>
                      <w14:textFill>
                        <w14:solidFill>
                          <w14:schemeClr w14:val="tx1"/>
                        </w14:solidFill>
                      </w14:textFill>
                    </w:rPr>
                  </w:pPr>
                </w:p>
              </w:tc>
              <w:tc>
                <w:tcPr>
                  <w:tcW w:w="876" w:type="dxa"/>
                  <w:vAlign w:val="center"/>
                </w:tcPr>
                <w:p>
                  <w:pPr>
                    <w:pageBreakBefore w:val="0"/>
                    <w:kinsoku/>
                    <w:bidi w:val="0"/>
                    <w:adjustRightInd w:val="0"/>
                    <w:snapToGrid w:val="0"/>
                    <w:spacing w:beforeAutospacing="0" w:afterAutospacing="0"/>
                    <w:jc w:val="center"/>
                    <w:rPr>
                      <w:rFonts w:ascii="Times New Roman" w:hAnsi="Times New Roman" w:eastAsia="宋体"/>
                      <w:b w:val="0"/>
                      <w:bCs w:val="0"/>
                      <w:color w:val="000000" w:themeColor="text1"/>
                      <w:szCs w:val="21"/>
                      <w:highlight w:val="none"/>
                      <w14:textFill>
                        <w14:solidFill>
                          <w14:schemeClr w14:val="tx1"/>
                        </w14:solidFill>
                      </w14:textFill>
                    </w:rPr>
                  </w:pPr>
                  <w:r>
                    <w:rPr>
                      <w:rFonts w:ascii="Times New Roman" w:hAnsi="Times New Roman" w:eastAsia="宋体"/>
                      <w:b w:val="0"/>
                      <w:bCs w:val="0"/>
                      <w:color w:val="000000" w:themeColor="text1"/>
                      <w:szCs w:val="21"/>
                      <w:highlight w:val="none"/>
                      <w14:textFill>
                        <w14:solidFill>
                          <w14:schemeClr w14:val="tx1"/>
                        </w14:solidFill>
                      </w14:textFill>
                    </w:rPr>
                    <w:t>数量t/a</w:t>
                  </w:r>
                </w:p>
              </w:tc>
              <w:tc>
                <w:tcPr>
                  <w:tcW w:w="1112" w:type="dxa"/>
                  <w:vAlign w:val="center"/>
                </w:tcPr>
                <w:p>
                  <w:pPr>
                    <w:pageBreakBefore w:val="0"/>
                    <w:kinsoku/>
                    <w:bidi w:val="0"/>
                    <w:adjustRightInd w:val="0"/>
                    <w:snapToGrid w:val="0"/>
                    <w:spacing w:beforeAutospacing="0" w:afterAutospacing="0"/>
                    <w:jc w:val="center"/>
                    <w:rPr>
                      <w:rFonts w:ascii="Times New Roman" w:hAnsi="Times New Roman" w:eastAsia="宋体"/>
                      <w:b w:val="0"/>
                      <w:bCs w:val="0"/>
                      <w:color w:val="000000" w:themeColor="text1"/>
                      <w:szCs w:val="21"/>
                      <w:highlight w:val="none"/>
                      <w14:textFill>
                        <w14:solidFill>
                          <w14:schemeClr w14:val="tx1"/>
                        </w14:solidFill>
                      </w14:textFill>
                    </w:rPr>
                  </w:pPr>
                  <w:r>
                    <w:rPr>
                      <w:rFonts w:ascii="Times New Roman" w:hAnsi="Times New Roman" w:eastAsia="宋体"/>
                      <w:b w:val="0"/>
                      <w:bCs w:val="0"/>
                      <w:color w:val="000000" w:themeColor="text1"/>
                      <w:szCs w:val="21"/>
                      <w:highlight w:val="none"/>
                      <w14:textFill>
                        <w14:solidFill>
                          <w14:schemeClr w14:val="tx1"/>
                        </w14:solidFill>
                      </w14:textFill>
                    </w:rPr>
                    <w:t>浓度mg/L</w:t>
                  </w:r>
                </w:p>
              </w:tc>
              <w:tc>
                <w:tcPr>
                  <w:tcW w:w="876" w:type="dxa"/>
                  <w:vAlign w:val="center"/>
                </w:tcPr>
                <w:p>
                  <w:pPr>
                    <w:pageBreakBefore w:val="0"/>
                    <w:kinsoku/>
                    <w:bidi w:val="0"/>
                    <w:adjustRightInd w:val="0"/>
                    <w:snapToGrid w:val="0"/>
                    <w:spacing w:beforeAutospacing="0" w:afterAutospacing="0"/>
                    <w:jc w:val="center"/>
                    <w:rPr>
                      <w:rFonts w:ascii="Times New Roman" w:hAnsi="Times New Roman" w:eastAsia="宋体"/>
                      <w:b w:val="0"/>
                      <w:bCs w:val="0"/>
                      <w:color w:val="000000" w:themeColor="text1"/>
                      <w:szCs w:val="21"/>
                      <w:highlight w:val="none"/>
                      <w14:textFill>
                        <w14:solidFill>
                          <w14:schemeClr w14:val="tx1"/>
                        </w14:solidFill>
                      </w14:textFill>
                    </w:rPr>
                  </w:pPr>
                  <w:r>
                    <w:rPr>
                      <w:rFonts w:ascii="Times New Roman" w:hAnsi="Times New Roman" w:eastAsia="宋体"/>
                      <w:b w:val="0"/>
                      <w:bCs w:val="0"/>
                      <w:color w:val="000000" w:themeColor="text1"/>
                      <w:szCs w:val="21"/>
                      <w:highlight w:val="none"/>
                      <w14:textFill>
                        <w14:solidFill>
                          <w14:schemeClr w14:val="tx1"/>
                        </w14:solidFill>
                      </w14:textFill>
                    </w:rPr>
                    <w:t>数量t/a</w:t>
                  </w:r>
                </w:p>
              </w:tc>
              <w:tc>
                <w:tcPr>
                  <w:tcW w:w="1112" w:type="dxa"/>
                  <w:vAlign w:val="center"/>
                </w:tcPr>
                <w:p>
                  <w:pPr>
                    <w:pageBreakBefore w:val="0"/>
                    <w:kinsoku/>
                    <w:bidi w:val="0"/>
                    <w:adjustRightInd w:val="0"/>
                    <w:snapToGrid w:val="0"/>
                    <w:spacing w:beforeAutospacing="0" w:afterAutospacing="0"/>
                    <w:jc w:val="center"/>
                    <w:rPr>
                      <w:rFonts w:ascii="Times New Roman" w:hAnsi="Times New Roman" w:eastAsia="宋体"/>
                      <w:b w:val="0"/>
                      <w:bCs w:val="0"/>
                      <w:color w:val="000000" w:themeColor="text1"/>
                      <w:szCs w:val="21"/>
                      <w:highlight w:val="none"/>
                      <w14:textFill>
                        <w14:solidFill>
                          <w14:schemeClr w14:val="tx1"/>
                        </w14:solidFill>
                      </w14:textFill>
                    </w:rPr>
                  </w:pPr>
                  <w:r>
                    <w:rPr>
                      <w:rFonts w:ascii="Times New Roman" w:hAnsi="Times New Roman" w:eastAsia="宋体"/>
                      <w:b w:val="0"/>
                      <w:bCs w:val="0"/>
                      <w:color w:val="000000" w:themeColor="text1"/>
                      <w:szCs w:val="21"/>
                      <w:highlight w:val="none"/>
                      <w14:textFill>
                        <w14:solidFill>
                          <w14:schemeClr w14:val="tx1"/>
                        </w14:solidFill>
                      </w14:textFill>
                    </w:rPr>
                    <w:t>浓度mg/L</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4" w:type="dxa"/>
                  <w:vMerge w:val="restart"/>
                  <w:vAlign w:val="center"/>
                </w:tcPr>
                <w:p>
                  <w:pPr>
                    <w:pageBreakBefore w:val="0"/>
                    <w:widowControl/>
                    <w:kinsoku/>
                    <w:bidi w:val="0"/>
                    <w:snapToGrid w:val="0"/>
                    <w:spacing w:beforeAutospacing="0" w:afterAutospacing="0"/>
                    <w:jc w:val="center"/>
                    <w:textAlignment w:val="center"/>
                    <w:rPr>
                      <w:rFonts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264</w:t>
                  </w:r>
                </w:p>
              </w:tc>
              <w:tc>
                <w:tcPr>
                  <w:tcW w:w="1027" w:type="dxa"/>
                  <w:vAlign w:val="center"/>
                </w:tcPr>
                <w:p>
                  <w:pPr>
                    <w:pageBreakBefore w:val="0"/>
                    <w:widowControl/>
                    <w:kinsoku/>
                    <w:bidi w:val="0"/>
                    <w:snapToGrid w:val="0"/>
                    <w:spacing w:beforeAutospacing="0" w:afterAutospacing="0"/>
                    <w:jc w:val="center"/>
                    <w:textAlignment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kern w:val="0"/>
                      <w:szCs w:val="21"/>
                      <w:highlight w:val="none"/>
                      <w14:textFill>
                        <w14:solidFill>
                          <w14:schemeClr w14:val="tx1"/>
                        </w14:solidFill>
                      </w14:textFill>
                    </w:rPr>
                    <w:t>COD</w:t>
                  </w:r>
                </w:p>
              </w:tc>
              <w:tc>
                <w:tcPr>
                  <w:tcW w:w="876" w:type="dxa"/>
                  <w:vAlign w:val="center"/>
                </w:tcPr>
                <w:p>
                  <w:pPr>
                    <w:pageBreakBefore w:val="0"/>
                    <w:widowControl/>
                    <w:kinsoku/>
                    <w:bidi w:val="0"/>
                    <w:snapToGrid w:val="0"/>
                    <w:spacing w:beforeAutospacing="0" w:afterAutospacing="0"/>
                    <w:jc w:val="center"/>
                    <w:textAlignment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0.106</w:t>
                  </w:r>
                </w:p>
              </w:tc>
              <w:tc>
                <w:tcPr>
                  <w:tcW w:w="1112" w:type="dxa"/>
                  <w:vAlign w:val="center"/>
                </w:tcPr>
                <w:p>
                  <w:pPr>
                    <w:pageBreakBefore w:val="0"/>
                    <w:widowControl/>
                    <w:kinsoku/>
                    <w:bidi w:val="0"/>
                    <w:snapToGrid w:val="0"/>
                    <w:spacing w:beforeAutospacing="0" w:afterAutospacing="0"/>
                    <w:jc w:val="center"/>
                    <w:textAlignment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kern w:val="0"/>
                      <w:szCs w:val="21"/>
                      <w:highlight w:val="none"/>
                      <w14:textFill>
                        <w14:solidFill>
                          <w14:schemeClr w14:val="tx1"/>
                        </w14:solidFill>
                      </w14:textFill>
                    </w:rPr>
                    <w:t>400</w:t>
                  </w:r>
                </w:p>
              </w:tc>
              <w:tc>
                <w:tcPr>
                  <w:tcW w:w="876" w:type="dxa"/>
                  <w:vAlign w:val="center"/>
                </w:tcPr>
                <w:p>
                  <w:pPr>
                    <w:pageBreakBefore w:val="0"/>
                    <w:widowControl/>
                    <w:kinsoku/>
                    <w:bidi w:val="0"/>
                    <w:snapToGrid w:val="0"/>
                    <w:spacing w:beforeAutospacing="0" w:afterAutospacing="0"/>
                    <w:jc w:val="center"/>
                    <w:textAlignment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0.09</w:t>
                  </w:r>
                </w:p>
              </w:tc>
              <w:tc>
                <w:tcPr>
                  <w:tcW w:w="1112" w:type="dxa"/>
                  <w:vAlign w:val="center"/>
                </w:tcPr>
                <w:p>
                  <w:pPr>
                    <w:pageBreakBefore w:val="0"/>
                    <w:widowControl/>
                    <w:kinsoku/>
                    <w:bidi w:val="0"/>
                    <w:snapToGrid w:val="0"/>
                    <w:spacing w:beforeAutospacing="0" w:afterAutospacing="0"/>
                    <w:jc w:val="center"/>
                    <w:textAlignment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kern w:val="0"/>
                      <w:szCs w:val="21"/>
                      <w:highlight w:val="none"/>
                      <w14:textFill>
                        <w14:solidFill>
                          <w14:schemeClr w14:val="tx1"/>
                        </w14:solidFill>
                      </w14:textFill>
                    </w:rPr>
                    <w:t>340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4" w:type="dxa"/>
                  <w:vMerge w:val="continue"/>
                  <w:vAlign w:val="center"/>
                </w:tcPr>
                <w:p>
                  <w:pPr>
                    <w:pageBreakBefore w:val="0"/>
                    <w:kinsoku/>
                    <w:bidi w:val="0"/>
                    <w:snapToGrid w:val="0"/>
                    <w:spacing w:beforeAutospacing="0" w:afterAutospacing="0"/>
                    <w:jc w:val="center"/>
                    <w:rPr>
                      <w:rFonts w:ascii="Times New Roman" w:hAnsi="Times New Roman" w:eastAsia="宋体"/>
                      <w:color w:val="000000" w:themeColor="text1"/>
                      <w:szCs w:val="21"/>
                      <w:highlight w:val="none"/>
                      <w14:textFill>
                        <w14:solidFill>
                          <w14:schemeClr w14:val="tx1"/>
                        </w14:solidFill>
                      </w14:textFill>
                    </w:rPr>
                  </w:pPr>
                </w:p>
              </w:tc>
              <w:tc>
                <w:tcPr>
                  <w:tcW w:w="1027" w:type="dxa"/>
                  <w:vAlign w:val="center"/>
                </w:tcPr>
                <w:p>
                  <w:pPr>
                    <w:pageBreakBefore w:val="0"/>
                    <w:widowControl/>
                    <w:kinsoku/>
                    <w:bidi w:val="0"/>
                    <w:snapToGrid w:val="0"/>
                    <w:spacing w:beforeAutospacing="0" w:afterAutospacing="0"/>
                    <w:jc w:val="center"/>
                    <w:textAlignment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kern w:val="0"/>
                      <w:szCs w:val="21"/>
                      <w:highlight w:val="none"/>
                      <w14:textFill>
                        <w14:solidFill>
                          <w14:schemeClr w14:val="tx1"/>
                        </w14:solidFill>
                      </w14:textFill>
                    </w:rPr>
                    <w:t>BOD</w:t>
                  </w:r>
                  <w:r>
                    <w:rPr>
                      <w:rFonts w:ascii="Times New Roman" w:hAnsi="Times New Roman" w:eastAsia="宋体"/>
                      <w:color w:val="000000" w:themeColor="text1"/>
                      <w:szCs w:val="21"/>
                      <w:highlight w:val="none"/>
                      <w:vertAlign w:val="subscript"/>
                      <w14:textFill>
                        <w14:solidFill>
                          <w14:schemeClr w14:val="tx1"/>
                        </w14:solidFill>
                      </w14:textFill>
                    </w:rPr>
                    <w:t>5</w:t>
                  </w:r>
                </w:p>
              </w:tc>
              <w:tc>
                <w:tcPr>
                  <w:tcW w:w="876" w:type="dxa"/>
                  <w:vAlign w:val="center"/>
                </w:tcPr>
                <w:p>
                  <w:pPr>
                    <w:pageBreakBefore w:val="0"/>
                    <w:widowControl/>
                    <w:kinsoku/>
                    <w:bidi w:val="0"/>
                    <w:snapToGrid w:val="0"/>
                    <w:spacing w:beforeAutospacing="0" w:afterAutospacing="0"/>
                    <w:jc w:val="center"/>
                    <w:textAlignment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0.053</w:t>
                  </w:r>
                </w:p>
              </w:tc>
              <w:tc>
                <w:tcPr>
                  <w:tcW w:w="1112" w:type="dxa"/>
                  <w:vAlign w:val="center"/>
                </w:tcPr>
                <w:p>
                  <w:pPr>
                    <w:pageBreakBefore w:val="0"/>
                    <w:widowControl/>
                    <w:kinsoku/>
                    <w:bidi w:val="0"/>
                    <w:snapToGrid w:val="0"/>
                    <w:spacing w:beforeAutospacing="0" w:afterAutospacing="0"/>
                    <w:jc w:val="center"/>
                    <w:textAlignment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kern w:val="0"/>
                      <w:szCs w:val="21"/>
                      <w:highlight w:val="none"/>
                      <w14:textFill>
                        <w14:solidFill>
                          <w14:schemeClr w14:val="tx1"/>
                        </w14:solidFill>
                      </w14:textFill>
                    </w:rPr>
                    <w:t>200</w:t>
                  </w:r>
                </w:p>
              </w:tc>
              <w:tc>
                <w:tcPr>
                  <w:tcW w:w="876" w:type="dxa"/>
                  <w:vAlign w:val="center"/>
                </w:tcPr>
                <w:p>
                  <w:pPr>
                    <w:pageBreakBefore w:val="0"/>
                    <w:widowControl/>
                    <w:kinsoku/>
                    <w:bidi w:val="0"/>
                    <w:snapToGrid w:val="0"/>
                    <w:spacing w:beforeAutospacing="0" w:afterAutospacing="0"/>
                    <w:jc w:val="center"/>
                    <w:textAlignment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0.0482</w:t>
                  </w:r>
                </w:p>
              </w:tc>
              <w:tc>
                <w:tcPr>
                  <w:tcW w:w="1112" w:type="dxa"/>
                  <w:vAlign w:val="center"/>
                </w:tcPr>
                <w:p>
                  <w:pPr>
                    <w:pageBreakBefore w:val="0"/>
                    <w:widowControl/>
                    <w:kinsoku/>
                    <w:bidi w:val="0"/>
                    <w:snapToGrid w:val="0"/>
                    <w:spacing w:beforeAutospacing="0" w:afterAutospacing="0"/>
                    <w:jc w:val="center"/>
                    <w:textAlignment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kern w:val="0"/>
                      <w:szCs w:val="21"/>
                      <w:highlight w:val="none"/>
                      <w14:textFill>
                        <w14:solidFill>
                          <w14:schemeClr w14:val="tx1"/>
                        </w14:solidFill>
                      </w14:textFill>
                    </w:rPr>
                    <w:t>182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4" w:type="dxa"/>
                  <w:vMerge w:val="continue"/>
                  <w:vAlign w:val="center"/>
                </w:tcPr>
                <w:p>
                  <w:pPr>
                    <w:pageBreakBefore w:val="0"/>
                    <w:kinsoku/>
                    <w:bidi w:val="0"/>
                    <w:snapToGrid w:val="0"/>
                    <w:spacing w:beforeAutospacing="0" w:afterAutospacing="0"/>
                    <w:jc w:val="center"/>
                    <w:rPr>
                      <w:rFonts w:ascii="Times New Roman" w:hAnsi="Times New Roman" w:eastAsia="宋体"/>
                      <w:color w:val="000000" w:themeColor="text1"/>
                      <w:szCs w:val="21"/>
                      <w:highlight w:val="none"/>
                      <w14:textFill>
                        <w14:solidFill>
                          <w14:schemeClr w14:val="tx1"/>
                        </w14:solidFill>
                      </w14:textFill>
                    </w:rPr>
                  </w:pPr>
                </w:p>
              </w:tc>
              <w:tc>
                <w:tcPr>
                  <w:tcW w:w="1027" w:type="dxa"/>
                  <w:vAlign w:val="center"/>
                </w:tcPr>
                <w:p>
                  <w:pPr>
                    <w:pageBreakBefore w:val="0"/>
                    <w:widowControl/>
                    <w:kinsoku/>
                    <w:bidi w:val="0"/>
                    <w:snapToGrid w:val="0"/>
                    <w:spacing w:beforeAutospacing="0" w:afterAutospacing="0"/>
                    <w:jc w:val="center"/>
                    <w:textAlignment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kern w:val="0"/>
                      <w:szCs w:val="21"/>
                      <w:highlight w:val="none"/>
                      <w14:textFill>
                        <w14:solidFill>
                          <w14:schemeClr w14:val="tx1"/>
                        </w14:solidFill>
                      </w14:textFill>
                    </w:rPr>
                    <w:t>SS</w:t>
                  </w:r>
                </w:p>
              </w:tc>
              <w:tc>
                <w:tcPr>
                  <w:tcW w:w="876" w:type="dxa"/>
                  <w:vAlign w:val="center"/>
                </w:tcPr>
                <w:p>
                  <w:pPr>
                    <w:pageBreakBefore w:val="0"/>
                    <w:widowControl/>
                    <w:kinsoku/>
                    <w:bidi w:val="0"/>
                    <w:snapToGrid w:val="0"/>
                    <w:spacing w:beforeAutospacing="0" w:afterAutospacing="0"/>
                    <w:jc w:val="center"/>
                    <w:textAlignment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0.058</w:t>
                  </w:r>
                </w:p>
              </w:tc>
              <w:tc>
                <w:tcPr>
                  <w:tcW w:w="1112" w:type="dxa"/>
                  <w:vAlign w:val="center"/>
                </w:tcPr>
                <w:p>
                  <w:pPr>
                    <w:pageBreakBefore w:val="0"/>
                    <w:widowControl/>
                    <w:kinsoku/>
                    <w:bidi w:val="0"/>
                    <w:snapToGrid w:val="0"/>
                    <w:spacing w:beforeAutospacing="0" w:afterAutospacing="0"/>
                    <w:jc w:val="center"/>
                    <w:textAlignment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kern w:val="0"/>
                      <w:szCs w:val="21"/>
                      <w:highlight w:val="none"/>
                      <w14:textFill>
                        <w14:solidFill>
                          <w14:schemeClr w14:val="tx1"/>
                        </w14:solidFill>
                      </w14:textFill>
                    </w:rPr>
                    <w:t>220</w:t>
                  </w:r>
                </w:p>
              </w:tc>
              <w:tc>
                <w:tcPr>
                  <w:tcW w:w="876" w:type="dxa"/>
                  <w:vAlign w:val="center"/>
                </w:tcPr>
                <w:p>
                  <w:pPr>
                    <w:pageBreakBefore w:val="0"/>
                    <w:widowControl/>
                    <w:kinsoku/>
                    <w:bidi w:val="0"/>
                    <w:snapToGrid w:val="0"/>
                    <w:spacing w:beforeAutospacing="0" w:afterAutospacing="0"/>
                    <w:jc w:val="center"/>
                    <w:textAlignment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0.041</w:t>
                  </w:r>
                </w:p>
              </w:tc>
              <w:tc>
                <w:tcPr>
                  <w:tcW w:w="1112" w:type="dxa"/>
                  <w:vAlign w:val="center"/>
                </w:tcPr>
                <w:p>
                  <w:pPr>
                    <w:pageBreakBefore w:val="0"/>
                    <w:widowControl/>
                    <w:kinsoku/>
                    <w:bidi w:val="0"/>
                    <w:snapToGrid w:val="0"/>
                    <w:spacing w:beforeAutospacing="0" w:afterAutospacing="0"/>
                    <w:jc w:val="center"/>
                    <w:textAlignment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kern w:val="0"/>
                      <w:szCs w:val="21"/>
                      <w:highlight w:val="none"/>
                      <w14:textFill>
                        <w14:solidFill>
                          <w14:schemeClr w14:val="tx1"/>
                        </w14:solidFill>
                      </w14:textFill>
                    </w:rPr>
                    <w:t>154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824" w:type="dxa"/>
                  <w:vMerge w:val="continue"/>
                  <w:tcBorders>
                    <w:bottom w:val="single" w:color="auto" w:sz="12" w:space="0"/>
                  </w:tcBorders>
                  <w:vAlign w:val="center"/>
                </w:tcPr>
                <w:p>
                  <w:pPr>
                    <w:pageBreakBefore w:val="0"/>
                    <w:kinsoku/>
                    <w:bidi w:val="0"/>
                    <w:snapToGrid w:val="0"/>
                    <w:spacing w:beforeAutospacing="0" w:afterAutospacing="0"/>
                    <w:jc w:val="center"/>
                    <w:rPr>
                      <w:rFonts w:ascii="Times New Roman" w:hAnsi="Times New Roman" w:eastAsia="宋体"/>
                      <w:color w:val="000000" w:themeColor="text1"/>
                      <w:szCs w:val="21"/>
                      <w:highlight w:val="none"/>
                      <w14:textFill>
                        <w14:solidFill>
                          <w14:schemeClr w14:val="tx1"/>
                        </w14:solidFill>
                      </w14:textFill>
                    </w:rPr>
                  </w:pPr>
                </w:p>
              </w:tc>
              <w:tc>
                <w:tcPr>
                  <w:tcW w:w="1027" w:type="dxa"/>
                  <w:tcBorders>
                    <w:bottom w:val="single" w:color="auto" w:sz="12" w:space="0"/>
                  </w:tcBorders>
                  <w:vAlign w:val="center"/>
                </w:tcPr>
                <w:p>
                  <w:pPr>
                    <w:pageBreakBefore w:val="0"/>
                    <w:widowControl/>
                    <w:kinsoku/>
                    <w:bidi w:val="0"/>
                    <w:snapToGrid w:val="0"/>
                    <w:spacing w:beforeAutospacing="0" w:afterAutospacing="0"/>
                    <w:jc w:val="center"/>
                    <w:textAlignment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kern w:val="0"/>
                      <w:szCs w:val="21"/>
                      <w:highlight w:val="none"/>
                      <w14:textFill>
                        <w14:solidFill>
                          <w14:schemeClr w14:val="tx1"/>
                        </w14:solidFill>
                      </w14:textFill>
                    </w:rPr>
                    <w:t>氨氮</w:t>
                  </w:r>
                </w:p>
              </w:tc>
              <w:tc>
                <w:tcPr>
                  <w:tcW w:w="876" w:type="dxa"/>
                  <w:tcBorders>
                    <w:bottom w:val="single" w:color="auto" w:sz="12" w:space="0"/>
                  </w:tcBorders>
                  <w:vAlign w:val="center"/>
                </w:tcPr>
                <w:p>
                  <w:pPr>
                    <w:pageBreakBefore w:val="0"/>
                    <w:widowControl/>
                    <w:kinsoku/>
                    <w:bidi w:val="0"/>
                    <w:snapToGrid w:val="0"/>
                    <w:spacing w:beforeAutospacing="0" w:afterAutospacing="0"/>
                    <w:jc w:val="center"/>
                    <w:textAlignment w:val="center"/>
                    <w:rPr>
                      <w:rFonts w:ascii="Times New Roman" w:hAnsi="Times New Roman" w:eastAsia="宋体"/>
                      <w:color w:val="000000" w:themeColor="text1"/>
                      <w:kern w:val="0"/>
                      <w:szCs w:val="21"/>
                      <w:highlight w:val="none"/>
                      <w14:textFill>
                        <w14:solidFill>
                          <w14:schemeClr w14:val="tx1"/>
                        </w14:solidFill>
                      </w14:textFill>
                    </w:rPr>
                  </w:pPr>
                  <w:r>
                    <w:rPr>
                      <w:rFonts w:ascii="Times New Roman" w:hAnsi="Times New Roman" w:eastAsia="宋体"/>
                      <w:color w:val="000000" w:themeColor="text1"/>
                      <w:kern w:val="0"/>
                      <w:szCs w:val="21"/>
                      <w:highlight w:val="none"/>
                      <w14:textFill>
                        <w14:solidFill>
                          <w14:schemeClr w14:val="tx1"/>
                        </w14:solidFill>
                      </w14:textFill>
                    </w:rPr>
                    <w:t>0.0</w:t>
                  </w:r>
                  <w:r>
                    <w:rPr>
                      <w:rFonts w:hint="eastAsia" w:ascii="Times New Roman" w:hAnsi="Times New Roman" w:eastAsia="宋体"/>
                      <w:color w:val="000000" w:themeColor="text1"/>
                      <w:kern w:val="0"/>
                      <w:szCs w:val="21"/>
                      <w:highlight w:val="none"/>
                      <w14:textFill>
                        <w14:solidFill>
                          <w14:schemeClr w14:val="tx1"/>
                        </w14:solidFill>
                      </w14:textFill>
                    </w:rPr>
                    <w:t>09</w:t>
                  </w:r>
                </w:p>
              </w:tc>
              <w:tc>
                <w:tcPr>
                  <w:tcW w:w="1112" w:type="dxa"/>
                  <w:tcBorders>
                    <w:bottom w:val="single" w:color="auto" w:sz="12" w:space="0"/>
                  </w:tcBorders>
                  <w:vAlign w:val="center"/>
                </w:tcPr>
                <w:p>
                  <w:pPr>
                    <w:pageBreakBefore w:val="0"/>
                    <w:widowControl/>
                    <w:kinsoku/>
                    <w:bidi w:val="0"/>
                    <w:snapToGrid w:val="0"/>
                    <w:spacing w:beforeAutospacing="0" w:afterAutospacing="0"/>
                    <w:jc w:val="center"/>
                    <w:textAlignment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kern w:val="0"/>
                      <w:szCs w:val="21"/>
                      <w:highlight w:val="none"/>
                      <w14:textFill>
                        <w14:solidFill>
                          <w14:schemeClr w14:val="tx1"/>
                        </w14:solidFill>
                      </w14:textFill>
                    </w:rPr>
                    <w:t>35</w:t>
                  </w:r>
                </w:p>
              </w:tc>
              <w:tc>
                <w:tcPr>
                  <w:tcW w:w="876" w:type="dxa"/>
                  <w:tcBorders>
                    <w:bottom w:val="single" w:color="auto" w:sz="12" w:space="0"/>
                  </w:tcBorders>
                  <w:vAlign w:val="center"/>
                </w:tcPr>
                <w:p>
                  <w:pPr>
                    <w:pageBreakBefore w:val="0"/>
                    <w:widowControl/>
                    <w:kinsoku/>
                    <w:bidi w:val="0"/>
                    <w:snapToGrid w:val="0"/>
                    <w:spacing w:beforeAutospacing="0" w:afterAutospacing="0"/>
                    <w:jc w:val="center"/>
                    <w:textAlignment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0.009</w:t>
                  </w:r>
                </w:p>
              </w:tc>
              <w:tc>
                <w:tcPr>
                  <w:tcW w:w="1112" w:type="dxa"/>
                  <w:tcBorders>
                    <w:bottom w:val="single" w:color="auto" w:sz="12" w:space="0"/>
                  </w:tcBorders>
                  <w:vAlign w:val="center"/>
                </w:tcPr>
                <w:p>
                  <w:pPr>
                    <w:pageBreakBefore w:val="0"/>
                    <w:widowControl/>
                    <w:kinsoku/>
                    <w:bidi w:val="0"/>
                    <w:snapToGrid w:val="0"/>
                    <w:spacing w:beforeAutospacing="0" w:afterAutospacing="0"/>
                    <w:jc w:val="center"/>
                    <w:textAlignment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kern w:val="0"/>
                      <w:szCs w:val="21"/>
                      <w:highlight w:val="none"/>
                      <w14:textFill>
                        <w14:solidFill>
                          <w14:schemeClr w14:val="tx1"/>
                        </w14:solidFill>
                      </w14:textFill>
                    </w:rPr>
                    <w:t>34</w:t>
                  </w:r>
                </w:p>
              </w:tc>
            </w:tr>
          </w:tbl>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ascii="Times New Roman" w:hAnsi="Times New Roman" w:eastAsia="宋体"/>
                <w:color w:val="000000" w:themeColor="text1"/>
                <w:sz w:val="24"/>
                <w:szCs w:val="32"/>
                <w:highlight w:val="none"/>
                <w14:textFill>
                  <w14:solidFill>
                    <w14:schemeClr w14:val="tx1"/>
                  </w14:solidFill>
                </w14:textFill>
              </w:rPr>
            </w:pPr>
            <w:r>
              <w:rPr>
                <w:rFonts w:hint="eastAsia" w:ascii="Times New Roman" w:hAnsi="Times New Roman" w:eastAsia="宋体"/>
                <w:color w:val="000000" w:themeColor="text1"/>
                <w:sz w:val="24"/>
                <w:szCs w:val="32"/>
                <w:highlight w:val="none"/>
                <w:lang w:eastAsia="zh-CN"/>
                <w14:textFill>
                  <w14:solidFill>
                    <w14:schemeClr w14:val="tx1"/>
                  </w14:solidFill>
                </w14:textFill>
              </w:rPr>
              <w:t>（</w:t>
            </w:r>
            <w:r>
              <w:rPr>
                <w:rFonts w:hint="eastAsia" w:ascii="Times New Roman" w:hAnsi="Times New Roman" w:eastAsia="宋体"/>
                <w:color w:val="000000" w:themeColor="text1"/>
                <w:sz w:val="24"/>
                <w:szCs w:val="32"/>
                <w:highlight w:val="none"/>
                <w:lang w:val="en-US" w:eastAsia="zh-CN"/>
                <w14:textFill>
                  <w14:solidFill>
                    <w14:schemeClr w14:val="tx1"/>
                  </w14:solidFill>
                </w14:textFill>
              </w:rPr>
              <w:t>2</w:t>
            </w:r>
            <w:r>
              <w:rPr>
                <w:rFonts w:hint="eastAsia" w:ascii="Times New Roman" w:hAnsi="Times New Roman" w:eastAsia="宋体"/>
                <w:color w:val="000000" w:themeColor="text1"/>
                <w:sz w:val="24"/>
                <w:szCs w:val="32"/>
                <w:highlight w:val="none"/>
                <w:lang w:eastAsia="zh-CN"/>
                <w14:textFill>
                  <w14:solidFill>
                    <w14:schemeClr w14:val="tx1"/>
                  </w14:solidFill>
                </w14:textFill>
              </w:rPr>
              <w:t>）</w:t>
            </w:r>
            <w:r>
              <w:rPr>
                <w:rFonts w:hint="eastAsia" w:ascii="Times New Roman" w:hAnsi="Times New Roman" w:eastAsia="宋体"/>
                <w:color w:val="000000" w:themeColor="text1"/>
                <w:sz w:val="24"/>
                <w:szCs w:val="32"/>
                <w:highlight w:val="none"/>
                <w14:textFill>
                  <w14:solidFill>
                    <w14:schemeClr w14:val="tx1"/>
                  </w14:solidFill>
                </w14:textFill>
              </w:rPr>
              <w:t>初期雨水</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cs="宋体"/>
                <w:bCs/>
                <w:color w:val="000000" w:themeColor="text1"/>
                <w:sz w:val="24"/>
                <w:szCs w:val="24"/>
                <w:highlight w:val="none"/>
                <w:lang w:bidi="ar"/>
                <w14:textFill>
                  <w14:solidFill>
                    <w14:schemeClr w14:val="tx1"/>
                  </w14:solidFill>
                </w14:textFill>
              </w:rPr>
              <w:t>本项目初期雨水按福建省的暴雨强度公式进行计算，计算公式如下：</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jc w:val="center"/>
              <w:textAlignment w:val="auto"/>
              <w:rPr>
                <w:rFonts w:ascii="Times New Roman" w:hAnsi="Times New Roman" w:eastAsia="宋体"/>
                <w:bCs/>
                <w:color w:val="000000" w:themeColor="text1"/>
                <w:sz w:val="24"/>
                <w:szCs w:val="24"/>
                <w:highlight w:val="none"/>
                <w14:textFill>
                  <w14:solidFill>
                    <w14:schemeClr w14:val="tx1"/>
                  </w14:solidFill>
                </w14:textFill>
              </w:rPr>
            </w:pPr>
            <w:r>
              <w:rPr>
                <w:rFonts w:ascii="Times New Roman" w:hAnsi="Times New Roman" w:eastAsia="宋体"/>
                <w:bCs/>
                <w:color w:val="000000" w:themeColor="text1"/>
                <w:position w:val="-30"/>
                <w:sz w:val="24"/>
                <w:szCs w:val="24"/>
                <w:highlight w:val="none"/>
                <w:lang w:bidi="ar"/>
                <w14:textFill>
                  <w14:solidFill>
                    <w14:schemeClr w14:val="tx1"/>
                  </w14:solidFill>
                </w14:textFill>
              </w:rPr>
              <w:object>
                <v:shape id="_x0000_i1027" o:spt="75" type="#_x0000_t75" style="height:38pt;width:94.45pt;" o:ole="t" filled="f" o:preferrelative="t" stroked="f" coordsize="21600,21600">
                  <v:path/>
                  <v:fill on="f" focussize="0,0"/>
                  <v:stroke on="f" joinstyle="miter"/>
                  <v:imagedata r:id="rId27" o:title=""/>
                  <o:lock v:ext="edit" aspectratio="t"/>
                  <w10:wrap type="none"/>
                  <w10:anchorlock/>
                </v:shape>
                <o:OLEObject Type="Embed" ProgID="Equation.3" ShapeID="_x0000_i1027" DrawAspect="Content" ObjectID="_1468075727" r:id="rId26">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cs="宋体"/>
                <w:bCs/>
                <w:color w:val="000000" w:themeColor="text1"/>
                <w:sz w:val="24"/>
                <w:szCs w:val="24"/>
                <w:highlight w:val="none"/>
                <w:lang w:bidi="ar"/>
                <w14:textFill>
                  <w14:solidFill>
                    <w14:schemeClr w14:val="tx1"/>
                  </w14:solidFill>
                </w14:textFill>
              </w:rPr>
              <w:t>式中：</w:t>
            </w:r>
            <w:r>
              <w:rPr>
                <w:rFonts w:ascii="Times New Roman" w:hAnsi="Times New Roman" w:eastAsia="宋体"/>
                <w:bCs/>
                <w:color w:val="000000" w:themeColor="text1"/>
                <w:sz w:val="24"/>
                <w:szCs w:val="24"/>
                <w:highlight w:val="none"/>
                <w:lang w:bidi="ar"/>
                <w14:textFill>
                  <w14:solidFill>
                    <w14:schemeClr w14:val="tx1"/>
                  </w14:solidFill>
                </w14:textFill>
              </w:rPr>
              <w:t>q——</w:t>
            </w:r>
            <w:r>
              <w:rPr>
                <w:rFonts w:hint="eastAsia" w:ascii="Times New Roman" w:hAnsi="Times New Roman" w:eastAsia="宋体" w:cs="宋体"/>
                <w:bCs/>
                <w:color w:val="000000" w:themeColor="text1"/>
                <w:sz w:val="24"/>
                <w:szCs w:val="24"/>
                <w:highlight w:val="none"/>
                <w:lang w:bidi="ar"/>
                <w14:textFill>
                  <w14:solidFill>
                    <w14:schemeClr w14:val="tx1"/>
                  </w14:solidFill>
                </w14:textFill>
              </w:rPr>
              <w:t>暴雨强度，</w:t>
            </w:r>
            <w:r>
              <w:rPr>
                <w:rFonts w:ascii="Times New Roman" w:hAnsi="Times New Roman" w:eastAsia="宋体"/>
                <w:bCs/>
                <w:color w:val="000000" w:themeColor="text1"/>
                <w:sz w:val="24"/>
                <w:szCs w:val="24"/>
                <w:highlight w:val="none"/>
                <w:lang w:bidi="ar"/>
                <w14:textFill>
                  <w14:solidFill>
                    <w14:schemeClr w14:val="tx1"/>
                  </w14:solidFill>
                </w14:textFill>
              </w:rPr>
              <w:t>L/</w:t>
            </w:r>
            <w:r>
              <w:rPr>
                <w:rFonts w:hint="eastAsia" w:ascii="Times New Roman" w:hAnsi="Times New Roman" w:eastAsia="宋体" w:cs="宋体"/>
                <w:bCs/>
                <w:color w:val="000000" w:themeColor="text1"/>
                <w:sz w:val="24"/>
                <w:szCs w:val="24"/>
                <w:highlight w:val="none"/>
                <w:lang w:bidi="ar"/>
                <w14:textFill>
                  <w14:solidFill>
                    <w14:schemeClr w14:val="tx1"/>
                  </w14:solidFill>
                </w14:textFill>
              </w:rPr>
              <w:t>（</w:t>
            </w:r>
            <w:r>
              <w:rPr>
                <w:rFonts w:ascii="Times New Roman" w:hAnsi="Times New Roman" w:eastAsia="宋体"/>
                <w:bCs/>
                <w:color w:val="000000" w:themeColor="text1"/>
                <w:sz w:val="24"/>
                <w:szCs w:val="24"/>
                <w:highlight w:val="none"/>
                <w:lang w:bidi="ar"/>
                <w14:textFill>
                  <w14:solidFill>
                    <w14:schemeClr w14:val="tx1"/>
                  </w14:solidFill>
                </w14:textFill>
              </w:rPr>
              <w:t>s.hm</w:t>
            </w:r>
            <w:r>
              <w:rPr>
                <w:rFonts w:ascii="Times New Roman" w:hAnsi="Times New Roman" w:eastAsia="宋体"/>
                <w:bCs/>
                <w:color w:val="000000" w:themeColor="text1"/>
                <w:sz w:val="24"/>
                <w:szCs w:val="24"/>
                <w:highlight w:val="none"/>
                <w:vertAlign w:val="superscript"/>
                <w:lang w:bidi="ar"/>
                <w14:textFill>
                  <w14:solidFill>
                    <w14:schemeClr w14:val="tx1"/>
                  </w14:solidFill>
                </w14:textFill>
              </w:rPr>
              <w:t>2</w:t>
            </w:r>
            <w:r>
              <w:rPr>
                <w:rFonts w:hint="eastAsia" w:ascii="Times New Roman" w:hAnsi="Times New Roman" w:eastAsia="宋体" w:cs="宋体"/>
                <w:bCs/>
                <w:color w:val="000000" w:themeColor="text1"/>
                <w:sz w:val="24"/>
                <w:szCs w:val="24"/>
                <w:highlight w:val="none"/>
                <w:lang w:bidi="ar"/>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ascii="Times New Roman" w:hAnsi="Times New Roman" w:eastAsia="宋体"/>
                <w:bCs/>
                <w:color w:val="000000" w:themeColor="text1"/>
                <w:sz w:val="24"/>
                <w:szCs w:val="24"/>
                <w:highlight w:val="none"/>
                <w14:textFill>
                  <w14:solidFill>
                    <w14:schemeClr w14:val="tx1"/>
                  </w14:solidFill>
                </w14:textFill>
              </w:rPr>
            </w:pPr>
            <w:r>
              <w:rPr>
                <w:rFonts w:ascii="Times New Roman" w:hAnsi="Times New Roman" w:eastAsia="宋体"/>
                <w:bCs/>
                <w:color w:val="000000" w:themeColor="text1"/>
                <w:sz w:val="24"/>
                <w:szCs w:val="24"/>
                <w:highlight w:val="none"/>
                <w:lang w:bidi="ar"/>
                <w14:textFill>
                  <w14:solidFill>
                    <w14:schemeClr w14:val="tx1"/>
                  </w14:solidFill>
                </w14:textFill>
              </w:rPr>
              <w:t xml:space="preserve">      Te——</w:t>
            </w:r>
            <w:r>
              <w:rPr>
                <w:rFonts w:hint="eastAsia" w:ascii="Times New Roman" w:hAnsi="Times New Roman" w:eastAsia="宋体" w:cs="宋体"/>
                <w:bCs/>
                <w:color w:val="000000" w:themeColor="text1"/>
                <w:sz w:val="24"/>
                <w:szCs w:val="24"/>
                <w:highlight w:val="none"/>
                <w:lang w:bidi="ar"/>
                <w14:textFill>
                  <w14:solidFill>
                    <w14:schemeClr w14:val="tx1"/>
                  </w14:solidFill>
                </w14:textFill>
              </w:rPr>
              <w:t>降雨重现期，取</w:t>
            </w:r>
            <w:r>
              <w:rPr>
                <w:rFonts w:ascii="Times New Roman" w:hAnsi="Times New Roman" w:eastAsia="宋体"/>
                <w:bCs/>
                <w:color w:val="000000" w:themeColor="text1"/>
                <w:sz w:val="24"/>
                <w:szCs w:val="24"/>
                <w:highlight w:val="none"/>
                <w:lang w:bidi="ar"/>
                <w14:textFill>
                  <w14:solidFill>
                    <w14:schemeClr w14:val="tx1"/>
                  </w14:solidFill>
                </w14:textFill>
              </w:rPr>
              <w:t>2a</w:t>
            </w:r>
            <w:r>
              <w:rPr>
                <w:rFonts w:hint="eastAsia" w:ascii="Times New Roman" w:hAnsi="Times New Roman" w:eastAsia="宋体" w:cs="宋体"/>
                <w:bCs/>
                <w:color w:val="000000" w:themeColor="text1"/>
                <w:sz w:val="24"/>
                <w:szCs w:val="24"/>
                <w:highlight w:val="none"/>
                <w:lang w:bidi="ar"/>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ascii="Times New Roman" w:hAnsi="Times New Roman" w:eastAsia="宋体"/>
                <w:bCs/>
                <w:color w:val="000000" w:themeColor="text1"/>
                <w:sz w:val="24"/>
                <w:szCs w:val="24"/>
                <w:highlight w:val="none"/>
                <w14:textFill>
                  <w14:solidFill>
                    <w14:schemeClr w14:val="tx1"/>
                  </w14:solidFill>
                </w14:textFill>
              </w:rPr>
            </w:pPr>
            <w:r>
              <w:rPr>
                <w:rFonts w:ascii="Times New Roman" w:hAnsi="Times New Roman" w:eastAsia="宋体"/>
                <w:bCs/>
                <w:color w:val="000000" w:themeColor="text1"/>
                <w:sz w:val="24"/>
                <w:szCs w:val="24"/>
                <w:highlight w:val="none"/>
                <w:lang w:bidi="ar"/>
                <w14:textFill>
                  <w14:solidFill>
                    <w14:schemeClr w14:val="tx1"/>
                  </w14:solidFill>
                </w14:textFill>
              </w:rPr>
              <w:t xml:space="preserve">      t——</w:t>
            </w:r>
            <w:r>
              <w:rPr>
                <w:rFonts w:hint="eastAsia" w:ascii="Times New Roman" w:hAnsi="Times New Roman" w:eastAsia="宋体" w:cs="宋体"/>
                <w:bCs/>
                <w:color w:val="000000" w:themeColor="text1"/>
                <w:sz w:val="24"/>
                <w:szCs w:val="24"/>
                <w:highlight w:val="none"/>
                <w:lang w:bidi="ar"/>
                <w14:textFill>
                  <w14:solidFill>
                    <w14:schemeClr w14:val="tx1"/>
                  </w14:solidFill>
                </w14:textFill>
              </w:rPr>
              <w:t>降雨历时，</w:t>
            </w:r>
            <w:r>
              <w:rPr>
                <w:rFonts w:ascii="Times New Roman" w:hAnsi="Times New Roman" w:eastAsia="宋体"/>
                <w:bCs/>
                <w:color w:val="000000" w:themeColor="text1"/>
                <w:sz w:val="24"/>
                <w:szCs w:val="24"/>
                <w:highlight w:val="none"/>
                <w:lang w:bidi="ar"/>
                <w14:textFill>
                  <w14:solidFill>
                    <w14:schemeClr w14:val="tx1"/>
                  </w14:solidFill>
                </w14:textFill>
              </w:rPr>
              <w:t>min</w:t>
            </w:r>
            <w:r>
              <w:rPr>
                <w:rFonts w:hint="eastAsia" w:ascii="Times New Roman" w:hAnsi="Times New Roman" w:eastAsia="宋体" w:cs="宋体"/>
                <w:bCs/>
                <w:color w:val="000000" w:themeColor="text1"/>
                <w:sz w:val="24"/>
                <w:szCs w:val="24"/>
                <w:highlight w:val="none"/>
                <w:lang w:bidi="ar"/>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ascii="Times New Roman" w:hAnsi="Times New Roman" w:eastAsia="宋体"/>
                <w:bCs/>
                <w:color w:val="000000" w:themeColor="text1"/>
                <w:sz w:val="24"/>
                <w:szCs w:val="24"/>
                <w:highlight w:val="none"/>
                <w14:textFill>
                  <w14:solidFill>
                    <w14:schemeClr w14:val="tx1"/>
                  </w14:solidFill>
                </w14:textFill>
              </w:rPr>
            </w:pPr>
            <w:r>
              <w:rPr>
                <w:rFonts w:ascii="Times New Roman" w:hAnsi="Times New Roman" w:eastAsia="宋体"/>
                <w:bCs/>
                <w:color w:val="000000" w:themeColor="text1"/>
                <w:sz w:val="24"/>
                <w:szCs w:val="24"/>
                <w:highlight w:val="none"/>
                <w:lang w:bidi="ar"/>
                <w14:textFill>
                  <w14:solidFill>
                    <w14:schemeClr w14:val="tx1"/>
                  </w14:solidFill>
                </w14:textFill>
              </w:rPr>
              <w:t xml:space="preserve">      a——</w:t>
            </w:r>
            <w:r>
              <w:rPr>
                <w:rFonts w:hint="eastAsia" w:ascii="Times New Roman" w:hAnsi="Times New Roman" w:eastAsia="宋体" w:cs="宋体"/>
                <w:bCs/>
                <w:color w:val="000000" w:themeColor="text1"/>
                <w:sz w:val="24"/>
                <w:szCs w:val="24"/>
                <w:highlight w:val="none"/>
                <w:lang w:bidi="ar"/>
                <w14:textFill>
                  <w14:solidFill>
                    <w14:schemeClr w14:val="tx1"/>
                  </w14:solidFill>
                </w14:textFill>
              </w:rPr>
              <w:t>表示离散程度的参数；</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ascii="Times New Roman" w:hAnsi="Times New Roman" w:eastAsia="宋体"/>
                <w:bCs/>
                <w:color w:val="000000" w:themeColor="text1"/>
                <w:sz w:val="24"/>
                <w:szCs w:val="24"/>
                <w:highlight w:val="none"/>
                <w14:textFill>
                  <w14:solidFill>
                    <w14:schemeClr w14:val="tx1"/>
                  </w14:solidFill>
                </w14:textFill>
              </w:rPr>
            </w:pPr>
            <w:r>
              <w:rPr>
                <w:rFonts w:ascii="Times New Roman" w:hAnsi="Times New Roman" w:eastAsia="宋体"/>
                <w:bCs/>
                <w:color w:val="000000" w:themeColor="text1"/>
                <w:sz w:val="24"/>
                <w:szCs w:val="24"/>
                <w:highlight w:val="none"/>
                <w:lang w:bidi="ar"/>
                <w14:textFill>
                  <w14:solidFill>
                    <w14:schemeClr w14:val="tx1"/>
                  </w14:solidFill>
                </w14:textFill>
              </w:rPr>
              <w:t xml:space="preserve">      s——</w:t>
            </w:r>
            <w:r>
              <w:rPr>
                <w:rFonts w:hint="eastAsia" w:ascii="Times New Roman" w:hAnsi="Times New Roman" w:eastAsia="宋体" w:cs="宋体"/>
                <w:bCs/>
                <w:color w:val="000000" w:themeColor="text1"/>
                <w:sz w:val="24"/>
                <w:szCs w:val="24"/>
                <w:highlight w:val="none"/>
                <w:lang w:bidi="ar"/>
                <w14:textFill>
                  <w14:solidFill>
                    <w14:schemeClr w14:val="tx1"/>
                  </w14:solidFill>
                </w14:textFill>
              </w:rPr>
              <w:t>雨力变动参数；</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ascii="Times New Roman" w:hAnsi="Times New Roman" w:eastAsia="宋体"/>
                <w:bCs/>
                <w:color w:val="000000" w:themeColor="text1"/>
                <w:sz w:val="24"/>
                <w:szCs w:val="24"/>
                <w:highlight w:val="none"/>
                <w14:textFill>
                  <w14:solidFill>
                    <w14:schemeClr w14:val="tx1"/>
                  </w14:solidFill>
                </w14:textFill>
              </w:rPr>
            </w:pPr>
            <w:r>
              <w:rPr>
                <w:rFonts w:ascii="Times New Roman" w:hAnsi="Times New Roman" w:eastAsia="宋体"/>
                <w:bCs/>
                <w:color w:val="000000" w:themeColor="text1"/>
                <w:sz w:val="24"/>
                <w:szCs w:val="24"/>
                <w:highlight w:val="none"/>
                <w:lang w:bidi="ar"/>
                <w14:textFill>
                  <w14:solidFill>
                    <w14:schemeClr w14:val="tx1"/>
                  </w14:solidFill>
                </w14:textFill>
              </w:rPr>
              <w:t xml:space="preserve">      n——</w:t>
            </w:r>
            <w:r>
              <w:rPr>
                <w:rFonts w:hint="eastAsia" w:ascii="Times New Roman" w:hAnsi="Times New Roman" w:eastAsia="宋体" w:cs="宋体"/>
                <w:bCs/>
                <w:color w:val="000000" w:themeColor="text1"/>
                <w:sz w:val="24"/>
                <w:szCs w:val="24"/>
                <w:highlight w:val="none"/>
                <w:lang w:bidi="ar"/>
                <w14:textFill>
                  <w14:solidFill>
                    <w14:schemeClr w14:val="tx1"/>
                  </w14:solidFill>
                </w14:textFill>
              </w:rPr>
              <w:t>指数；</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textAlignment w:val="auto"/>
              <w:rPr>
                <w:rFonts w:ascii="Times New Roman" w:hAnsi="Times New Roman" w:eastAsia="宋体"/>
                <w:bCs/>
                <w:color w:val="000000" w:themeColor="text1"/>
                <w:sz w:val="24"/>
                <w:szCs w:val="24"/>
                <w:highlight w:val="none"/>
                <w14:textFill>
                  <w14:solidFill>
                    <w14:schemeClr w14:val="tx1"/>
                  </w14:solidFill>
                </w14:textFill>
              </w:rPr>
            </w:pPr>
            <w:r>
              <w:rPr>
                <w:rFonts w:ascii="Times New Roman" w:hAnsi="Times New Roman" w:eastAsia="宋体"/>
                <w:bCs/>
                <w:color w:val="000000" w:themeColor="text1"/>
                <w:sz w:val="24"/>
                <w:szCs w:val="24"/>
                <w:highlight w:val="none"/>
                <w:lang w:bidi="ar"/>
                <w14:textFill>
                  <w14:solidFill>
                    <w14:schemeClr w14:val="tx1"/>
                  </w14:solidFill>
                </w14:textFill>
              </w:rPr>
              <w:t xml:space="preserve">      B——</w:t>
            </w:r>
            <w:r>
              <w:rPr>
                <w:rFonts w:hint="eastAsia" w:ascii="Times New Roman" w:hAnsi="Times New Roman" w:eastAsia="宋体" w:cs="宋体"/>
                <w:bCs/>
                <w:color w:val="000000" w:themeColor="text1"/>
                <w:sz w:val="24"/>
                <w:szCs w:val="24"/>
                <w:highlight w:val="none"/>
                <w:lang w:bidi="ar"/>
                <w14:textFill>
                  <w14:solidFill>
                    <w14:schemeClr w14:val="tx1"/>
                  </w14:solidFill>
                </w14:textFill>
              </w:rPr>
              <w:t>暴雨公式参数。</w:t>
            </w:r>
          </w:p>
          <w:p>
            <w:pPr>
              <w:pageBreakBefore w:val="0"/>
              <w:kinsoku/>
              <w:bidi w:val="0"/>
              <w:spacing w:beforeAutospacing="0" w:afterAutospacing="0" w:line="360" w:lineRule="auto"/>
              <w:ind w:firstLine="480" w:firstLineChars="200"/>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cs="宋体"/>
                <w:bCs/>
                <w:color w:val="000000" w:themeColor="text1"/>
                <w:sz w:val="24"/>
                <w:szCs w:val="24"/>
                <w:highlight w:val="none"/>
                <w:lang w:bidi="ar"/>
                <w14:textFill>
                  <w14:solidFill>
                    <w14:schemeClr w14:val="tx1"/>
                  </w14:solidFill>
                </w14:textFill>
              </w:rPr>
              <w:t>参数选取参考《福建省工程建设地方标准》（</w:t>
            </w:r>
            <w:r>
              <w:rPr>
                <w:rFonts w:ascii="Times New Roman" w:hAnsi="Times New Roman" w:eastAsia="宋体"/>
                <w:bCs/>
                <w:color w:val="000000" w:themeColor="text1"/>
                <w:sz w:val="24"/>
                <w:szCs w:val="24"/>
                <w:highlight w:val="none"/>
                <w:lang w:bidi="ar"/>
                <w14:textFill>
                  <w14:solidFill>
                    <w14:schemeClr w14:val="tx1"/>
                  </w14:solidFill>
                </w14:textFill>
              </w:rPr>
              <w:t>DBJ13-52-2003</w:t>
            </w:r>
            <w:r>
              <w:rPr>
                <w:rFonts w:hint="eastAsia" w:ascii="Times New Roman" w:hAnsi="Times New Roman" w:eastAsia="宋体" w:cs="宋体"/>
                <w:bCs/>
                <w:color w:val="000000" w:themeColor="text1"/>
                <w:sz w:val="24"/>
                <w:szCs w:val="24"/>
                <w:highlight w:val="none"/>
                <w:lang w:bidi="ar"/>
                <w14:textFill>
                  <w14:solidFill>
                    <w14:schemeClr w14:val="tx1"/>
                  </w14:solidFill>
                </w14:textFill>
              </w:rPr>
              <w:t>）中参数值，详见</w:t>
            </w:r>
            <w:r>
              <w:rPr>
                <w:rFonts w:hint="eastAsia" w:ascii="Times New Roman" w:hAnsi="Times New Roman" w:eastAsia="宋体"/>
                <w:bCs/>
                <w:color w:val="000000" w:themeColor="text1"/>
                <w:sz w:val="24"/>
                <w:szCs w:val="24"/>
                <w:highlight w:val="none"/>
                <w:lang w:bidi="ar"/>
                <w14:textFill>
                  <w14:solidFill>
                    <w14:schemeClr w14:val="tx1"/>
                  </w14:solidFill>
                </w14:textFill>
              </w:rPr>
              <w:t>表</w:t>
            </w:r>
            <w:r>
              <w:rPr>
                <w:rFonts w:hint="eastAsia" w:ascii="Times New Roman" w:hAnsi="Times New Roman" w:eastAsia="宋体"/>
                <w:bCs/>
                <w:color w:val="000000" w:themeColor="text1"/>
                <w:sz w:val="24"/>
                <w:szCs w:val="24"/>
                <w:highlight w:val="none"/>
                <w:lang w:val="en-US" w:eastAsia="zh-CN" w:bidi="ar"/>
                <w14:textFill>
                  <w14:solidFill>
                    <w14:schemeClr w14:val="tx1"/>
                  </w14:solidFill>
                </w14:textFill>
              </w:rPr>
              <w:t>4.7-2</w:t>
            </w:r>
            <w:r>
              <w:rPr>
                <w:rFonts w:hint="eastAsia" w:ascii="Times New Roman" w:hAnsi="Times New Roman" w:eastAsia="宋体" w:cs="宋体"/>
                <w:bCs/>
                <w:color w:val="000000" w:themeColor="text1"/>
                <w:sz w:val="24"/>
                <w:szCs w:val="24"/>
                <w:highlight w:val="none"/>
                <w:lang w:bidi="ar"/>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ascii="Times New Roman" w:hAnsi="Times New Roman" w:eastAsia="宋体"/>
                <w:b/>
                <w:color w:val="000000" w:themeColor="text1"/>
                <w:sz w:val="24"/>
                <w:szCs w:val="24"/>
                <w:highlight w:val="none"/>
                <w14:textFill>
                  <w14:solidFill>
                    <w14:schemeClr w14:val="tx1"/>
                  </w14:solidFill>
                </w14:textFill>
              </w:rPr>
            </w:pPr>
            <w:r>
              <w:rPr>
                <w:rFonts w:hint="eastAsia" w:ascii="Times New Roman" w:hAnsi="Times New Roman" w:eastAsia="宋体" w:cs="宋体"/>
                <w:b/>
                <w:color w:val="000000" w:themeColor="text1"/>
                <w:sz w:val="24"/>
                <w:szCs w:val="24"/>
                <w:highlight w:val="none"/>
                <w:lang w:bidi="ar"/>
                <w14:textFill>
                  <w14:solidFill>
                    <w14:schemeClr w14:val="tx1"/>
                  </w14:solidFill>
                </w14:textFill>
              </w:rPr>
              <w:t>表</w:t>
            </w:r>
            <w:r>
              <w:rPr>
                <w:rFonts w:hint="eastAsia" w:ascii="Times New Roman" w:hAnsi="Times New Roman" w:eastAsia="宋体"/>
                <w:b/>
                <w:color w:val="000000" w:themeColor="text1"/>
                <w:sz w:val="24"/>
                <w:szCs w:val="24"/>
                <w:highlight w:val="none"/>
                <w:lang w:val="en-US" w:eastAsia="zh-CN" w:bidi="ar"/>
                <w14:textFill>
                  <w14:solidFill>
                    <w14:schemeClr w14:val="tx1"/>
                  </w14:solidFill>
                </w14:textFill>
              </w:rPr>
              <w:t>4.7-2</w:t>
            </w:r>
            <w:r>
              <w:rPr>
                <w:rFonts w:ascii="Times New Roman" w:hAnsi="Times New Roman" w:eastAsia="宋体"/>
                <w:b/>
                <w:color w:val="000000" w:themeColor="text1"/>
                <w:sz w:val="24"/>
                <w:szCs w:val="24"/>
                <w:highlight w:val="none"/>
                <w:lang w:bidi="ar"/>
                <w14:textFill>
                  <w14:solidFill>
                    <w14:schemeClr w14:val="tx1"/>
                  </w14:solidFill>
                </w14:textFill>
              </w:rPr>
              <w:t xml:space="preserve"> </w:t>
            </w:r>
            <w:r>
              <w:rPr>
                <w:rFonts w:hint="eastAsia" w:ascii="Times New Roman" w:hAnsi="Times New Roman" w:eastAsia="宋体" w:cs="宋体"/>
                <w:b/>
                <w:color w:val="000000" w:themeColor="text1"/>
                <w:sz w:val="24"/>
                <w:szCs w:val="24"/>
                <w:highlight w:val="none"/>
                <w:lang w:bidi="ar"/>
                <w14:textFill>
                  <w14:solidFill>
                    <w14:schemeClr w14:val="tx1"/>
                  </w14:solidFill>
                </w14:textFill>
              </w:rPr>
              <w:t>初期雨水计算公式参数选取一览表</w:t>
            </w:r>
          </w:p>
          <w:tbl>
            <w:tblPr>
              <w:tblStyle w:val="33"/>
              <w:tblW w:w="8453" w:type="dxa"/>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940"/>
              <w:gridCol w:w="1933"/>
              <w:gridCol w:w="1776"/>
              <w:gridCol w:w="1777"/>
              <w:gridCol w:w="2027"/>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0" w:type="dxa"/>
                  <w:tcBorders>
                    <w:top w:val="single" w:color="auto" w:sz="12" w:space="0"/>
                    <w:left w:val="nil"/>
                    <w:bottom w:val="single" w:color="auto" w:sz="4" w:space="0"/>
                    <w:right w:val="single" w:color="auto" w:sz="4" w:space="0"/>
                  </w:tcBorders>
                  <w:vAlign w:val="center"/>
                </w:tcPr>
                <w:p>
                  <w:pPr>
                    <w:pageBreakBefore w:val="0"/>
                    <w:kinsoku/>
                    <w:bidi w:val="0"/>
                    <w:spacing w:beforeAutospacing="0" w:afterAutospacing="0"/>
                    <w:jc w:val="center"/>
                    <w:rPr>
                      <w:rFonts w:ascii="Times New Roman" w:hAnsi="Times New Roman" w:eastAsia="宋体"/>
                      <w:b w:val="0"/>
                      <w:bCs/>
                      <w:color w:val="000000" w:themeColor="text1"/>
                      <w:szCs w:val="21"/>
                      <w:highlight w:val="none"/>
                      <w14:textFill>
                        <w14:solidFill>
                          <w14:schemeClr w14:val="tx1"/>
                        </w14:solidFill>
                      </w14:textFill>
                    </w:rPr>
                  </w:pPr>
                  <w:r>
                    <w:rPr>
                      <w:rFonts w:hint="eastAsia" w:ascii="Times New Roman" w:hAnsi="Times New Roman" w:eastAsia="宋体" w:cs="宋体"/>
                      <w:b w:val="0"/>
                      <w:bCs/>
                      <w:color w:val="000000" w:themeColor="text1"/>
                      <w:szCs w:val="21"/>
                      <w:highlight w:val="none"/>
                      <w:lang w:bidi="ar"/>
                      <w14:textFill>
                        <w14:solidFill>
                          <w14:schemeClr w14:val="tx1"/>
                        </w14:solidFill>
                      </w14:textFill>
                    </w:rPr>
                    <w:t>序号</w:t>
                  </w:r>
                </w:p>
              </w:tc>
              <w:tc>
                <w:tcPr>
                  <w:tcW w:w="1933" w:type="dxa"/>
                  <w:tcBorders>
                    <w:top w:val="single" w:color="auto" w:sz="12" w:space="0"/>
                    <w:left w:val="single" w:color="auto" w:sz="4" w:space="0"/>
                    <w:bottom w:val="single" w:color="auto" w:sz="4" w:space="0"/>
                    <w:right w:val="single" w:color="auto" w:sz="4" w:space="0"/>
                  </w:tcBorders>
                  <w:vAlign w:val="center"/>
                </w:tcPr>
                <w:p>
                  <w:pPr>
                    <w:pageBreakBefore w:val="0"/>
                    <w:kinsoku/>
                    <w:bidi w:val="0"/>
                    <w:spacing w:beforeAutospacing="0" w:afterAutospacing="0"/>
                    <w:jc w:val="center"/>
                    <w:rPr>
                      <w:rFonts w:ascii="Times New Roman" w:hAnsi="Times New Roman" w:eastAsia="宋体"/>
                      <w:b w:val="0"/>
                      <w:bCs/>
                      <w:color w:val="000000" w:themeColor="text1"/>
                      <w:szCs w:val="21"/>
                      <w:highlight w:val="none"/>
                      <w14:textFill>
                        <w14:solidFill>
                          <w14:schemeClr w14:val="tx1"/>
                        </w14:solidFill>
                      </w14:textFill>
                    </w:rPr>
                  </w:pPr>
                  <w:r>
                    <w:rPr>
                      <w:rFonts w:hint="eastAsia" w:ascii="Times New Roman" w:hAnsi="Times New Roman" w:eastAsia="宋体" w:cs="宋体"/>
                      <w:b w:val="0"/>
                      <w:bCs/>
                      <w:color w:val="000000" w:themeColor="text1"/>
                      <w:szCs w:val="21"/>
                      <w:highlight w:val="none"/>
                      <w:lang w:bidi="ar"/>
                      <w14:textFill>
                        <w14:solidFill>
                          <w14:schemeClr w14:val="tx1"/>
                        </w14:solidFill>
                      </w14:textFill>
                    </w:rPr>
                    <w:t>参数</w:t>
                  </w:r>
                </w:p>
              </w:tc>
              <w:tc>
                <w:tcPr>
                  <w:tcW w:w="1776" w:type="dxa"/>
                  <w:tcBorders>
                    <w:top w:val="single" w:color="auto" w:sz="12" w:space="0"/>
                    <w:left w:val="single" w:color="auto" w:sz="4" w:space="0"/>
                    <w:bottom w:val="single" w:color="auto" w:sz="4" w:space="0"/>
                    <w:right w:val="single" w:color="auto" w:sz="4" w:space="0"/>
                  </w:tcBorders>
                  <w:vAlign w:val="center"/>
                </w:tcPr>
                <w:p>
                  <w:pPr>
                    <w:pageBreakBefore w:val="0"/>
                    <w:kinsoku/>
                    <w:bidi w:val="0"/>
                    <w:spacing w:beforeAutospacing="0" w:afterAutospacing="0"/>
                    <w:jc w:val="center"/>
                    <w:rPr>
                      <w:rFonts w:ascii="Times New Roman" w:hAnsi="Times New Roman" w:eastAsia="宋体"/>
                      <w:b w:val="0"/>
                      <w:bCs/>
                      <w:color w:val="000000" w:themeColor="text1"/>
                      <w:szCs w:val="21"/>
                      <w:highlight w:val="none"/>
                      <w14:textFill>
                        <w14:solidFill>
                          <w14:schemeClr w14:val="tx1"/>
                        </w14:solidFill>
                      </w14:textFill>
                    </w:rPr>
                  </w:pPr>
                  <w:r>
                    <w:rPr>
                      <w:rFonts w:hint="eastAsia" w:ascii="Times New Roman" w:hAnsi="Times New Roman" w:eastAsia="宋体" w:cs="宋体"/>
                      <w:b w:val="0"/>
                      <w:bCs/>
                      <w:color w:val="000000" w:themeColor="text1"/>
                      <w:szCs w:val="21"/>
                      <w:highlight w:val="none"/>
                      <w:lang w:bidi="ar"/>
                      <w14:textFill>
                        <w14:solidFill>
                          <w14:schemeClr w14:val="tx1"/>
                        </w14:solidFill>
                      </w14:textFill>
                    </w:rPr>
                    <w:t>数值</w:t>
                  </w:r>
                </w:p>
              </w:tc>
              <w:tc>
                <w:tcPr>
                  <w:tcW w:w="1777" w:type="dxa"/>
                  <w:tcBorders>
                    <w:top w:val="single" w:color="auto" w:sz="12" w:space="0"/>
                    <w:left w:val="single" w:color="auto" w:sz="4" w:space="0"/>
                    <w:bottom w:val="single" w:color="auto" w:sz="4" w:space="0"/>
                    <w:right w:val="single" w:color="auto" w:sz="4" w:space="0"/>
                  </w:tcBorders>
                  <w:vAlign w:val="center"/>
                </w:tcPr>
                <w:p>
                  <w:pPr>
                    <w:pageBreakBefore w:val="0"/>
                    <w:kinsoku/>
                    <w:bidi w:val="0"/>
                    <w:spacing w:beforeAutospacing="0" w:afterAutospacing="0"/>
                    <w:jc w:val="center"/>
                    <w:rPr>
                      <w:rFonts w:ascii="Times New Roman" w:hAnsi="Times New Roman" w:eastAsia="宋体"/>
                      <w:b w:val="0"/>
                      <w:bCs/>
                      <w:color w:val="000000" w:themeColor="text1"/>
                      <w:szCs w:val="21"/>
                      <w:highlight w:val="none"/>
                      <w14:textFill>
                        <w14:solidFill>
                          <w14:schemeClr w14:val="tx1"/>
                        </w14:solidFill>
                      </w14:textFill>
                    </w:rPr>
                  </w:pPr>
                  <w:r>
                    <w:rPr>
                      <w:rFonts w:hint="eastAsia" w:ascii="Times New Roman" w:hAnsi="Times New Roman" w:eastAsia="宋体" w:cs="宋体"/>
                      <w:b w:val="0"/>
                      <w:bCs/>
                      <w:color w:val="000000" w:themeColor="text1"/>
                      <w:szCs w:val="21"/>
                      <w:highlight w:val="none"/>
                      <w:lang w:bidi="ar"/>
                      <w14:textFill>
                        <w14:solidFill>
                          <w14:schemeClr w14:val="tx1"/>
                        </w14:solidFill>
                      </w14:textFill>
                    </w:rPr>
                    <w:t>单位</w:t>
                  </w:r>
                </w:p>
              </w:tc>
              <w:tc>
                <w:tcPr>
                  <w:tcW w:w="2027" w:type="dxa"/>
                  <w:tcBorders>
                    <w:top w:val="single" w:color="auto" w:sz="12" w:space="0"/>
                    <w:left w:val="single" w:color="auto" w:sz="4" w:space="0"/>
                    <w:bottom w:val="single" w:color="auto" w:sz="4" w:space="0"/>
                    <w:right w:val="nil"/>
                  </w:tcBorders>
                  <w:vAlign w:val="center"/>
                </w:tcPr>
                <w:p>
                  <w:pPr>
                    <w:pageBreakBefore w:val="0"/>
                    <w:kinsoku/>
                    <w:bidi w:val="0"/>
                    <w:spacing w:beforeAutospacing="0" w:afterAutospacing="0"/>
                    <w:jc w:val="center"/>
                    <w:rPr>
                      <w:rFonts w:ascii="Times New Roman" w:hAnsi="Times New Roman" w:eastAsia="宋体"/>
                      <w:b w:val="0"/>
                      <w:bCs/>
                      <w:color w:val="000000" w:themeColor="text1"/>
                      <w:szCs w:val="21"/>
                      <w:highlight w:val="none"/>
                      <w14:textFill>
                        <w14:solidFill>
                          <w14:schemeClr w14:val="tx1"/>
                        </w14:solidFill>
                      </w14:textFill>
                    </w:rPr>
                  </w:pPr>
                  <w:r>
                    <w:rPr>
                      <w:rFonts w:hint="eastAsia" w:ascii="Times New Roman" w:hAnsi="Times New Roman" w:eastAsia="宋体" w:cs="宋体"/>
                      <w:b w:val="0"/>
                      <w:bCs/>
                      <w:color w:val="000000" w:themeColor="text1"/>
                      <w:szCs w:val="21"/>
                      <w:highlight w:val="none"/>
                      <w:lang w:bidi="ar"/>
                      <w14:textFill>
                        <w14:solidFill>
                          <w14:schemeClr w14:val="tx1"/>
                        </w14:solidFill>
                      </w14:textFill>
                    </w:rPr>
                    <w:t>来源依据</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940" w:type="dxa"/>
                  <w:tcBorders>
                    <w:top w:val="single" w:color="auto" w:sz="4" w:space="0"/>
                    <w:left w:val="nil"/>
                    <w:bottom w:val="single" w:color="auto" w:sz="4" w:space="0"/>
                    <w:right w:val="single" w:color="auto" w:sz="4" w:space="0"/>
                  </w:tcBorders>
                  <w:vAlign w:val="center"/>
                </w:tcPr>
                <w:p>
                  <w:pPr>
                    <w:pageBreakBefore w:val="0"/>
                    <w:kinsoku/>
                    <w:bidi w:val="0"/>
                    <w:spacing w:beforeAutospacing="0" w:afterAutospacing="0"/>
                    <w:jc w:val="center"/>
                    <w:rPr>
                      <w:rFonts w:ascii="Times New Roman" w:hAnsi="Times New Roman" w:eastAsia="宋体"/>
                      <w:bCs/>
                      <w:color w:val="000000" w:themeColor="text1"/>
                      <w:szCs w:val="21"/>
                      <w:highlight w:val="none"/>
                      <w14:textFill>
                        <w14:solidFill>
                          <w14:schemeClr w14:val="tx1"/>
                        </w14:solidFill>
                      </w14:textFill>
                    </w:rPr>
                  </w:pPr>
                  <w:r>
                    <w:rPr>
                      <w:rFonts w:ascii="Times New Roman" w:hAnsi="Times New Roman" w:eastAsia="宋体"/>
                      <w:bCs/>
                      <w:color w:val="000000" w:themeColor="text1"/>
                      <w:szCs w:val="21"/>
                      <w:highlight w:val="none"/>
                      <w:lang w:bidi="ar"/>
                      <w14:textFill>
                        <w14:solidFill>
                          <w14:schemeClr w14:val="tx1"/>
                        </w14:solidFill>
                      </w14:textFill>
                    </w:rPr>
                    <w:t>1</w:t>
                  </w:r>
                </w:p>
              </w:tc>
              <w:tc>
                <w:tcPr>
                  <w:tcW w:w="1933" w:type="dxa"/>
                  <w:tcBorders>
                    <w:top w:val="single" w:color="auto" w:sz="4" w:space="0"/>
                    <w:left w:val="single" w:color="auto" w:sz="4" w:space="0"/>
                    <w:bottom w:val="single" w:color="auto" w:sz="4" w:space="0"/>
                    <w:right w:val="single" w:color="auto" w:sz="4" w:space="0"/>
                  </w:tcBorders>
                  <w:vAlign w:val="center"/>
                </w:tcPr>
                <w:p>
                  <w:pPr>
                    <w:pageBreakBefore w:val="0"/>
                    <w:kinsoku/>
                    <w:bidi w:val="0"/>
                    <w:spacing w:beforeAutospacing="0" w:afterAutospacing="0"/>
                    <w:jc w:val="center"/>
                    <w:rPr>
                      <w:rFonts w:ascii="Times New Roman" w:hAnsi="Times New Roman" w:eastAsia="宋体"/>
                      <w:bCs/>
                      <w:color w:val="000000" w:themeColor="text1"/>
                      <w:szCs w:val="21"/>
                      <w:highlight w:val="none"/>
                      <w14:textFill>
                        <w14:solidFill>
                          <w14:schemeClr w14:val="tx1"/>
                        </w14:solidFill>
                      </w14:textFill>
                    </w:rPr>
                  </w:pPr>
                  <w:r>
                    <w:rPr>
                      <w:rFonts w:hint="eastAsia" w:ascii="Times New Roman" w:hAnsi="Times New Roman" w:eastAsia="宋体" w:cs="宋体"/>
                      <w:bCs/>
                      <w:color w:val="000000" w:themeColor="text1"/>
                      <w:szCs w:val="21"/>
                      <w:highlight w:val="none"/>
                      <w:lang w:bidi="ar"/>
                      <w14:textFill>
                        <w14:solidFill>
                          <w14:schemeClr w14:val="tx1"/>
                        </w14:solidFill>
                      </w14:textFill>
                    </w:rPr>
                    <w:t>降雨历时（t）</w:t>
                  </w:r>
                </w:p>
              </w:tc>
              <w:tc>
                <w:tcPr>
                  <w:tcW w:w="1776" w:type="dxa"/>
                  <w:tcBorders>
                    <w:top w:val="single" w:color="auto" w:sz="4" w:space="0"/>
                    <w:left w:val="single" w:color="auto" w:sz="4" w:space="0"/>
                    <w:bottom w:val="single" w:color="auto" w:sz="4" w:space="0"/>
                    <w:right w:val="single" w:color="auto" w:sz="4" w:space="0"/>
                  </w:tcBorders>
                  <w:vAlign w:val="center"/>
                </w:tcPr>
                <w:p>
                  <w:pPr>
                    <w:pageBreakBefore w:val="0"/>
                    <w:kinsoku/>
                    <w:bidi w:val="0"/>
                    <w:spacing w:beforeAutospacing="0" w:afterAutospacing="0"/>
                    <w:jc w:val="center"/>
                    <w:rPr>
                      <w:rFonts w:ascii="Times New Roman" w:hAnsi="Times New Roman" w:eastAsia="宋体"/>
                      <w:bCs/>
                      <w:color w:val="000000" w:themeColor="text1"/>
                      <w:szCs w:val="21"/>
                      <w:highlight w:val="none"/>
                      <w14:textFill>
                        <w14:solidFill>
                          <w14:schemeClr w14:val="tx1"/>
                        </w14:solidFill>
                      </w14:textFill>
                    </w:rPr>
                  </w:pPr>
                  <w:r>
                    <w:rPr>
                      <w:rFonts w:ascii="Times New Roman" w:hAnsi="Times New Roman" w:eastAsia="宋体"/>
                      <w:bCs/>
                      <w:color w:val="000000" w:themeColor="text1"/>
                      <w:szCs w:val="21"/>
                      <w:highlight w:val="none"/>
                      <w:lang w:bidi="ar"/>
                      <w14:textFill>
                        <w14:solidFill>
                          <w14:schemeClr w14:val="tx1"/>
                        </w14:solidFill>
                      </w14:textFill>
                    </w:rPr>
                    <w:t>15</w:t>
                  </w:r>
                </w:p>
              </w:tc>
              <w:tc>
                <w:tcPr>
                  <w:tcW w:w="1777" w:type="dxa"/>
                  <w:tcBorders>
                    <w:top w:val="single" w:color="auto" w:sz="4" w:space="0"/>
                    <w:left w:val="single" w:color="auto" w:sz="4" w:space="0"/>
                    <w:bottom w:val="single" w:color="auto" w:sz="4" w:space="0"/>
                    <w:right w:val="single" w:color="auto" w:sz="4" w:space="0"/>
                  </w:tcBorders>
                  <w:vAlign w:val="center"/>
                </w:tcPr>
                <w:p>
                  <w:pPr>
                    <w:pageBreakBefore w:val="0"/>
                    <w:kinsoku/>
                    <w:bidi w:val="0"/>
                    <w:spacing w:beforeAutospacing="0" w:afterAutospacing="0"/>
                    <w:jc w:val="center"/>
                    <w:rPr>
                      <w:rFonts w:ascii="Times New Roman" w:hAnsi="Times New Roman" w:eastAsia="宋体"/>
                      <w:bCs/>
                      <w:color w:val="000000" w:themeColor="text1"/>
                      <w:szCs w:val="21"/>
                      <w:highlight w:val="none"/>
                      <w14:textFill>
                        <w14:solidFill>
                          <w14:schemeClr w14:val="tx1"/>
                        </w14:solidFill>
                      </w14:textFill>
                    </w:rPr>
                  </w:pPr>
                  <w:r>
                    <w:rPr>
                      <w:rFonts w:ascii="Times New Roman" w:hAnsi="Times New Roman" w:eastAsia="宋体"/>
                      <w:bCs/>
                      <w:color w:val="000000" w:themeColor="text1"/>
                      <w:szCs w:val="21"/>
                      <w:highlight w:val="none"/>
                      <w:lang w:bidi="ar"/>
                      <w14:textFill>
                        <w14:solidFill>
                          <w14:schemeClr w14:val="tx1"/>
                        </w14:solidFill>
                      </w14:textFill>
                    </w:rPr>
                    <w:t>min</w:t>
                  </w:r>
                </w:p>
              </w:tc>
              <w:tc>
                <w:tcPr>
                  <w:tcW w:w="2027" w:type="dxa"/>
                  <w:tcBorders>
                    <w:top w:val="single" w:color="auto" w:sz="4" w:space="0"/>
                    <w:left w:val="single" w:color="auto" w:sz="4" w:space="0"/>
                    <w:bottom w:val="single" w:color="auto" w:sz="4" w:space="0"/>
                    <w:right w:val="nil"/>
                  </w:tcBorders>
                  <w:vAlign w:val="center"/>
                </w:tcPr>
                <w:p>
                  <w:pPr>
                    <w:pageBreakBefore w:val="0"/>
                    <w:kinsoku/>
                    <w:bidi w:val="0"/>
                    <w:spacing w:beforeAutospacing="0" w:afterAutospacing="0"/>
                    <w:jc w:val="center"/>
                    <w:rPr>
                      <w:rFonts w:ascii="Times New Roman" w:hAnsi="Times New Roman" w:eastAsia="宋体"/>
                      <w:bCs/>
                      <w:color w:val="000000" w:themeColor="text1"/>
                      <w:szCs w:val="21"/>
                      <w:highlight w:val="none"/>
                      <w14:textFill>
                        <w14:solidFill>
                          <w14:schemeClr w14:val="tx1"/>
                        </w14:solidFill>
                      </w14:textFill>
                    </w:rPr>
                  </w:pPr>
                  <w:r>
                    <w:rPr>
                      <w:rFonts w:ascii="Times New Roman" w:hAnsi="Times New Roman" w:eastAsia="宋体"/>
                      <w:bCs/>
                      <w:color w:val="000000" w:themeColor="text1"/>
                      <w:szCs w:val="21"/>
                      <w:highlight w:val="none"/>
                      <w:lang w:bidi="ar"/>
                      <w14:textFill>
                        <w14:solidFill>
                          <w14:schemeClr w14:val="tx1"/>
                        </w14:solidFill>
                      </w14:textFill>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0" w:type="dxa"/>
                  <w:tcBorders>
                    <w:top w:val="single" w:color="auto" w:sz="4" w:space="0"/>
                    <w:left w:val="nil"/>
                    <w:bottom w:val="single" w:color="auto" w:sz="4" w:space="0"/>
                    <w:right w:val="single" w:color="auto" w:sz="4" w:space="0"/>
                  </w:tcBorders>
                  <w:vAlign w:val="center"/>
                </w:tcPr>
                <w:p>
                  <w:pPr>
                    <w:pageBreakBefore w:val="0"/>
                    <w:kinsoku/>
                    <w:bidi w:val="0"/>
                    <w:spacing w:beforeAutospacing="0" w:afterAutospacing="0"/>
                    <w:jc w:val="center"/>
                    <w:rPr>
                      <w:rFonts w:ascii="Times New Roman" w:hAnsi="Times New Roman" w:eastAsia="宋体"/>
                      <w:bCs/>
                      <w:color w:val="000000" w:themeColor="text1"/>
                      <w:szCs w:val="21"/>
                      <w:highlight w:val="none"/>
                      <w14:textFill>
                        <w14:solidFill>
                          <w14:schemeClr w14:val="tx1"/>
                        </w14:solidFill>
                      </w14:textFill>
                    </w:rPr>
                  </w:pPr>
                  <w:r>
                    <w:rPr>
                      <w:rFonts w:ascii="Times New Roman" w:hAnsi="Times New Roman" w:eastAsia="宋体"/>
                      <w:bCs/>
                      <w:color w:val="000000" w:themeColor="text1"/>
                      <w:szCs w:val="21"/>
                      <w:highlight w:val="none"/>
                      <w:lang w:bidi="ar"/>
                      <w14:textFill>
                        <w14:solidFill>
                          <w14:schemeClr w14:val="tx1"/>
                        </w14:solidFill>
                      </w14:textFill>
                    </w:rPr>
                    <w:t>2</w:t>
                  </w:r>
                </w:p>
              </w:tc>
              <w:tc>
                <w:tcPr>
                  <w:tcW w:w="1933" w:type="dxa"/>
                  <w:tcBorders>
                    <w:top w:val="single" w:color="auto" w:sz="4" w:space="0"/>
                    <w:left w:val="single" w:color="auto" w:sz="4" w:space="0"/>
                    <w:bottom w:val="single" w:color="auto" w:sz="4" w:space="0"/>
                    <w:right w:val="single" w:color="auto" w:sz="4" w:space="0"/>
                  </w:tcBorders>
                  <w:vAlign w:val="center"/>
                </w:tcPr>
                <w:p>
                  <w:pPr>
                    <w:pageBreakBefore w:val="0"/>
                    <w:kinsoku/>
                    <w:bidi w:val="0"/>
                    <w:spacing w:beforeAutospacing="0" w:afterAutospacing="0"/>
                    <w:jc w:val="center"/>
                    <w:rPr>
                      <w:rFonts w:ascii="Times New Roman" w:hAnsi="Times New Roman" w:eastAsia="宋体"/>
                      <w:bCs/>
                      <w:color w:val="000000" w:themeColor="text1"/>
                      <w:szCs w:val="21"/>
                      <w:highlight w:val="none"/>
                      <w14:textFill>
                        <w14:solidFill>
                          <w14:schemeClr w14:val="tx1"/>
                        </w14:solidFill>
                      </w14:textFill>
                    </w:rPr>
                  </w:pPr>
                  <w:r>
                    <w:rPr>
                      <w:rFonts w:hint="eastAsia" w:ascii="Times New Roman" w:hAnsi="Times New Roman" w:eastAsia="宋体" w:cs="宋体"/>
                      <w:bCs/>
                      <w:color w:val="000000" w:themeColor="text1"/>
                      <w:szCs w:val="21"/>
                      <w:highlight w:val="none"/>
                      <w:lang w:bidi="ar"/>
                      <w14:textFill>
                        <w14:solidFill>
                          <w14:schemeClr w14:val="tx1"/>
                        </w14:solidFill>
                      </w14:textFill>
                    </w:rPr>
                    <w:t>离散程度（a）</w:t>
                  </w:r>
                </w:p>
              </w:tc>
              <w:tc>
                <w:tcPr>
                  <w:tcW w:w="1776" w:type="dxa"/>
                  <w:tcBorders>
                    <w:top w:val="single" w:color="auto" w:sz="4" w:space="0"/>
                    <w:left w:val="single" w:color="auto" w:sz="4" w:space="0"/>
                    <w:bottom w:val="single" w:color="auto" w:sz="4" w:space="0"/>
                    <w:right w:val="single" w:color="auto" w:sz="4" w:space="0"/>
                  </w:tcBorders>
                  <w:vAlign w:val="center"/>
                </w:tcPr>
                <w:p>
                  <w:pPr>
                    <w:pageBreakBefore w:val="0"/>
                    <w:kinsoku/>
                    <w:bidi w:val="0"/>
                    <w:spacing w:beforeAutospacing="0" w:afterAutospacing="0"/>
                    <w:jc w:val="center"/>
                    <w:rPr>
                      <w:rFonts w:ascii="Times New Roman" w:hAnsi="Times New Roman" w:eastAsia="宋体"/>
                      <w:bCs/>
                      <w:color w:val="000000" w:themeColor="text1"/>
                      <w:szCs w:val="21"/>
                      <w:highlight w:val="none"/>
                      <w:lang w:bidi="ar"/>
                      <w14:textFill>
                        <w14:solidFill>
                          <w14:schemeClr w14:val="tx1"/>
                        </w14:solidFill>
                      </w14:textFill>
                    </w:rPr>
                  </w:pPr>
                  <w:r>
                    <w:rPr>
                      <w:rFonts w:hint="eastAsia" w:ascii="Times New Roman" w:hAnsi="Times New Roman" w:eastAsia="宋体"/>
                      <w:bCs/>
                      <w:color w:val="000000" w:themeColor="text1"/>
                      <w:szCs w:val="21"/>
                      <w:highlight w:val="none"/>
                      <w:lang w:bidi="ar"/>
                      <w14:textFill>
                        <w14:solidFill>
                          <w14:schemeClr w14:val="tx1"/>
                        </w14:solidFill>
                      </w14:textFill>
                    </w:rPr>
                    <w:t>2995.282</w:t>
                  </w:r>
                </w:p>
              </w:tc>
              <w:tc>
                <w:tcPr>
                  <w:tcW w:w="1777" w:type="dxa"/>
                  <w:tcBorders>
                    <w:top w:val="single" w:color="auto" w:sz="4" w:space="0"/>
                    <w:left w:val="single" w:color="auto" w:sz="4" w:space="0"/>
                    <w:bottom w:val="single" w:color="auto" w:sz="4" w:space="0"/>
                    <w:right w:val="single" w:color="auto" w:sz="4" w:space="0"/>
                  </w:tcBorders>
                  <w:vAlign w:val="center"/>
                </w:tcPr>
                <w:p>
                  <w:pPr>
                    <w:pageBreakBefore w:val="0"/>
                    <w:kinsoku/>
                    <w:bidi w:val="0"/>
                    <w:spacing w:beforeAutospacing="0" w:afterAutospacing="0"/>
                    <w:jc w:val="center"/>
                    <w:rPr>
                      <w:rFonts w:ascii="Times New Roman" w:hAnsi="Times New Roman" w:eastAsia="宋体"/>
                      <w:bCs/>
                      <w:color w:val="000000" w:themeColor="text1"/>
                      <w:szCs w:val="21"/>
                      <w:highlight w:val="none"/>
                      <w14:textFill>
                        <w14:solidFill>
                          <w14:schemeClr w14:val="tx1"/>
                        </w14:solidFill>
                      </w14:textFill>
                    </w:rPr>
                  </w:pPr>
                  <w:r>
                    <w:rPr>
                      <w:rFonts w:ascii="Times New Roman" w:hAnsi="Times New Roman" w:eastAsia="宋体"/>
                      <w:bCs/>
                      <w:color w:val="000000" w:themeColor="text1"/>
                      <w:szCs w:val="21"/>
                      <w:highlight w:val="none"/>
                      <w:lang w:bidi="ar"/>
                      <w14:textFill>
                        <w14:solidFill>
                          <w14:schemeClr w14:val="tx1"/>
                        </w14:solidFill>
                      </w14:textFill>
                    </w:rPr>
                    <w:t>/</w:t>
                  </w:r>
                </w:p>
              </w:tc>
              <w:tc>
                <w:tcPr>
                  <w:tcW w:w="2027" w:type="dxa"/>
                  <w:vMerge w:val="restart"/>
                  <w:tcBorders>
                    <w:top w:val="single" w:color="auto" w:sz="4" w:space="0"/>
                    <w:left w:val="single" w:color="auto" w:sz="4" w:space="0"/>
                    <w:bottom w:val="single" w:color="auto" w:sz="12" w:space="0"/>
                    <w:right w:val="nil"/>
                  </w:tcBorders>
                  <w:vAlign w:val="center"/>
                </w:tcPr>
                <w:p>
                  <w:pPr>
                    <w:pageBreakBefore w:val="0"/>
                    <w:kinsoku/>
                    <w:bidi w:val="0"/>
                    <w:spacing w:beforeAutospacing="0" w:afterAutospacing="0"/>
                    <w:jc w:val="center"/>
                    <w:rPr>
                      <w:rFonts w:ascii="Times New Roman" w:hAnsi="Times New Roman" w:eastAsia="宋体"/>
                      <w:bCs/>
                      <w:color w:val="000000" w:themeColor="text1"/>
                      <w:szCs w:val="21"/>
                      <w:highlight w:val="none"/>
                      <w14:textFill>
                        <w14:solidFill>
                          <w14:schemeClr w14:val="tx1"/>
                        </w14:solidFill>
                      </w14:textFill>
                    </w:rPr>
                  </w:pPr>
                  <w:r>
                    <w:rPr>
                      <w:rFonts w:hint="eastAsia" w:ascii="Times New Roman" w:hAnsi="Times New Roman" w:eastAsia="宋体" w:cs="宋体"/>
                      <w:bCs/>
                      <w:color w:val="000000" w:themeColor="text1"/>
                      <w:szCs w:val="21"/>
                      <w:highlight w:val="none"/>
                      <w:lang w:bidi="ar"/>
                      <w14:textFill>
                        <w14:solidFill>
                          <w14:schemeClr w14:val="tx1"/>
                        </w14:solidFill>
                      </w14:textFill>
                    </w:rPr>
                    <w:t>《福建省工程建设地方标准》</w:t>
                  </w:r>
                  <w:r>
                    <w:rPr>
                      <w:rFonts w:ascii="Times New Roman" w:hAnsi="Times New Roman" w:eastAsia="宋体"/>
                      <w:bCs/>
                      <w:color w:val="000000" w:themeColor="text1"/>
                      <w:szCs w:val="21"/>
                      <w:highlight w:val="none"/>
                      <w:lang w:bidi="ar"/>
                      <w14:textFill>
                        <w14:solidFill>
                          <w14:schemeClr w14:val="tx1"/>
                        </w14:solidFill>
                      </w14:textFill>
                    </w:rPr>
                    <w:t>DBJ13-52-2003</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0" w:type="dxa"/>
                  <w:tcBorders>
                    <w:top w:val="single" w:color="auto" w:sz="4" w:space="0"/>
                    <w:left w:val="nil"/>
                    <w:bottom w:val="single" w:color="auto" w:sz="4" w:space="0"/>
                    <w:right w:val="single" w:color="auto" w:sz="4" w:space="0"/>
                  </w:tcBorders>
                  <w:vAlign w:val="center"/>
                </w:tcPr>
                <w:p>
                  <w:pPr>
                    <w:pageBreakBefore w:val="0"/>
                    <w:kinsoku/>
                    <w:bidi w:val="0"/>
                    <w:spacing w:beforeAutospacing="0" w:afterAutospacing="0"/>
                    <w:jc w:val="center"/>
                    <w:rPr>
                      <w:rFonts w:ascii="Times New Roman" w:hAnsi="Times New Roman" w:eastAsia="宋体"/>
                      <w:bCs/>
                      <w:color w:val="000000" w:themeColor="text1"/>
                      <w:szCs w:val="21"/>
                      <w:highlight w:val="none"/>
                      <w14:textFill>
                        <w14:solidFill>
                          <w14:schemeClr w14:val="tx1"/>
                        </w14:solidFill>
                      </w14:textFill>
                    </w:rPr>
                  </w:pPr>
                  <w:r>
                    <w:rPr>
                      <w:rFonts w:ascii="Times New Roman" w:hAnsi="Times New Roman" w:eastAsia="宋体"/>
                      <w:bCs/>
                      <w:color w:val="000000" w:themeColor="text1"/>
                      <w:szCs w:val="21"/>
                      <w:highlight w:val="none"/>
                      <w:lang w:bidi="ar"/>
                      <w14:textFill>
                        <w14:solidFill>
                          <w14:schemeClr w14:val="tx1"/>
                        </w14:solidFill>
                      </w14:textFill>
                    </w:rPr>
                    <w:t>3</w:t>
                  </w:r>
                </w:p>
              </w:tc>
              <w:tc>
                <w:tcPr>
                  <w:tcW w:w="1933" w:type="dxa"/>
                  <w:tcBorders>
                    <w:top w:val="single" w:color="auto" w:sz="4" w:space="0"/>
                    <w:left w:val="single" w:color="auto" w:sz="4" w:space="0"/>
                    <w:bottom w:val="single" w:color="auto" w:sz="4" w:space="0"/>
                    <w:right w:val="single" w:color="auto" w:sz="4" w:space="0"/>
                  </w:tcBorders>
                  <w:vAlign w:val="center"/>
                </w:tcPr>
                <w:p>
                  <w:pPr>
                    <w:pageBreakBefore w:val="0"/>
                    <w:kinsoku/>
                    <w:bidi w:val="0"/>
                    <w:spacing w:beforeAutospacing="0" w:afterAutospacing="0"/>
                    <w:jc w:val="center"/>
                    <w:rPr>
                      <w:rFonts w:ascii="Times New Roman" w:hAnsi="Times New Roman" w:eastAsia="宋体"/>
                      <w:bCs/>
                      <w:color w:val="000000" w:themeColor="text1"/>
                      <w:szCs w:val="21"/>
                      <w:highlight w:val="none"/>
                      <w14:textFill>
                        <w14:solidFill>
                          <w14:schemeClr w14:val="tx1"/>
                        </w14:solidFill>
                      </w14:textFill>
                    </w:rPr>
                  </w:pPr>
                  <w:r>
                    <w:rPr>
                      <w:rFonts w:hint="eastAsia" w:ascii="Times New Roman" w:hAnsi="Times New Roman" w:eastAsia="宋体" w:cs="宋体"/>
                      <w:bCs/>
                      <w:color w:val="000000" w:themeColor="text1"/>
                      <w:szCs w:val="21"/>
                      <w:highlight w:val="none"/>
                      <w:lang w:bidi="ar"/>
                      <w14:textFill>
                        <w14:solidFill>
                          <w14:schemeClr w14:val="tx1"/>
                        </w14:solidFill>
                      </w14:textFill>
                    </w:rPr>
                    <w:t>雨力变动参数（s）</w:t>
                  </w:r>
                </w:p>
              </w:tc>
              <w:tc>
                <w:tcPr>
                  <w:tcW w:w="1776" w:type="dxa"/>
                  <w:tcBorders>
                    <w:top w:val="single" w:color="auto" w:sz="4" w:space="0"/>
                    <w:left w:val="single" w:color="auto" w:sz="4" w:space="0"/>
                    <w:bottom w:val="single" w:color="auto" w:sz="4" w:space="0"/>
                    <w:right w:val="single" w:color="auto" w:sz="4" w:space="0"/>
                  </w:tcBorders>
                  <w:vAlign w:val="center"/>
                </w:tcPr>
                <w:p>
                  <w:pPr>
                    <w:pageBreakBefore w:val="0"/>
                    <w:kinsoku/>
                    <w:bidi w:val="0"/>
                    <w:spacing w:beforeAutospacing="0" w:afterAutospacing="0"/>
                    <w:jc w:val="center"/>
                    <w:rPr>
                      <w:rFonts w:ascii="Times New Roman" w:hAnsi="Times New Roman" w:eastAsia="宋体"/>
                      <w:bCs/>
                      <w:color w:val="000000" w:themeColor="text1"/>
                      <w:szCs w:val="21"/>
                      <w:highlight w:val="none"/>
                      <w:lang w:bidi="ar"/>
                      <w14:textFill>
                        <w14:solidFill>
                          <w14:schemeClr w14:val="tx1"/>
                        </w14:solidFill>
                      </w14:textFill>
                    </w:rPr>
                  </w:pPr>
                  <w:r>
                    <w:rPr>
                      <w:rFonts w:hint="eastAsia" w:ascii="Times New Roman" w:hAnsi="Times New Roman" w:eastAsia="宋体"/>
                      <w:bCs/>
                      <w:color w:val="000000" w:themeColor="text1"/>
                      <w:szCs w:val="21"/>
                      <w:highlight w:val="none"/>
                      <w:lang w:bidi="ar"/>
                      <w14:textFill>
                        <w14:solidFill>
                          <w14:schemeClr w14:val="tx1"/>
                        </w14:solidFill>
                      </w14:textFill>
                    </w:rPr>
                    <w:t>0.634</w:t>
                  </w:r>
                </w:p>
              </w:tc>
              <w:tc>
                <w:tcPr>
                  <w:tcW w:w="1777" w:type="dxa"/>
                  <w:tcBorders>
                    <w:top w:val="single" w:color="auto" w:sz="4" w:space="0"/>
                    <w:left w:val="single" w:color="auto" w:sz="4" w:space="0"/>
                    <w:bottom w:val="single" w:color="auto" w:sz="4" w:space="0"/>
                    <w:right w:val="single" w:color="auto" w:sz="4" w:space="0"/>
                  </w:tcBorders>
                  <w:vAlign w:val="center"/>
                </w:tcPr>
                <w:p>
                  <w:pPr>
                    <w:pageBreakBefore w:val="0"/>
                    <w:kinsoku/>
                    <w:bidi w:val="0"/>
                    <w:spacing w:beforeAutospacing="0" w:afterAutospacing="0"/>
                    <w:jc w:val="center"/>
                    <w:rPr>
                      <w:rFonts w:ascii="Times New Roman" w:hAnsi="Times New Roman" w:eastAsia="宋体"/>
                      <w:bCs/>
                      <w:color w:val="000000" w:themeColor="text1"/>
                      <w:szCs w:val="21"/>
                      <w:highlight w:val="none"/>
                      <w14:textFill>
                        <w14:solidFill>
                          <w14:schemeClr w14:val="tx1"/>
                        </w14:solidFill>
                      </w14:textFill>
                    </w:rPr>
                  </w:pPr>
                  <w:r>
                    <w:rPr>
                      <w:rFonts w:ascii="Times New Roman" w:hAnsi="Times New Roman" w:eastAsia="宋体"/>
                      <w:bCs/>
                      <w:color w:val="000000" w:themeColor="text1"/>
                      <w:szCs w:val="21"/>
                      <w:highlight w:val="none"/>
                      <w:lang w:bidi="ar"/>
                      <w14:textFill>
                        <w14:solidFill>
                          <w14:schemeClr w14:val="tx1"/>
                        </w14:solidFill>
                      </w14:textFill>
                    </w:rPr>
                    <w:t>/</w:t>
                  </w:r>
                </w:p>
              </w:tc>
              <w:tc>
                <w:tcPr>
                  <w:tcW w:w="2027" w:type="dxa"/>
                  <w:vMerge w:val="continue"/>
                  <w:tcBorders>
                    <w:top w:val="single" w:color="auto" w:sz="4" w:space="0"/>
                    <w:left w:val="single" w:color="auto" w:sz="4" w:space="0"/>
                    <w:bottom w:val="single" w:color="auto" w:sz="12" w:space="0"/>
                    <w:right w:val="nil"/>
                  </w:tcBorders>
                  <w:vAlign w:val="center"/>
                </w:tcPr>
                <w:p>
                  <w:pPr>
                    <w:pageBreakBefore w:val="0"/>
                    <w:kinsoku/>
                    <w:bidi w:val="0"/>
                    <w:spacing w:beforeAutospacing="0" w:afterAutospacing="0"/>
                    <w:rPr>
                      <w:rFonts w:ascii="Times New Roman" w:hAnsi="Times New Roman" w:eastAsia="宋体"/>
                      <w:color w:val="000000" w:themeColor="text1"/>
                      <w:szCs w:val="21"/>
                      <w:highlight w:val="none"/>
                      <w14:textFill>
                        <w14:solidFill>
                          <w14:schemeClr w14:val="tx1"/>
                        </w14:solidFill>
                      </w14:textFill>
                    </w:rPr>
                  </w:pP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0" w:type="dxa"/>
                  <w:tcBorders>
                    <w:top w:val="single" w:color="auto" w:sz="4" w:space="0"/>
                    <w:left w:val="nil"/>
                    <w:bottom w:val="single" w:color="auto" w:sz="4" w:space="0"/>
                    <w:right w:val="single" w:color="auto" w:sz="4" w:space="0"/>
                  </w:tcBorders>
                  <w:vAlign w:val="center"/>
                </w:tcPr>
                <w:p>
                  <w:pPr>
                    <w:pageBreakBefore w:val="0"/>
                    <w:kinsoku/>
                    <w:bidi w:val="0"/>
                    <w:spacing w:beforeAutospacing="0" w:afterAutospacing="0"/>
                    <w:jc w:val="center"/>
                    <w:rPr>
                      <w:rFonts w:ascii="Times New Roman" w:hAnsi="Times New Roman" w:eastAsia="宋体"/>
                      <w:bCs/>
                      <w:color w:val="000000" w:themeColor="text1"/>
                      <w:szCs w:val="21"/>
                      <w:highlight w:val="none"/>
                      <w14:textFill>
                        <w14:solidFill>
                          <w14:schemeClr w14:val="tx1"/>
                        </w14:solidFill>
                      </w14:textFill>
                    </w:rPr>
                  </w:pPr>
                  <w:r>
                    <w:rPr>
                      <w:rFonts w:ascii="Times New Roman" w:hAnsi="Times New Roman" w:eastAsia="宋体"/>
                      <w:bCs/>
                      <w:color w:val="000000" w:themeColor="text1"/>
                      <w:szCs w:val="21"/>
                      <w:highlight w:val="none"/>
                      <w:lang w:bidi="ar"/>
                      <w14:textFill>
                        <w14:solidFill>
                          <w14:schemeClr w14:val="tx1"/>
                        </w14:solidFill>
                      </w14:textFill>
                    </w:rPr>
                    <w:t>4</w:t>
                  </w:r>
                </w:p>
              </w:tc>
              <w:tc>
                <w:tcPr>
                  <w:tcW w:w="1933" w:type="dxa"/>
                  <w:tcBorders>
                    <w:top w:val="single" w:color="auto" w:sz="4" w:space="0"/>
                    <w:left w:val="single" w:color="auto" w:sz="4" w:space="0"/>
                    <w:bottom w:val="single" w:color="auto" w:sz="4" w:space="0"/>
                    <w:right w:val="single" w:color="auto" w:sz="4" w:space="0"/>
                  </w:tcBorders>
                  <w:vAlign w:val="center"/>
                </w:tcPr>
                <w:p>
                  <w:pPr>
                    <w:pageBreakBefore w:val="0"/>
                    <w:kinsoku/>
                    <w:bidi w:val="0"/>
                    <w:spacing w:beforeAutospacing="0" w:afterAutospacing="0"/>
                    <w:jc w:val="center"/>
                    <w:rPr>
                      <w:rFonts w:ascii="Times New Roman" w:hAnsi="Times New Roman" w:eastAsia="宋体"/>
                      <w:bCs/>
                      <w:color w:val="000000" w:themeColor="text1"/>
                      <w:szCs w:val="21"/>
                      <w:highlight w:val="none"/>
                      <w14:textFill>
                        <w14:solidFill>
                          <w14:schemeClr w14:val="tx1"/>
                        </w14:solidFill>
                      </w14:textFill>
                    </w:rPr>
                  </w:pPr>
                  <w:r>
                    <w:rPr>
                      <w:rFonts w:hint="eastAsia" w:ascii="Times New Roman" w:hAnsi="Times New Roman" w:eastAsia="宋体" w:cs="宋体"/>
                      <w:bCs/>
                      <w:color w:val="000000" w:themeColor="text1"/>
                      <w:szCs w:val="21"/>
                      <w:highlight w:val="none"/>
                      <w:lang w:bidi="ar"/>
                      <w14:textFill>
                        <w14:solidFill>
                          <w14:schemeClr w14:val="tx1"/>
                        </w14:solidFill>
                      </w14:textFill>
                    </w:rPr>
                    <w:t>指数（n）</w:t>
                  </w:r>
                </w:p>
              </w:tc>
              <w:tc>
                <w:tcPr>
                  <w:tcW w:w="1776" w:type="dxa"/>
                  <w:tcBorders>
                    <w:top w:val="single" w:color="auto" w:sz="4" w:space="0"/>
                    <w:left w:val="single" w:color="auto" w:sz="4" w:space="0"/>
                    <w:bottom w:val="single" w:color="auto" w:sz="4" w:space="0"/>
                    <w:right w:val="single" w:color="auto" w:sz="4" w:space="0"/>
                  </w:tcBorders>
                  <w:vAlign w:val="center"/>
                </w:tcPr>
                <w:p>
                  <w:pPr>
                    <w:pageBreakBefore w:val="0"/>
                    <w:kinsoku/>
                    <w:bidi w:val="0"/>
                    <w:spacing w:beforeAutospacing="0" w:afterAutospacing="0"/>
                    <w:jc w:val="center"/>
                    <w:rPr>
                      <w:rFonts w:ascii="Times New Roman" w:hAnsi="Times New Roman" w:eastAsia="宋体"/>
                      <w:bCs/>
                      <w:color w:val="000000" w:themeColor="text1"/>
                      <w:szCs w:val="21"/>
                      <w:highlight w:val="none"/>
                      <w:lang w:bidi="ar"/>
                      <w14:textFill>
                        <w14:solidFill>
                          <w14:schemeClr w14:val="tx1"/>
                        </w14:solidFill>
                      </w14:textFill>
                    </w:rPr>
                  </w:pPr>
                  <w:r>
                    <w:rPr>
                      <w:rFonts w:ascii="Times New Roman" w:hAnsi="Times New Roman" w:eastAsia="宋体"/>
                      <w:bCs/>
                      <w:color w:val="000000" w:themeColor="text1"/>
                      <w:szCs w:val="21"/>
                      <w:highlight w:val="none"/>
                      <w:lang w:bidi="ar"/>
                      <w14:textFill>
                        <w14:solidFill>
                          <w14:schemeClr w14:val="tx1"/>
                        </w14:solidFill>
                      </w14:textFill>
                    </w:rPr>
                    <w:t>0.7</w:t>
                  </w:r>
                  <w:r>
                    <w:rPr>
                      <w:rFonts w:hint="eastAsia" w:ascii="Times New Roman" w:hAnsi="Times New Roman" w:eastAsia="宋体"/>
                      <w:bCs/>
                      <w:color w:val="000000" w:themeColor="text1"/>
                      <w:szCs w:val="21"/>
                      <w:highlight w:val="none"/>
                      <w:lang w:bidi="ar"/>
                      <w14:textFill>
                        <w14:solidFill>
                          <w14:schemeClr w14:val="tx1"/>
                        </w14:solidFill>
                      </w14:textFill>
                    </w:rPr>
                    <w:t>76</w:t>
                  </w:r>
                </w:p>
              </w:tc>
              <w:tc>
                <w:tcPr>
                  <w:tcW w:w="1777" w:type="dxa"/>
                  <w:tcBorders>
                    <w:top w:val="single" w:color="auto" w:sz="4" w:space="0"/>
                    <w:left w:val="single" w:color="auto" w:sz="4" w:space="0"/>
                    <w:bottom w:val="single" w:color="auto" w:sz="4" w:space="0"/>
                    <w:right w:val="single" w:color="auto" w:sz="4" w:space="0"/>
                  </w:tcBorders>
                  <w:vAlign w:val="center"/>
                </w:tcPr>
                <w:p>
                  <w:pPr>
                    <w:pageBreakBefore w:val="0"/>
                    <w:kinsoku/>
                    <w:bidi w:val="0"/>
                    <w:spacing w:beforeAutospacing="0" w:afterAutospacing="0"/>
                    <w:jc w:val="center"/>
                    <w:rPr>
                      <w:rFonts w:ascii="Times New Roman" w:hAnsi="Times New Roman" w:eastAsia="宋体"/>
                      <w:bCs/>
                      <w:color w:val="000000" w:themeColor="text1"/>
                      <w:szCs w:val="21"/>
                      <w:highlight w:val="none"/>
                      <w14:textFill>
                        <w14:solidFill>
                          <w14:schemeClr w14:val="tx1"/>
                        </w14:solidFill>
                      </w14:textFill>
                    </w:rPr>
                  </w:pPr>
                  <w:r>
                    <w:rPr>
                      <w:rFonts w:ascii="Times New Roman" w:hAnsi="Times New Roman" w:eastAsia="宋体"/>
                      <w:bCs/>
                      <w:color w:val="000000" w:themeColor="text1"/>
                      <w:szCs w:val="21"/>
                      <w:highlight w:val="none"/>
                      <w:lang w:bidi="ar"/>
                      <w14:textFill>
                        <w14:solidFill>
                          <w14:schemeClr w14:val="tx1"/>
                        </w14:solidFill>
                      </w14:textFill>
                    </w:rPr>
                    <w:t>/</w:t>
                  </w:r>
                </w:p>
              </w:tc>
              <w:tc>
                <w:tcPr>
                  <w:tcW w:w="2027" w:type="dxa"/>
                  <w:vMerge w:val="continue"/>
                  <w:tcBorders>
                    <w:top w:val="single" w:color="auto" w:sz="4" w:space="0"/>
                    <w:left w:val="single" w:color="auto" w:sz="4" w:space="0"/>
                    <w:bottom w:val="single" w:color="auto" w:sz="12" w:space="0"/>
                    <w:right w:val="nil"/>
                  </w:tcBorders>
                  <w:vAlign w:val="center"/>
                </w:tcPr>
                <w:p>
                  <w:pPr>
                    <w:pageBreakBefore w:val="0"/>
                    <w:kinsoku/>
                    <w:bidi w:val="0"/>
                    <w:spacing w:beforeAutospacing="0" w:afterAutospacing="0"/>
                    <w:rPr>
                      <w:rFonts w:ascii="Times New Roman" w:hAnsi="Times New Roman" w:eastAsia="宋体"/>
                      <w:color w:val="000000" w:themeColor="text1"/>
                      <w:szCs w:val="21"/>
                      <w:highlight w:val="none"/>
                      <w14:textFill>
                        <w14:solidFill>
                          <w14:schemeClr w14:val="tx1"/>
                        </w14:solidFill>
                      </w14:textFill>
                    </w:rPr>
                  </w:pP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0" w:type="dxa"/>
                  <w:tcBorders>
                    <w:top w:val="single" w:color="auto" w:sz="4" w:space="0"/>
                    <w:left w:val="nil"/>
                    <w:bottom w:val="single" w:color="auto" w:sz="12" w:space="0"/>
                    <w:right w:val="single" w:color="auto" w:sz="4" w:space="0"/>
                  </w:tcBorders>
                  <w:vAlign w:val="center"/>
                </w:tcPr>
                <w:p>
                  <w:pPr>
                    <w:pageBreakBefore w:val="0"/>
                    <w:kinsoku/>
                    <w:bidi w:val="0"/>
                    <w:spacing w:beforeAutospacing="0" w:afterAutospacing="0"/>
                    <w:jc w:val="center"/>
                    <w:rPr>
                      <w:rFonts w:ascii="Times New Roman" w:hAnsi="Times New Roman" w:eastAsia="宋体"/>
                      <w:bCs/>
                      <w:color w:val="000000" w:themeColor="text1"/>
                      <w:szCs w:val="21"/>
                      <w:highlight w:val="none"/>
                      <w14:textFill>
                        <w14:solidFill>
                          <w14:schemeClr w14:val="tx1"/>
                        </w14:solidFill>
                      </w14:textFill>
                    </w:rPr>
                  </w:pPr>
                  <w:r>
                    <w:rPr>
                      <w:rFonts w:ascii="Times New Roman" w:hAnsi="Times New Roman" w:eastAsia="宋体"/>
                      <w:bCs/>
                      <w:color w:val="000000" w:themeColor="text1"/>
                      <w:szCs w:val="21"/>
                      <w:highlight w:val="none"/>
                      <w:lang w:bidi="ar"/>
                      <w14:textFill>
                        <w14:solidFill>
                          <w14:schemeClr w14:val="tx1"/>
                        </w14:solidFill>
                      </w14:textFill>
                    </w:rPr>
                    <w:t>5</w:t>
                  </w:r>
                </w:p>
              </w:tc>
              <w:tc>
                <w:tcPr>
                  <w:tcW w:w="1933" w:type="dxa"/>
                  <w:tcBorders>
                    <w:top w:val="single" w:color="auto" w:sz="4" w:space="0"/>
                    <w:left w:val="single" w:color="auto" w:sz="4" w:space="0"/>
                    <w:bottom w:val="single" w:color="auto" w:sz="12" w:space="0"/>
                    <w:right w:val="single" w:color="auto" w:sz="4" w:space="0"/>
                  </w:tcBorders>
                  <w:vAlign w:val="center"/>
                </w:tcPr>
                <w:p>
                  <w:pPr>
                    <w:pageBreakBefore w:val="0"/>
                    <w:kinsoku/>
                    <w:bidi w:val="0"/>
                    <w:spacing w:beforeAutospacing="0" w:afterAutospacing="0"/>
                    <w:jc w:val="center"/>
                    <w:rPr>
                      <w:rFonts w:ascii="Times New Roman" w:hAnsi="Times New Roman" w:eastAsia="宋体"/>
                      <w:bCs/>
                      <w:color w:val="000000" w:themeColor="text1"/>
                      <w:szCs w:val="21"/>
                      <w:highlight w:val="none"/>
                      <w14:textFill>
                        <w14:solidFill>
                          <w14:schemeClr w14:val="tx1"/>
                        </w14:solidFill>
                      </w14:textFill>
                    </w:rPr>
                  </w:pPr>
                  <w:r>
                    <w:rPr>
                      <w:rFonts w:ascii="Times New Roman" w:hAnsi="Times New Roman" w:eastAsia="宋体"/>
                      <w:bCs/>
                      <w:color w:val="000000" w:themeColor="text1"/>
                      <w:szCs w:val="21"/>
                      <w:highlight w:val="none"/>
                      <w:lang w:bidi="ar"/>
                      <w14:textFill>
                        <w14:solidFill>
                          <w14:schemeClr w14:val="tx1"/>
                        </w14:solidFill>
                      </w14:textFill>
                    </w:rPr>
                    <w:t>B</w:t>
                  </w:r>
                </w:p>
              </w:tc>
              <w:tc>
                <w:tcPr>
                  <w:tcW w:w="1776" w:type="dxa"/>
                  <w:tcBorders>
                    <w:top w:val="single" w:color="auto" w:sz="4" w:space="0"/>
                    <w:left w:val="single" w:color="auto" w:sz="4" w:space="0"/>
                    <w:bottom w:val="single" w:color="auto" w:sz="12" w:space="0"/>
                    <w:right w:val="single" w:color="auto" w:sz="4" w:space="0"/>
                  </w:tcBorders>
                  <w:vAlign w:val="center"/>
                </w:tcPr>
                <w:p>
                  <w:pPr>
                    <w:pageBreakBefore w:val="0"/>
                    <w:kinsoku/>
                    <w:bidi w:val="0"/>
                    <w:spacing w:beforeAutospacing="0" w:afterAutospacing="0"/>
                    <w:jc w:val="center"/>
                    <w:rPr>
                      <w:rFonts w:ascii="Times New Roman" w:hAnsi="Times New Roman" w:eastAsia="宋体"/>
                      <w:bCs/>
                      <w:color w:val="000000" w:themeColor="text1"/>
                      <w:szCs w:val="21"/>
                      <w:highlight w:val="none"/>
                      <w:lang w:bidi="ar"/>
                      <w14:textFill>
                        <w14:solidFill>
                          <w14:schemeClr w14:val="tx1"/>
                        </w14:solidFill>
                      </w14:textFill>
                    </w:rPr>
                  </w:pPr>
                  <w:r>
                    <w:rPr>
                      <w:rFonts w:hint="eastAsia" w:ascii="Times New Roman" w:hAnsi="Times New Roman" w:eastAsia="宋体"/>
                      <w:bCs/>
                      <w:color w:val="000000" w:themeColor="text1"/>
                      <w:szCs w:val="21"/>
                      <w:highlight w:val="none"/>
                      <w:lang w:bidi="ar"/>
                      <w14:textFill>
                        <w14:solidFill>
                          <w14:schemeClr w14:val="tx1"/>
                        </w14:solidFill>
                      </w14:textFill>
                    </w:rPr>
                    <w:t>9.587</w:t>
                  </w:r>
                </w:p>
              </w:tc>
              <w:tc>
                <w:tcPr>
                  <w:tcW w:w="1777" w:type="dxa"/>
                  <w:tcBorders>
                    <w:top w:val="single" w:color="auto" w:sz="4" w:space="0"/>
                    <w:left w:val="single" w:color="auto" w:sz="4" w:space="0"/>
                    <w:bottom w:val="single" w:color="auto" w:sz="12" w:space="0"/>
                    <w:right w:val="single" w:color="auto" w:sz="4" w:space="0"/>
                  </w:tcBorders>
                  <w:vAlign w:val="center"/>
                </w:tcPr>
                <w:p>
                  <w:pPr>
                    <w:pageBreakBefore w:val="0"/>
                    <w:kinsoku/>
                    <w:bidi w:val="0"/>
                    <w:spacing w:beforeAutospacing="0" w:afterAutospacing="0"/>
                    <w:jc w:val="center"/>
                    <w:rPr>
                      <w:rFonts w:ascii="Times New Roman" w:hAnsi="Times New Roman" w:eastAsia="宋体"/>
                      <w:bCs/>
                      <w:color w:val="000000" w:themeColor="text1"/>
                      <w:szCs w:val="21"/>
                      <w:highlight w:val="none"/>
                      <w14:textFill>
                        <w14:solidFill>
                          <w14:schemeClr w14:val="tx1"/>
                        </w14:solidFill>
                      </w14:textFill>
                    </w:rPr>
                  </w:pPr>
                  <w:r>
                    <w:rPr>
                      <w:rFonts w:ascii="Times New Roman" w:hAnsi="Times New Roman" w:eastAsia="宋体"/>
                      <w:bCs/>
                      <w:color w:val="000000" w:themeColor="text1"/>
                      <w:szCs w:val="21"/>
                      <w:highlight w:val="none"/>
                      <w:lang w:bidi="ar"/>
                      <w14:textFill>
                        <w14:solidFill>
                          <w14:schemeClr w14:val="tx1"/>
                        </w14:solidFill>
                      </w14:textFill>
                    </w:rPr>
                    <w:t>/</w:t>
                  </w:r>
                </w:p>
              </w:tc>
              <w:tc>
                <w:tcPr>
                  <w:tcW w:w="2027" w:type="dxa"/>
                  <w:vMerge w:val="continue"/>
                  <w:tcBorders>
                    <w:top w:val="single" w:color="auto" w:sz="4" w:space="0"/>
                    <w:left w:val="single" w:color="auto" w:sz="4" w:space="0"/>
                    <w:bottom w:val="single" w:color="auto" w:sz="12" w:space="0"/>
                    <w:right w:val="nil"/>
                  </w:tcBorders>
                  <w:vAlign w:val="center"/>
                </w:tcPr>
                <w:p>
                  <w:pPr>
                    <w:pageBreakBefore w:val="0"/>
                    <w:kinsoku/>
                    <w:bidi w:val="0"/>
                    <w:spacing w:beforeAutospacing="0" w:afterAutospacing="0"/>
                    <w:rPr>
                      <w:rFonts w:ascii="Times New Roman" w:hAnsi="Times New Roman" w:eastAsia="宋体"/>
                      <w:color w:val="000000" w:themeColor="text1"/>
                      <w:szCs w:val="21"/>
                      <w:highlight w:val="none"/>
                      <w14:textFill>
                        <w14:solidFill>
                          <w14:schemeClr w14:val="tx1"/>
                        </w14:solidFill>
                      </w14:textFill>
                    </w:rPr>
                  </w:pPr>
                </w:p>
              </w:tc>
            </w:tr>
          </w:tbl>
          <w:p>
            <w:pPr>
              <w:pageBreakBefore w:val="0"/>
              <w:kinsoku/>
              <w:bidi w:val="0"/>
              <w:spacing w:beforeAutospacing="0" w:afterAutospacing="0" w:line="360" w:lineRule="auto"/>
              <w:ind w:firstLine="480" w:firstLineChars="200"/>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cs="宋体"/>
                <w:bCs/>
                <w:color w:val="000000" w:themeColor="text1"/>
                <w:sz w:val="24"/>
                <w:szCs w:val="24"/>
                <w:highlight w:val="none"/>
                <w:lang w:bidi="ar"/>
                <w14:textFill>
                  <w14:solidFill>
                    <w14:schemeClr w14:val="tx1"/>
                  </w14:solidFill>
                </w14:textFill>
              </w:rPr>
              <w:t>由上式计算出的项目区暴雨强度为</w:t>
            </w:r>
            <w:r>
              <w:rPr>
                <w:rFonts w:ascii="Times New Roman" w:hAnsi="Times New Roman" w:eastAsia="宋体"/>
                <w:bCs/>
                <w:color w:val="000000" w:themeColor="text1"/>
                <w:sz w:val="24"/>
                <w:szCs w:val="24"/>
                <w:highlight w:val="none"/>
                <w:lang w:bidi="ar"/>
                <w14:textFill>
                  <w14:solidFill>
                    <w14:schemeClr w14:val="tx1"/>
                  </w14:solidFill>
                </w14:textFill>
              </w:rPr>
              <w:t>2</w:t>
            </w:r>
            <w:r>
              <w:rPr>
                <w:rFonts w:hint="eastAsia" w:ascii="Times New Roman" w:hAnsi="Times New Roman" w:eastAsia="宋体"/>
                <w:bCs/>
                <w:color w:val="000000" w:themeColor="text1"/>
                <w:sz w:val="24"/>
                <w:szCs w:val="24"/>
                <w:highlight w:val="none"/>
                <w:lang w:bidi="ar"/>
                <w14:textFill>
                  <w14:solidFill>
                    <w14:schemeClr w14:val="tx1"/>
                  </w14:solidFill>
                </w14:textFill>
              </w:rPr>
              <w:t>97.2</w:t>
            </w:r>
            <w:r>
              <w:rPr>
                <w:rFonts w:ascii="Times New Roman" w:hAnsi="Times New Roman" w:eastAsia="宋体"/>
                <w:bCs/>
                <w:color w:val="000000" w:themeColor="text1"/>
                <w:sz w:val="24"/>
                <w:szCs w:val="24"/>
                <w:highlight w:val="none"/>
                <w:lang w:bidi="ar"/>
                <w14:textFill>
                  <w14:solidFill>
                    <w14:schemeClr w14:val="tx1"/>
                  </w14:solidFill>
                </w14:textFill>
              </w:rPr>
              <w:t>L/</w:t>
            </w:r>
            <w:r>
              <w:rPr>
                <w:rFonts w:hint="eastAsia" w:ascii="Times New Roman" w:hAnsi="Times New Roman" w:eastAsia="宋体" w:cs="宋体"/>
                <w:bCs/>
                <w:color w:val="000000" w:themeColor="text1"/>
                <w:sz w:val="24"/>
                <w:szCs w:val="24"/>
                <w:highlight w:val="none"/>
                <w:lang w:bidi="ar"/>
                <w14:textFill>
                  <w14:solidFill>
                    <w14:schemeClr w14:val="tx1"/>
                  </w14:solidFill>
                </w14:textFill>
              </w:rPr>
              <w:t>（</w:t>
            </w:r>
            <w:r>
              <w:rPr>
                <w:rFonts w:ascii="Times New Roman" w:hAnsi="Times New Roman" w:eastAsia="宋体"/>
                <w:bCs/>
                <w:color w:val="000000" w:themeColor="text1"/>
                <w:sz w:val="24"/>
                <w:szCs w:val="24"/>
                <w:highlight w:val="none"/>
                <w:lang w:bidi="ar"/>
                <w14:textFill>
                  <w14:solidFill>
                    <w14:schemeClr w14:val="tx1"/>
                  </w14:solidFill>
                </w14:textFill>
              </w:rPr>
              <w:t>s.hm</w:t>
            </w:r>
            <w:r>
              <w:rPr>
                <w:rFonts w:ascii="Times New Roman" w:hAnsi="Times New Roman" w:eastAsia="宋体"/>
                <w:bCs/>
                <w:color w:val="000000" w:themeColor="text1"/>
                <w:sz w:val="24"/>
                <w:szCs w:val="24"/>
                <w:highlight w:val="none"/>
                <w:vertAlign w:val="superscript"/>
                <w:lang w:bidi="ar"/>
                <w14:textFill>
                  <w14:solidFill>
                    <w14:schemeClr w14:val="tx1"/>
                  </w14:solidFill>
                </w14:textFill>
              </w:rPr>
              <w:t>2</w:t>
            </w:r>
            <w:r>
              <w:rPr>
                <w:rFonts w:hint="eastAsia" w:ascii="Times New Roman" w:hAnsi="Times New Roman" w:eastAsia="宋体" w:cs="宋体"/>
                <w:bCs/>
                <w:color w:val="000000" w:themeColor="text1"/>
                <w:sz w:val="24"/>
                <w:szCs w:val="24"/>
                <w:highlight w:val="none"/>
                <w:lang w:bidi="ar"/>
                <w14:textFill>
                  <w14:solidFill>
                    <w14:schemeClr w14:val="tx1"/>
                  </w14:solidFill>
                </w14:textFill>
              </w:rPr>
              <w:t>）。</w:t>
            </w:r>
          </w:p>
          <w:p>
            <w:pPr>
              <w:pageBreakBefore w:val="0"/>
              <w:kinsoku/>
              <w:bidi w:val="0"/>
              <w:spacing w:beforeAutospacing="0" w:afterAutospacing="0" w:line="360" w:lineRule="auto"/>
              <w:ind w:firstLine="480" w:firstLineChars="200"/>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cs="宋体"/>
                <w:bCs/>
                <w:color w:val="000000" w:themeColor="text1"/>
                <w:sz w:val="24"/>
                <w:szCs w:val="24"/>
                <w:highlight w:val="none"/>
                <w:lang w:bidi="ar"/>
                <w14:textFill>
                  <w14:solidFill>
                    <w14:schemeClr w14:val="tx1"/>
                  </w14:solidFill>
                </w14:textFill>
              </w:rPr>
              <w:t>雨水量</w:t>
            </w:r>
            <w:r>
              <w:rPr>
                <w:rFonts w:hint="eastAsia" w:ascii="Times New Roman" w:hAnsi="Times New Roman" w:eastAsia="宋体" w:cs="宋体"/>
                <w:bCs/>
                <w:color w:val="000000" w:themeColor="text1"/>
                <w:sz w:val="24"/>
                <w:szCs w:val="24"/>
                <w:highlight w:val="none"/>
                <w:lang w:eastAsia="zh-CN" w:bidi="ar"/>
                <w14:textFill>
                  <w14:solidFill>
                    <w14:schemeClr w14:val="tx1"/>
                  </w14:solidFill>
                </w14:textFill>
              </w:rPr>
              <w:t>计算公式</w:t>
            </w:r>
            <w:r>
              <w:rPr>
                <w:rFonts w:hint="eastAsia" w:ascii="Times New Roman" w:hAnsi="Times New Roman" w:eastAsia="宋体" w:cs="宋体"/>
                <w:bCs/>
                <w:color w:val="000000" w:themeColor="text1"/>
                <w:sz w:val="24"/>
                <w:szCs w:val="24"/>
                <w:highlight w:val="none"/>
                <w:lang w:bidi="ar"/>
                <w14:textFill>
                  <w14:solidFill>
                    <w14:schemeClr w14:val="tx1"/>
                  </w14:solidFill>
                </w14:textFill>
              </w:rPr>
              <w:t>如下：</w:t>
            </w:r>
          </w:p>
          <w:p>
            <w:pPr>
              <w:pageBreakBefore w:val="0"/>
              <w:kinsoku/>
              <w:bidi w:val="0"/>
              <w:spacing w:beforeAutospacing="0" w:afterAutospacing="0" w:line="360" w:lineRule="auto"/>
              <w:ind w:firstLine="1200" w:firstLineChars="500"/>
              <w:jc w:val="both"/>
              <w:rPr>
                <w:rFonts w:ascii="Times New Roman" w:hAnsi="Times New Roman" w:eastAsia="宋体"/>
                <w:bCs/>
                <w:color w:val="000000" w:themeColor="text1"/>
                <w:sz w:val="24"/>
                <w:szCs w:val="24"/>
                <w:highlight w:val="none"/>
                <w14:textFill>
                  <w14:solidFill>
                    <w14:schemeClr w14:val="tx1"/>
                  </w14:solidFill>
                </w14:textFill>
              </w:rPr>
            </w:pPr>
            <w:r>
              <w:rPr>
                <w:rFonts w:ascii="Times New Roman" w:hAnsi="Times New Roman" w:eastAsia="宋体"/>
                <w:bCs/>
                <w:color w:val="000000" w:themeColor="text1"/>
                <w:position w:val="-10"/>
                <w:sz w:val="24"/>
                <w:szCs w:val="24"/>
                <w:highlight w:val="none"/>
                <w:lang w:bidi="ar"/>
                <w14:textFill>
                  <w14:solidFill>
                    <w14:schemeClr w14:val="tx1"/>
                  </w14:solidFill>
                </w14:textFill>
              </w:rPr>
              <w:object>
                <v:shape id="_x0000_i1028" o:spt="75" type="#_x0000_t75" style="height:17.85pt;width:75.55pt;" o:ole="t" filled="f" o:preferrelative="t" stroked="f" coordsize="21600,21600">
                  <v:path/>
                  <v:fill on="f" focussize="0,0"/>
                  <v:stroke on="f"/>
                  <v:imagedata r:id="rId29" o:title=""/>
                  <o:lock v:ext="edit" aspectratio="t"/>
                  <w10:wrap type="none"/>
                  <w10:anchorlock/>
                </v:shape>
                <o:OLEObject Type="Embed" ProgID="Equation.3" ShapeID="_x0000_i1028" DrawAspect="Content" ObjectID="_1468075728" r:id="rId28">
                  <o:LockedField>false</o:LockedField>
                </o:OLEObject>
              </w:object>
            </w:r>
          </w:p>
          <w:p>
            <w:pPr>
              <w:pageBreakBefore w:val="0"/>
              <w:kinsoku/>
              <w:bidi w:val="0"/>
              <w:spacing w:beforeAutospacing="0" w:afterAutospacing="0" w:line="360" w:lineRule="auto"/>
              <w:ind w:firstLine="480" w:firstLineChars="200"/>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cs="宋体"/>
                <w:bCs/>
                <w:color w:val="000000" w:themeColor="text1"/>
                <w:sz w:val="24"/>
                <w:szCs w:val="24"/>
                <w:highlight w:val="none"/>
                <w:lang w:bidi="ar"/>
                <w14:textFill>
                  <w14:solidFill>
                    <w14:schemeClr w14:val="tx1"/>
                  </w14:solidFill>
                </w14:textFill>
              </w:rPr>
              <w:t>式中：</w:t>
            </w:r>
            <w:r>
              <w:rPr>
                <w:rFonts w:hint="eastAsia" w:ascii="Times New Roman" w:hAnsi="Times New Roman" w:eastAsia="宋体" w:cs="宋体"/>
                <w:bCs/>
                <w:color w:val="000000" w:themeColor="text1"/>
                <w:sz w:val="24"/>
                <w:szCs w:val="24"/>
                <w:highlight w:val="none"/>
                <w:lang w:val="en-US" w:eastAsia="zh-CN" w:bidi="ar"/>
                <w14:textFill>
                  <w14:solidFill>
                    <w14:schemeClr w14:val="tx1"/>
                  </w14:solidFill>
                </w14:textFill>
              </w:rPr>
              <w:t xml:space="preserve"> </w:t>
            </w:r>
            <w:r>
              <w:rPr>
                <w:rFonts w:ascii="Times New Roman" w:hAnsi="Times New Roman" w:eastAsia="宋体"/>
                <w:bCs/>
                <w:color w:val="000000" w:themeColor="text1"/>
                <w:sz w:val="24"/>
                <w:szCs w:val="24"/>
                <w:highlight w:val="none"/>
                <w:lang w:bidi="ar"/>
                <w14:textFill>
                  <w14:solidFill>
                    <w14:schemeClr w14:val="tx1"/>
                  </w14:solidFill>
                </w14:textFill>
              </w:rPr>
              <w:t>Q——</w:t>
            </w:r>
            <w:r>
              <w:rPr>
                <w:rFonts w:hint="eastAsia" w:ascii="Times New Roman" w:hAnsi="Times New Roman" w:eastAsia="宋体" w:cs="宋体"/>
                <w:bCs/>
                <w:color w:val="000000" w:themeColor="text1"/>
                <w:sz w:val="24"/>
                <w:szCs w:val="24"/>
                <w:highlight w:val="none"/>
                <w:lang w:bidi="ar"/>
                <w14:textFill>
                  <w14:solidFill>
                    <w14:schemeClr w14:val="tx1"/>
                  </w14:solidFill>
                </w14:textFill>
              </w:rPr>
              <w:t>雨水流量，</w:t>
            </w:r>
            <w:r>
              <w:rPr>
                <w:rFonts w:ascii="Times New Roman" w:hAnsi="Times New Roman" w:eastAsia="宋体"/>
                <w:bCs/>
                <w:color w:val="000000" w:themeColor="text1"/>
                <w:sz w:val="24"/>
                <w:szCs w:val="24"/>
                <w:highlight w:val="none"/>
                <w:lang w:bidi="ar"/>
                <w14:textFill>
                  <w14:solidFill>
                    <w14:schemeClr w14:val="tx1"/>
                  </w14:solidFill>
                </w14:textFill>
              </w:rPr>
              <w:t>L/s</w:t>
            </w:r>
            <w:r>
              <w:rPr>
                <w:rFonts w:hint="eastAsia" w:ascii="Times New Roman" w:hAnsi="Times New Roman" w:eastAsia="宋体" w:cs="宋体"/>
                <w:bCs/>
                <w:color w:val="000000" w:themeColor="text1"/>
                <w:sz w:val="24"/>
                <w:szCs w:val="24"/>
                <w:highlight w:val="none"/>
                <w:lang w:bidi="ar"/>
                <w14:textFill>
                  <w14:solidFill>
                    <w14:schemeClr w14:val="tx1"/>
                  </w14:solidFill>
                </w14:textFill>
              </w:rPr>
              <w:t>；</w:t>
            </w:r>
          </w:p>
          <w:p>
            <w:pPr>
              <w:pageBreakBefore w:val="0"/>
              <w:kinsoku/>
              <w:bidi w:val="0"/>
              <w:spacing w:beforeAutospacing="0" w:afterAutospacing="0" w:line="360" w:lineRule="auto"/>
              <w:ind w:firstLine="1320" w:firstLineChars="550"/>
              <w:rPr>
                <w:rFonts w:ascii="Times New Roman" w:hAnsi="Times New Roman" w:eastAsia="宋体"/>
                <w:bCs/>
                <w:color w:val="000000" w:themeColor="text1"/>
                <w:sz w:val="24"/>
                <w:szCs w:val="24"/>
                <w:highlight w:val="none"/>
                <w14:textFill>
                  <w14:solidFill>
                    <w14:schemeClr w14:val="tx1"/>
                  </w14:solidFill>
                </w14:textFill>
              </w:rPr>
            </w:pPr>
            <w:r>
              <w:rPr>
                <w:rFonts w:ascii="Times New Roman" w:hAnsi="Times New Roman" w:eastAsia="宋体"/>
                <w:bCs/>
                <w:color w:val="000000" w:themeColor="text1"/>
                <w:sz w:val="24"/>
                <w:szCs w:val="24"/>
                <w:highlight w:val="none"/>
                <w:lang w:bidi="ar"/>
                <w14:textFill>
                  <w14:solidFill>
                    <w14:schemeClr w14:val="tx1"/>
                  </w14:solidFill>
                </w14:textFill>
              </w:rPr>
              <w:t>¢——</w:t>
            </w:r>
            <w:r>
              <w:rPr>
                <w:rFonts w:hint="eastAsia" w:ascii="Times New Roman" w:hAnsi="Times New Roman" w:eastAsia="宋体" w:cs="宋体"/>
                <w:bCs/>
                <w:color w:val="000000" w:themeColor="text1"/>
                <w:sz w:val="24"/>
                <w:szCs w:val="24"/>
                <w:highlight w:val="none"/>
                <w:lang w:bidi="ar"/>
                <w14:textFill>
                  <w14:solidFill>
                    <w14:schemeClr w14:val="tx1"/>
                  </w14:solidFill>
                </w14:textFill>
              </w:rPr>
              <w:t>径流系数，取</w:t>
            </w:r>
            <w:r>
              <w:rPr>
                <w:rFonts w:ascii="Times New Roman" w:hAnsi="Times New Roman" w:eastAsia="宋体"/>
                <w:bCs/>
                <w:color w:val="000000" w:themeColor="text1"/>
                <w:sz w:val="24"/>
                <w:szCs w:val="24"/>
                <w:highlight w:val="none"/>
                <w:lang w:bidi="ar"/>
                <w14:textFill>
                  <w14:solidFill>
                    <w14:schemeClr w14:val="tx1"/>
                  </w14:solidFill>
                </w14:textFill>
              </w:rPr>
              <w:t>0.</w:t>
            </w:r>
            <w:r>
              <w:rPr>
                <w:rFonts w:hint="eastAsia" w:ascii="Times New Roman" w:hAnsi="Times New Roman" w:eastAsia="宋体"/>
                <w:bCs/>
                <w:color w:val="000000" w:themeColor="text1"/>
                <w:sz w:val="24"/>
                <w:szCs w:val="24"/>
                <w:highlight w:val="none"/>
                <w:lang w:val="en-US" w:eastAsia="zh-CN" w:bidi="ar"/>
                <w14:textFill>
                  <w14:solidFill>
                    <w14:schemeClr w14:val="tx1"/>
                  </w14:solidFill>
                </w14:textFill>
              </w:rPr>
              <w:t>45</w:t>
            </w:r>
            <w:r>
              <w:rPr>
                <w:rFonts w:hint="eastAsia" w:ascii="Times New Roman" w:hAnsi="Times New Roman" w:eastAsia="宋体" w:cs="宋体"/>
                <w:bCs/>
                <w:color w:val="000000" w:themeColor="text1"/>
                <w:sz w:val="24"/>
                <w:szCs w:val="24"/>
                <w:highlight w:val="none"/>
                <w:lang w:bidi="ar"/>
                <w14:textFill>
                  <w14:solidFill>
                    <w14:schemeClr w14:val="tx1"/>
                  </w14:solidFill>
                </w14:textFill>
              </w:rPr>
              <w:t>。</w:t>
            </w:r>
          </w:p>
          <w:p>
            <w:pPr>
              <w:pageBreakBefore w:val="0"/>
              <w:kinsoku/>
              <w:bidi w:val="0"/>
              <w:spacing w:beforeAutospacing="0" w:afterAutospacing="0" w:line="360" w:lineRule="auto"/>
              <w:ind w:firstLine="1320" w:firstLineChars="550"/>
              <w:rPr>
                <w:rFonts w:ascii="Times New Roman" w:hAnsi="Times New Roman" w:eastAsia="宋体" w:cs="宋体"/>
                <w:bCs/>
                <w:color w:val="000000" w:themeColor="text1"/>
                <w:sz w:val="24"/>
                <w:szCs w:val="24"/>
                <w:highlight w:val="none"/>
                <w:lang w:bidi="ar"/>
                <w14:textFill>
                  <w14:solidFill>
                    <w14:schemeClr w14:val="tx1"/>
                  </w14:solidFill>
                </w14:textFill>
              </w:rPr>
            </w:pPr>
            <w:r>
              <w:rPr>
                <w:rFonts w:ascii="Times New Roman" w:hAnsi="Times New Roman" w:eastAsia="宋体"/>
                <w:bCs/>
                <w:color w:val="000000" w:themeColor="text1"/>
                <w:sz w:val="24"/>
                <w:szCs w:val="24"/>
                <w:highlight w:val="none"/>
                <w:lang w:bidi="ar"/>
                <w14:textFill>
                  <w14:solidFill>
                    <w14:schemeClr w14:val="tx1"/>
                  </w14:solidFill>
                </w14:textFill>
              </w:rPr>
              <w:t>F——</w:t>
            </w:r>
            <w:r>
              <w:rPr>
                <w:rFonts w:hint="eastAsia" w:ascii="Times New Roman" w:hAnsi="Times New Roman" w:eastAsia="宋体" w:cs="宋体"/>
                <w:bCs/>
                <w:color w:val="000000" w:themeColor="text1"/>
                <w:sz w:val="24"/>
                <w:szCs w:val="24"/>
                <w:highlight w:val="none"/>
                <w:lang w:bidi="ar"/>
                <w14:textFill>
                  <w14:solidFill>
                    <w14:schemeClr w14:val="tx1"/>
                  </w14:solidFill>
                </w14:textFill>
              </w:rPr>
              <w:t>收集面积，</w:t>
            </w:r>
            <w:r>
              <w:rPr>
                <w:rFonts w:ascii="Times New Roman" w:hAnsi="Times New Roman" w:eastAsia="宋体"/>
                <w:bCs/>
                <w:color w:val="000000" w:themeColor="text1"/>
                <w:sz w:val="24"/>
                <w:szCs w:val="24"/>
                <w:highlight w:val="none"/>
                <w:lang w:bidi="ar"/>
                <w14:textFill>
                  <w14:solidFill>
                    <w14:schemeClr w14:val="tx1"/>
                  </w14:solidFill>
                </w14:textFill>
              </w:rPr>
              <w:t>hm</w:t>
            </w:r>
            <w:r>
              <w:rPr>
                <w:rFonts w:ascii="Times New Roman" w:hAnsi="Times New Roman" w:eastAsia="宋体"/>
                <w:bCs/>
                <w:color w:val="000000" w:themeColor="text1"/>
                <w:sz w:val="24"/>
                <w:szCs w:val="24"/>
                <w:highlight w:val="none"/>
                <w:vertAlign w:val="superscript"/>
                <w:lang w:bidi="ar"/>
                <w14:textFill>
                  <w14:solidFill>
                    <w14:schemeClr w14:val="tx1"/>
                  </w14:solidFill>
                </w14:textFill>
              </w:rPr>
              <w:t>2</w:t>
            </w:r>
            <w:r>
              <w:rPr>
                <w:rFonts w:hint="eastAsia" w:ascii="Times New Roman" w:hAnsi="Times New Roman" w:eastAsia="宋体" w:cs="宋体"/>
                <w:bCs/>
                <w:color w:val="000000" w:themeColor="text1"/>
                <w:sz w:val="24"/>
                <w:szCs w:val="24"/>
                <w:highlight w:val="none"/>
                <w:lang w:bidi="ar"/>
                <w14:textFill>
                  <w14:solidFill>
                    <w14:schemeClr w14:val="tx1"/>
                  </w14:solidFill>
                </w14:textFill>
              </w:rPr>
              <w:t>。</w:t>
            </w:r>
          </w:p>
          <w:p>
            <w:pPr>
              <w:pageBreakBefore w:val="0"/>
              <w:kinsoku/>
              <w:bidi w:val="0"/>
              <w:spacing w:beforeAutospacing="0" w:afterAutospacing="0" w:line="360" w:lineRule="auto"/>
              <w:ind w:firstLine="480" w:firstLineChars="200"/>
              <w:rPr>
                <w:rFonts w:hint="eastAsia" w:ascii="Times New Roman" w:hAnsi="Times New Roman" w:eastAsia="宋体"/>
                <w:color w:val="000000" w:themeColor="text1"/>
                <w:sz w:val="24"/>
                <w:szCs w:val="32"/>
                <w:highlight w:val="none"/>
                <w:vertAlign w:val="baseline"/>
                <w:lang w:val="en-US" w:eastAsia="zh-CN"/>
                <w14:textFill>
                  <w14:solidFill>
                    <w14:schemeClr w14:val="tx1"/>
                  </w14:solidFill>
                </w14:textFill>
              </w:rPr>
            </w:pPr>
            <w:r>
              <w:rPr>
                <w:rFonts w:hint="eastAsia" w:ascii="Times New Roman" w:hAnsi="Times New Roman" w:eastAsia="宋体" w:cs="宋体"/>
                <w:bCs/>
                <w:color w:val="000000" w:themeColor="text1"/>
                <w:sz w:val="24"/>
                <w:szCs w:val="24"/>
                <w:highlight w:val="none"/>
                <w:lang w:val="en-US" w:eastAsia="zh-CN" w:bidi="ar"/>
                <w14:textFill>
                  <w14:solidFill>
                    <w14:schemeClr w14:val="tx1"/>
                  </w14:solidFill>
                </w14:textFill>
              </w:rPr>
              <w:t>根据可研报告，</w:t>
            </w:r>
            <w:r>
              <w:rPr>
                <w:rFonts w:hint="eastAsia" w:ascii="Times New Roman" w:hAnsi="Times New Roman" w:eastAsia="宋体" w:cs="宋体"/>
                <w:bCs/>
                <w:color w:val="000000" w:themeColor="text1"/>
                <w:sz w:val="24"/>
                <w:szCs w:val="24"/>
                <w:highlight w:val="none"/>
                <w:lang w:bidi="ar"/>
                <w14:textFill>
                  <w14:solidFill>
                    <w14:schemeClr w14:val="tx1"/>
                  </w14:solidFill>
                </w14:textFill>
              </w:rPr>
              <w:t>本项目</w:t>
            </w:r>
            <w:r>
              <w:rPr>
                <w:rFonts w:hint="eastAsia" w:ascii="Times New Roman" w:hAnsi="Times New Roman" w:eastAsia="宋体" w:cs="宋体"/>
                <w:bCs/>
                <w:color w:val="000000" w:themeColor="text1"/>
                <w:sz w:val="24"/>
                <w:szCs w:val="24"/>
                <w:highlight w:val="none"/>
                <w:lang w:val="en-US" w:eastAsia="zh-CN" w:bidi="ar"/>
                <w14:textFill>
                  <w14:solidFill>
                    <w14:schemeClr w14:val="tx1"/>
                  </w14:solidFill>
                </w14:textFill>
              </w:rPr>
              <w:t>港区总面积为35.4hm</w:t>
            </w:r>
            <w:r>
              <w:rPr>
                <w:rFonts w:hint="eastAsia" w:ascii="Times New Roman" w:hAnsi="Times New Roman" w:eastAsia="宋体" w:cs="宋体"/>
                <w:bCs/>
                <w:color w:val="000000" w:themeColor="text1"/>
                <w:sz w:val="24"/>
                <w:szCs w:val="24"/>
                <w:highlight w:val="none"/>
                <w:vertAlign w:val="superscript"/>
                <w:lang w:val="en-US" w:eastAsia="zh-CN" w:bidi="ar"/>
                <w14:textFill>
                  <w14:solidFill>
                    <w14:schemeClr w14:val="tx1"/>
                  </w14:solidFill>
                </w14:textFill>
              </w:rPr>
              <w:t>2</w:t>
            </w:r>
            <w:r>
              <w:rPr>
                <w:rFonts w:hint="eastAsia" w:ascii="Times New Roman" w:hAnsi="Times New Roman" w:eastAsia="宋体" w:cs="宋体"/>
                <w:bCs/>
                <w:color w:val="000000" w:themeColor="text1"/>
                <w:sz w:val="24"/>
                <w:szCs w:val="24"/>
                <w:highlight w:val="none"/>
                <w:vertAlign w:val="baseline"/>
                <w:lang w:val="en-US" w:eastAsia="zh-CN" w:bidi="ar"/>
                <w14:textFill>
                  <w14:solidFill>
                    <w14:schemeClr w14:val="tx1"/>
                  </w14:solidFill>
                </w14:textFill>
              </w:rPr>
              <w:t>，因此，雨水</w:t>
            </w:r>
            <w:r>
              <w:rPr>
                <w:rFonts w:hint="eastAsia" w:ascii="Times New Roman" w:hAnsi="Times New Roman" w:eastAsia="宋体" w:cs="宋体"/>
                <w:bCs/>
                <w:color w:val="000000" w:themeColor="text1"/>
                <w:sz w:val="24"/>
                <w:szCs w:val="24"/>
                <w:highlight w:val="none"/>
                <w:lang w:val="en-US" w:eastAsia="zh-CN" w:bidi="ar"/>
                <w14:textFill>
                  <w14:solidFill>
                    <w14:schemeClr w14:val="tx1"/>
                  </w14:solidFill>
                </w14:textFill>
              </w:rPr>
              <w:t>收集面积选取35.4</w:t>
            </w:r>
            <w:r>
              <w:rPr>
                <w:rFonts w:ascii="Times New Roman" w:hAnsi="Times New Roman" w:eastAsia="宋体"/>
                <w:bCs/>
                <w:color w:val="000000" w:themeColor="text1"/>
                <w:sz w:val="24"/>
                <w:szCs w:val="24"/>
                <w:highlight w:val="none"/>
                <w:lang w:bidi="ar"/>
                <w14:textFill>
                  <w14:solidFill>
                    <w14:schemeClr w14:val="tx1"/>
                  </w14:solidFill>
                </w14:textFill>
              </w:rPr>
              <w:t>hm</w:t>
            </w:r>
            <w:r>
              <w:rPr>
                <w:rFonts w:ascii="Times New Roman" w:hAnsi="Times New Roman" w:eastAsia="宋体"/>
                <w:bCs/>
                <w:color w:val="000000" w:themeColor="text1"/>
                <w:sz w:val="24"/>
                <w:szCs w:val="24"/>
                <w:highlight w:val="none"/>
                <w:vertAlign w:val="superscript"/>
                <w:lang w:bidi="ar"/>
                <w14:textFill>
                  <w14:solidFill>
                    <w14:schemeClr w14:val="tx1"/>
                  </w14:solidFill>
                </w14:textFill>
              </w:rPr>
              <w:t>2</w:t>
            </w:r>
            <w:r>
              <w:rPr>
                <w:rFonts w:hint="eastAsia" w:ascii="Times New Roman" w:hAnsi="Times New Roman" w:eastAsia="宋体"/>
                <w:bCs/>
                <w:color w:val="000000" w:themeColor="text1"/>
                <w:sz w:val="24"/>
                <w:szCs w:val="24"/>
                <w:highlight w:val="none"/>
                <w:vertAlign w:val="baseline"/>
                <w:lang w:eastAsia="zh-CN" w:bidi="ar"/>
                <w14:textFill>
                  <w14:solidFill>
                    <w14:schemeClr w14:val="tx1"/>
                  </w14:solidFill>
                </w14:textFill>
              </w:rPr>
              <w:t>。</w:t>
            </w:r>
            <w:r>
              <w:rPr>
                <w:rFonts w:hint="eastAsia" w:ascii="Times New Roman" w:hAnsi="Times New Roman" w:eastAsia="宋体" w:cs="宋体"/>
                <w:bCs/>
                <w:color w:val="000000" w:themeColor="text1"/>
                <w:sz w:val="24"/>
                <w:szCs w:val="24"/>
                <w:highlight w:val="none"/>
                <w:lang w:bidi="ar"/>
                <w14:textFill>
                  <w14:solidFill>
                    <w14:schemeClr w14:val="tx1"/>
                  </w14:solidFill>
                </w14:textFill>
              </w:rPr>
              <w:t>初期雨水取前</w:t>
            </w:r>
            <w:r>
              <w:rPr>
                <w:rFonts w:ascii="Times New Roman" w:hAnsi="Times New Roman" w:eastAsia="宋体"/>
                <w:bCs/>
                <w:color w:val="000000" w:themeColor="text1"/>
                <w:sz w:val="24"/>
                <w:szCs w:val="24"/>
                <w:highlight w:val="none"/>
                <w:lang w:bidi="ar"/>
                <w14:textFill>
                  <w14:solidFill>
                    <w14:schemeClr w14:val="tx1"/>
                  </w14:solidFill>
                </w14:textFill>
              </w:rPr>
              <w:t>15min</w:t>
            </w:r>
            <w:r>
              <w:rPr>
                <w:rFonts w:hint="eastAsia" w:ascii="Times New Roman" w:hAnsi="Times New Roman" w:eastAsia="宋体" w:cs="宋体"/>
                <w:bCs/>
                <w:color w:val="000000" w:themeColor="text1"/>
                <w:sz w:val="24"/>
                <w:szCs w:val="24"/>
                <w:highlight w:val="none"/>
                <w:lang w:bidi="ar"/>
                <w14:textFill>
                  <w14:solidFill>
                    <w14:schemeClr w14:val="tx1"/>
                  </w14:solidFill>
                </w14:textFill>
              </w:rPr>
              <w:t>的雨水，</w:t>
            </w:r>
            <w:r>
              <w:rPr>
                <w:rFonts w:hint="eastAsia" w:ascii="Times New Roman" w:hAnsi="Times New Roman" w:eastAsia="宋体" w:cs="宋体"/>
                <w:bCs/>
                <w:color w:val="000000" w:themeColor="text1"/>
                <w:sz w:val="24"/>
                <w:szCs w:val="24"/>
                <w:highlight w:val="none"/>
                <w:lang w:eastAsia="zh-CN" w:bidi="ar"/>
                <w14:textFill>
                  <w14:solidFill>
                    <w14:schemeClr w14:val="tx1"/>
                  </w14:solidFill>
                </w14:textFill>
              </w:rPr>
              <w:t>计算的项目</w:t>
            </w:r>
            <w:r>
              <w:rPr>
                <w:rFonts w:hint="eastAsia" w:ascii="Times New Roman" w:hAnsi="Times New Roman" w:eastAsia="宋体" w:cs="宋体"/>
                <w:bCs/>
                <w:color w:val="000000" w:themeColor="text1"/>
                <w:sz w:val="24"/>
                <w:szCs w:val="24"/>
                <w:highlight w:val="none"/>
                <w:lang w:val="en-US" w:eastAsia="zh-CN" w:bidi="ar"/>
                <w14:textFill>
                  <w14:solidFill>
                    <w14:schemeClr w14:val="tx1"/>
                  </w14:solidFill>
                </w14:textFill>
              </w:rPr>
              <w:t>约为4261</w:t>
            </w:r>
            <w:r>
              <w:rPr>
                <w:rFonts w:hint="eastAsia" w:ascii="Times New Roman" w:hAnsi="Times New Roman" w:eastAsia="宋体"/>
                <w:bCs/>
                <w:color w:val="000000" w:themeColor="text1"/>
                <w:sz w:val="24"/>
                <w:szCs w:val="24"/>
                <w:highlight w:val="none"/>
                <w:lang w:bidi="ar"/>
                <w14:textFill>
                  <w14:solidFill>
                    <w14:schemeClr w14:val="tx1"/>
                  </w14:solidFill>
                </w14:textFill>
              </w:rPr>
              <w:t>m</w:t>
            </w:r>
            <w:r>
              <w:rPr>
                <w:rFonts w:hint="eastAsia" w:ascii="Times New Roman" w:hAnsi="Times New Roman" w:eastAsia="宋体"/>
                <w:bCs/>
                <w:color w:val="000000" w:themeColor="text1"/>
                <w:sz w:val="24"/>
                <w:szCs w:val="24"/>
                <w:highlight w:val="none"/>
                <w:vertAlign w:val="superscript"/>
                <w:lang w:bidi="ar"/>
                <w14:textFill>
                  <w14:solidFill>
                    <w14:schemeClr w14:val="tx1"/>
                  </w14:solidFill>
                </w14:textFill>
              </w:rPr>
              <w:t>3</w:t>
            </w:r>
            <w:r>
              <w:rPr>
                <w:rFonts w:ascii="Times New Roman" w:hAnsi="Times New Roman" w:eastAsia="宋体"/>
                <w:bCs/>
                <w:color w:val="000000" w:themeColor="text1"/>
                <w:sz w:val="24"/>
                <w:szCs w:val="24"/>
                <w:highlight w:val="none"/>
                <w:lang w:bidi="ar"/>
                <w14:textFill>
                  <w14:solidFill>
                    <w14:schemeClr w14:val="tx1"/>
                  </w14:solidFill>
                </w14:textFill>
              </w:rPr>
              <w:t>/</w:t>
            </w:r>
            <w:r>
              <w:rPr>
                <w:rFonts w:hint="eastAsia" w:ascii="Times New Roman" w:hAnsi="Times New Roman" w:eastAsia="宋体" w:cs="宋体"/>
                <w:bCs/>
                <w:color w:val="000000" w:themeColor="text1"/>
                <w:sz w:val="24"/>
                <w:szCs w:val="24"/>
                <w:highlight w:val="none"/>
                <w:lang w:bidi="ar"/>
                <w14:textFill>
                  <w14:solidFill>
                    <w14:schemeClr w14:val="tx1"/>
                  </w14:solidFill>
                </w14:textFill>
              </w:rPr>
              <w:t>次。</w:t>
            </w:r>
            <w:r>
              <w:rPr>
                <w:rFonts w:hint="eastAsia" w:ascii="Times New Roman" w:hAnsi="Times New Roman" w:eastAsia="宋体" w:cs="宋体"/>
                <w:bCs/>
                <w:color w:val="000000" w:themeColor="text1"/>
                <w:sz w:val="24"/>
                <w:szCs w:val="24"/>
                <w:highlight w:val="none"/>
                <w:lang w:eastAsia="zh-CN" w:bidi="ar"/>
                <w14:textFill>
                  <w14:solidFill>
                    <w14:schemeClr w14:val="tx1"/>
                  </w14:solidFill>
                </w14:textFill>
              </w:rPr>
              <w:t>本项目</w:t>
            </w:r>
            <w:r>
              <w:rPr>
                <w:rFonts w:hint="eastAsia" w:ascii="Times New Roman" w:hAnsi="Times New Roman" w:eastAsia="宋体" w:cs="宋体"/>
                <w:bCs/>
                <w:color w:val="000000" w:themeColor="text1"/>
                <w:sz w:val="24"/>
                <w:szCs w:val="24"/>
                <w:highlight w:val="none"/>
                <w:lang w:val="en-US" w:eastAsia="zh-CN" w:bidi="ar"/>
                <w14:textFill>
                  <w14:solidFill>
                    <w14:schemeClr w14:val="tx1"/>
                  </w14:solidFill>
                </w14:textFill>
              </w:rPr>
              <w:t>建设总容积4500</w:t>
            </w:r>
            <w:r>
              <w:rPr>
                <w:rFonts w:hint="eastAsia" w:ascii="Times New Roman" w:hAnsi="Times New Roman" w:eastAsia="宋体"/>
                <w:bCs/>
                <w:color w:val="000000" w:themeColor="text1"/>
                <w:sz w:val="24"/>
                <w:szCs w:val="24"/>
                <w:highlight w:val="none"/>
                <w:lang w:bidi="ar"/>
                <w14:textFill>
                  <w14:solidFill>
                    <w14:schemeClr w14:val="tx1"/>
                  </w14:solidFill>
                </w14:textFill>
              </w:rPr>
              <w:t>m</w:t>
            </w:r>
            <w:r>
              <w:rPr>
                <w:rFonts w:hint="eastAsia" w:ascii="Times New Roman" w:hAnsi="Times New Roman" w:eastAsia="宋体"/>
                <w:bCs/>
                <w:color w:val="000000" w:themeColor="text1"/>
                <w:sz w:val="24"/>
                <w:szCs w:val="24"/>
                <w:highlight w:val="none"/>
                <w:vertAlign w:val="superscript"/>
                <w:lang w:bidi="ar"/>
                <w14:textFill>
                  <w14:solidFill>
                    <w14:schemeClr w14:val="tx1"/>
                  </w14:solidFill>
                </w14:textFill>
              </w:rPr>
              <w:t>3</w:t>
            </w:r>
            <w:r>
              <w:rPr>
                <w:rFonts w:hint="eastAsia" w:ascii="Times New Roman" w:hAnsi="Times New Roman" w:eastAsia="宋体"/>
                <w:bCs/>
                <w:color w:val="000000" w:themeColor="text1"/>
                <w:sz w:val="24"/>
                <w:szCs w:val="24"/>
                <w:highlight w:val="none"/>
                <w:vertAlign w:val="baseline"/>
                <w:lang w:eastAsia="zh-CN" w:bidi="ar"/>
                <w14:textFill>
                  <w14:solidFill>
                    <w14:schemeClr w14:val="tx1"/>
                  </w14:solidFill>
                </w14:textFill>
              </w:rPr>
              <w:t>的</w:t>
            </w:r>
            <w:r>
              <w:rPr>
                <w:rFonts w:hint="eastAsia" w:ascii="Times New Roman" w:hAnsi="Times New Roman" w:eastAsia="宋体" w:cs="Times New Roman"/>
                <w:color w:val="000000" w:themeColor="text1"/>
                <w:kern w:val="0"/>
                <w:sz w:val="24"/>
                <w:szCs w:val="32"/>
                <w:highlight w:val="none"/>
                <w:lang w:val="en-US" w:eastAsia="zh-CN" w:bidi="ar-SA"/>
                <w14:textFill>
                  <w14:solidFill>
                    <w14:schemeClr w14:val="tx1"/>
                  </w14:solidFill>
                </w14:textFill>
              </w:rPr>
              <w:t>初期雨</w:t>
            </w:r>
            <w:r>
              <w:rPr>
                <w:rFonts w:hint="eastAsia" w:ascii="Times New Roman" w:hAnsi="Times New Roman" w:eastAsia="宋体"/>
                <w:bCs/>
                <w:color w:val="000000" w:themeColor="text1"/>
                <w:sz w:val="24"/>
                <w:szCs w:val="24"/>
                <w:highlight w:val="none"/>
                <w:vertAlign w:val="baseline"/>
                <w:lang w:eastAsia="zh-CN" w:bidi="ar"/>
                <w14:textFill>
                  <w14:solidFill>
                    <w14:schemeClr w14:val="tx1"/>
                  </w14:solidFill>
                </w14:textFill>
              </w:rPr>
              <w:t>水收集池（</w:t>
            </w:r>
            <w:r>
              <w:rPr>
                <w:rFonts w:hint="eastAsia" w:ascii="Times New Roman" w:hAnsi="Times New Roman" w:eastAsia="宋体"/>
                <w:bCs/>
                <w:color w:val="000000" w:themeColor="text1"/>
                <w:sz w:val="24"/>
                <w:szCs w:val="24"/>
                <w:highlight w:val="none"/>
                <w:vertAlign w:val="baseline"/>
                <w:lang w:val="en-US" w:eastAsia="zh-CN" w:bidi="ar"/>
                <w14:textFill>
                  <w14:solidFill>
                    <w14:schemeClr w14:val="tx1"/>
                  </w14:solidFill>
                </w14:textFill>
              </w:rPr>
              <w:t>分区布设3个1500m</w:t>
            </w:r>
            <w:r>
              <w:rPr>
                <w:rFonts w:hint="eastAsia" w:ascii="Times New Roman" w:hAnsi="Times New Roman" w:eastAsia="宋体"/>
                <w:bCs/>
                <w:color w:val="000000" w:themeColor="text1"/>
                <w:sz w:val="24"/>
                <w:szCs w:val="24"/>
                <w:highlight w:val="none"/>
                <w:vertAlign w:val="superscript"/>
                <w:lang w:val="en-US" w:eastAsia="zh-CN" w:bidi="ar"/>
                <w14:textFill>
                  <w14:solidFill>
                    <w14:schemeClr w14:val="tx1"/>
                  </w14:solidFill>
                </w14:textFill>
              </w:rPr>
              <w:t>3</w:t>
            </w:r>
            <w:r>
              <w:rPr>
                <w:rFonts w:hint="eastAsia" w:ascii="Times New Roman" w:hAnsi="Times New Roman" w:eastAsia="宋体"/>
                <w:bCs/>
                <w:color w:val="000000" w:themeColor="text1"/>
                <w:sz w:val="24"/>
                <w:szCs w:val="24"/>
                <w:highlight w:val="none"/>
                <w:vertAlign w:val="baseline"/>
                <w:lang w:val="en-US" w:eastAsia="zh-CN" w:bidi="ar"/>
                <w14:textFill>
                  <w14:solidFill>
                    <w14:schemeClr w14:val="tx1"/>
                  </w14:solidFill>
                </w14:textFill>
              </w:rPr>
              <w:t>雨水收集池，</w:t>
            </w:r>
            <w:r>
              <w:rPr>
                <w:rFonts w:hint="eastAsia" w:ascii="Times New Roman" w:hAnsi="Times New Roman" w:eastAsia="宋体"/>
                <w:bCs/>
                <w:color w:val="000000" w:themeColor="text1"/>
                <w:sz w:val="24"/>
                <w:szCs w:val="24"/>
                <w:highlight w:val="none"/>
                <w:vertAlign w:val="baseline"/>
                <w:lang w:val="en-US" w:eastAsia="zh-CN" w:bidi="ar"/>
                <w14:textFill>
                  <w14:solidFill>
                    <w14:schemeClr w14:val="tx1"/>
                  </w14:solidFill>
                </w14:textFill>
              </w:rPr>
              <w:t>具体位置见附图11</w:t>
            </w:r>
            <w:r>
              <w:rPr>
                <w:rFonts w:hint="eastAsia" w:ascii="Times New Roman" w:hAnsi="Times New Roman" w:eastAsia="宋体"/>
                <w:bCs/>
                <w:color w:val="000000" w:themeColor="text1"/>
                <w:sz w:val="24"/>
                <w:szCs w:val="24"/>
                <w:highlight w:val="none"/>
                <w:vertAlign w:val="baseline"/>
                <w:lang w:eastAsia="zh-CN" w:bidi="ar"/>
                <w14:textFill>
                  <w14:solidFill>
                    <w14:schemeClr w14:val="tx1"/>
                  </w14:solidFill>
                </w14:textFill>
              </w:rPr>
              <w:t>），可满足项目初期雨水的收集需要。</w:t>
            </w:r>
          </w:p>
          <w:p>
            <w:pPr>
              <w:pStyle w:val="22"/>
              <w:pageBreakBefore w:val="0"/>
              <w:kinsoku/>
              <w:bidi w:val="0"/>
              <w:spacing w:beforeAutospacing="0" w:after="0" w:afterAutospacing="0" w:line="360" w:lineRule="auto"/>
              <w:ind w:left="0" w:leftChars="0"/>
              <w:jc w:val="left"/>
              <w:rPr>
                <w:rFonts w:ascii="Times New Roman" w:hAnsi="Times New Roman" w:eastAsia="宋体"/>
                <w:color w:val="000000" w:themeColor="text1"/>
                <w:sz w:val="24"/>
                <w:szCs w:val="32"/>
                <w:highlight w:val="none"/>
                <w14:textFill>
                  <w14:solidFill>
                    <w14:schemeClr w14:val="tx1"/>
                  </w14:solidFill>
                </w14:textFill>
              </w:rPr>
            </w:pPr>
            <w:r>
              <w:rPr>
                <w:rFonts w:ascii="Times New Roman" w:hAnsi="Times New Roman" w:eastAsia="宋体"/>
                <w:color w:val="000000" w:themeColor="text1"/>
                <w:sz w:val="24"/>
                <w:szCs w:val="32"/>
                <w:highlight w:val="none"/>
                <w14:textFill>
                  <w14:solidFill>
                    <w14:schemeClr w14:val="tx1"/>
                  </w14:solidFill>
                </w14:textFill>
              </w:rPr>
              <w:t>生活污水经过三级化粪池处理后</w:t>
            </w:r>
            <w:r>
              <w:rPr>
                <w:rFonts w:hint="eastAsia" w:ascii="Times New Roman" w:hAnsi="Times New Roman" w:eastAsia="宋体"/>
                <w:color w:val="000000" w:themeColor="text1"/>
                <w:sz w:val="24"/>
                <w:szCs w:val="32"/>
                <w:highlight w:val="none"/>
                <w:lang w:val="en-US" w:eastAsia="zh-CN"/>
                <w14:textFill>
                  <w14:solidFill>
                    <w14:schemeClr w14:val="tx1"/>
                  </w14:solidFill>
                </w14:textFill>
              </w:rPr>
              <w:t>由槽罐车运输至</w:t>
            </w:r>
            <w:r>
              <w:rPr>
                <w:rFonts w:hint="eastAsia" w:ascii="Times New Roman" w:hAnsi="Times New Roman" w:eastAsia="宋体" w:cs="宋体"/>
                <w:color w:val="000000" w:themeColor="text1"/>
                <w:kern w:val="0"/>
                <w:sz w:val="24"/>
                <w:szCs w:val="24"/>
                <w:highlight w:val="none"/>
                <w:lang w:val="en-US" w:eastAsia="zh-CN"/>
                <w14:textFill>
                  <w14:solidFill>
                    <w14:schemeClr w14:val="tx1"/>
                  </w14:solidFill>
                </w14:textFill>
              </w:rPr>
              <w:t>福鼎市白琳镇</w:t>
            </w:r>
            <w:r>
              <w:rPr>
                <w:rFonts w:hint="eastAsia" w:ascii="Times New Roman" w:hAnsi="Times New Roman" w:eastAsia="宋体" w:cs="宋体"/>
                <w:color w:val="000000" w:themeColor="text1"/>
                <w:kern w:val="0"/>
                <w:sz w:val="24"/>
                <w:szCs w:val="24"/>
                <w:highlight w:val="none"/>
                <w:lang w:eastAsia="zh-CN"/>
                <w14:textFill>
                  <w14:solidFill>
                    <w14:schemeClr w14:val="tx1"/>
                  </w14:solidFill>
                </w14:textFill>
              </w:rPr>
              <w:t>污水处理站</w:t>
            </w:r>
            <w:r>
              <w:rPr>
                <w:rFonts w:hint="eastAsia" w:ascii="Times New Roman" w:hAnsi="Times New Roman" w:eastAsia="宋体"/>
                <w:color w:val="000000" w:themeColor="text1"/>
                <w:sz w:val="24"/>
                <w:szCs w:val="32"/>
                <w:highlight w:val="none"/>
                <w:lang w:eastAsia="zh-CN"/>
                <w14:textFill>
                  <w14:solidFill>
                    <w14:schemeClr w14:val="tx1"/>
                  </w14:solidFill>
                </w14:textFill>
              </w:rPr>
              <w:t>处理；</w:t>
            </w:r>
            <w:r>
              <w:rPr>
                <w:rFonts w:ascii="Times New Roman" w:hAnsi="Times New Roman" w:eastAsia="宋体"/>
                <w:color w:val="000000" w:themeColor="text1"/>
                <w:sz w:val="24"/>
                <w:szCs w:val="32"/>
                <w:highlight w:val="none"/>
                <w14:textFill>
                  <w14:solidFill>
                    <w14:schemeClr w14:val="tx1"/>
                  </w14:solidFill>
                </w14:textFill>
              </w:rPr>
              <w:t>初期雨水经初期雨水池处理后回用于场地洒水抑尘用水。抑尘用水自行蒸发</w:t>
            </w:r>
            <w:r>
              <w:rPr>
                <w:rFonts w:hint="eastAsia" w:ascii="Times New Roman" w:hAnsi="Times New Roman" w:eastAsia="宋体"/>
                <w:color w:val="000000" w:themeColor="text1"/>
                <w:sz w:val="24"/>
                <w:szCs w:val="32"/>
                <w:highlight w:val="none"/>
                <w:lang w:eastAsia="zh-CN"/>
                <w14:textFill>
                  <w14:solidFill>
                    <w14:schemeClr w14:val="tx1"/>
                  </w14:solidFill>
                </w14:textFill>
              </w:rPr>
              <w:t>。</w:t>
            </w:r>
            <w:r>
              <w:rPr>
                <w:rFonts w:ascii="Times New Roman" w:hAnsi="Times New Roman" w:eastAsia="宋体"/>
                <w:color w:val="000000" w:themeColor="text1"/>
                <w:sz w:val="24"/>
                <w:szCs w:val="32"/>
                <w:highlight w:val="none"/>
                <w14:textFill>
                  <w14:solidFill>
                    <w14:schemeClr w14:val="tx1"/>
                  </w14:solidFill>
                </w14:textFill>
              </w:rPr>
              <w:t>通过上述措施后，项目对周边水环境影响较小。</w:t>
            </w:r>
          </w:p>
          <w:p>
            <w:pPr>
              <w:pStyle w:val="11"/>
              <w:pageBreakBefore w:val="0"/>
              <w:kinsoku/>
              <w:bidi w:val="0"/>
              <w:spacing w:beforeAutospacing="0" w:afterAutospacing="0"/>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4</w:t>
            </w:r>
            <w:r>
              <w:rPr>
                <w:rFonts w:hint="default" w:ascii="Times New Roman" w:hAnsi="Times New Roman" w:eastAsia="宋体"/>
                <w:color w:val="000000" w:themeColor="text1"/>
                <w:lang w:val="en-US" w:eastAsia="zh-CN"/>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8大气</w:t>
            </w:r>
            <w:r>
              <w:rPr>
                <w:rFonts w:hint="default" w:ascii="Times New Roman" w:hAnsi="Times New Roman" w:eastAsia="宋体"/>
                <w:color w:val="000000" w:themeColor="text1"/>
                <w:lang w:val="en-US" w:eastAsia="zh-CN"/>
                <w14:textFill>
                  <w14:solidFill>
                    <w14:schemeClr w14:val="tx1"/>
                  </w14:solidFill>
                </w14:textFill>
              </w:rPr>
              <w:t>环境影响分析</w:t>
            </w:r>
          </w:p>
          <w:p>
            <w:pPr>
              <w:pStyle w:val="22"/>
              <w:pageBreakBefore w:val="0"/>
              <w:kinsoku/>
              <w:bidi w:val="0"/>
              <w:spacing w:beforeAutospacing="0" w:after="0" w:afterAutospacing="0" w:line="360" w:lineRule="auto"/>
              <w:ind w:left="0" w:leftChars="0"/>
              <w:jc w:val="left"/>
              <w:rPr>
                <w:rFonts w:hint="eastAsia" w:ascii="Times New Roman" w:hAnsi="Times New Roman" w:eastAsia="宋体" w:cs="Times New Roman"/>
                <w:color w:val="000000" w:themeColor="text1"/>
                <w:sz w:val="24"/>
                <w:szCs w:val="32"/>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32"/>
                <w:highlight w:val="none"/>
                <w:lang w:eastAsia="zh-CN"/>
                <w14:textFill>
                  <w14:solidFill>
                    <w14:schemeClr w14:val="tx1"/>
                  </w14:solidFill>
                </w14:textFill>
              </w:rPr>
              <w:t>本</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项目</w:t>
            </w:r>
            <w:r>
              <w:rPr>
                <w:rFonts w:hint="eastAsia" w:ascii="Times New Roman" w:hAnsi="Times New Roman" w:eastAsia="宋体" w:cs="Times New Roman"/>
                <w:color w:val="000000" w:themeColor="text1"/>
                <w:sz w:val="24"/>
                <w:szCs w:val="32"/>
                <w:highlight w:val="none"/>
                <w:lang w:eastAsia="zh-CN"/>
                <w14:textFill>
                  <w14:solidFill>
                    <w14:schemeClr w14:val="tx1"/>
                  </w14:solidFill>
                </w14:textFill>
              </w:rPr>
              <w:t>装卸货物为</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碎石、河砂及非金属矿物</w:t>
            </w:r>
            <w:r>
              <w:rPr>
                <w:rFonts w:hint="eastAsia" w:ascii="Times New Roman" w:hAnsi="Times New Roman" w:eastAsia="宋体" w:cs="Times New Roman"/>
                <w:color w:val="000000" w:themeColor="text1"/>
                <w:sz w:val="24"/>
                <w:szCs w:val="32"/>
                <w:highlight w:val="none"/>
                <w:lang w:eastAsia="zh-CN"/>
                <w14:textFill>
                  <w14:solidFill>
                    <w14:schemeClr w14:val="tx1"/>
                  </w14:solidFill>
                </w14:textFill>
              </w:rPr>
              <w:t>，</w:t>
            </w:r>
            <w:r>
              <w:rPr>
                <w:rFonts w:ascii="Times New Roman" w:hAnsi="Times New Roman" w:eastAsia="宋体" w:cs="Times New Roman"/>
                <w:color w:val="000000" w:themeColor="text1"/>
                <w:sz w:val="24"/>
                <w:szCs w:val="32"/>
                <w:highlight w:val="none"/>
                <w14:textFill>
                  <w14:solidFill>
                    <w14:schemeClr w14:val="tx1"/>
                  </w14:solidFill>
                </w14:textFill>
              </w:rPr>
              <w:t>故设置大气专章</w:t>
            </w:r>
            <w:r>
              <w:rPr>
                <w:rFonts w:hint="eastAsia" w:ascii="Times New Roman" w:hAnsi="Times New Roman" w:eastAsia="宋体" w:cs="Times New Roman"/>
                <w:color w:val="000000" w:themeColor="text1"/>
                <w:sz w:val="24"/>
                <w:szCs w:val="32"/>
                <w:highlight w:val="none"/>
                <w:lang w:eastAsia="zh-CN"/>
                <w14:textFill>
                  <w14:solidFill>
                    <w14:schemeClr w14:val="tx1"/>
                  </w14:solidFill>
                </w14:textFill>
              </w:rPr>
              <w:t>。</w:t>
            </w:r>
            <w:r>
              <w:rPr>
                <w:rFonts w:ascii="Times New Roman" w:hAnsi="Times New Roman" w:eastAsia="宋体" w:cs="Times New Roman"/>
                <w:color w:val="000000" w:themeColor="text1"/>
                <w:sz w:val="24"/>
                <w:szCs w:val="32"/>
                <w:highlight w:val="none"/>
                <w14:textFill>
                  <w14:solidFill>
                    <w14:schemeClr w14:val="tx1"/>
                  </w14:solidFill>
                </w14:textFill>
              </w:rPr>
              <w:t>项目运营期废气主要</w:t>
            </w:r>
            <w:r>
              <w:rPr>
                <w:rFonts w:hint="eastAsia" w:ascii="Times New Roman" w:hAnsi="Times New Roman" w:eastAsia="宋体" w:cs="Times New Roman"/>
                <w:color w:val="000000" w:themeColor="text1"/>
                <w:sz w:val="24"/>
                <w:szCs w:val="32"/>
                <w:highlight w:val="none"/>
                <w:lang w:eastAsia="zh-CN"/>
                <w14:textFill>
                  <w14:solidFill>
                    <w14:schemeClr w14:val="tx1"/>
                  </w14:solidFill>
                </w14:textFill>
              </w:rPr>
              <w:t>来自产品的</w:t>
            </w:r>
            <w:r>
              <w:rPr>
                <w:rFonts w:ascii="Times New Roman" w:hAnsi="Times New Roman" w:eastAsia="宋体" w:cs="Times New Roman"/>
                <w:color w:val="000000" w:themeColor="text1"/>
                <w:sz w:val="24"/>
                <w:szCs w:val="32"/>
                <w:highlight w:val="none"/>
                <w14:textFill>
                  <w14:solidFill>
                    <w14:schemeClr w14:val="tx1"/>
                  </w14:solidFill>
                </w14:textFill>
              </w:rPr>
              <w:t>装卸及堆场产生的粉尘，运输车辆及船舶产生的废气。</w:t>
            </w:r>
            <w:r>
              <w:rPr>
                <w:rFonts w:hint="eastAsia" w:ascii="Times New Roman" w:hAnsi="Times New Roman" w:eastAsia="宋体" w:cs="Times New Roman"/>
                <w:color w:val="000000" w:themeColor="text1"/>
                <w:sz w:val="24"/>
                <w:szCs w:val="32"/>
                <w:highlight w:val="none"/>
                <w:lang w:eastAsia="zh-CN"/>
                <w14:textFill>
                  <w14:solidFill>
                    <w14:schemeClr w14:val="tx1"/>
                  </w14:solidFill>
                </w14:textFill>
              </w:rPr>
              <w:t>货物运输使用汽车进行运输至堆场或者仓库进行暂时贮存。</w:t>
            </w:r>
          </w:p>
          <w:p>
            <w:pPr>
              <w:pStyle w:val="148"/>
              <w:keepNext w:val="0"/>
              <w:keepLines w:val="0"/>
              <w:pageBreakBefore w:val="0"/>
              <w:kinsoku/>
              <w:wordWrap/>
              <w:overflowPunct/>
              <w:topLinePunct w:val="0"/>
              <w:bidi w:val="0"/>
              <w:spacing w:beforeAutospacing="0" w:afterAutospacing="0"/>
              <w:ind w:firstLine="420"/>
              <w:jc w:val="both"/>
              <w:textAlignment w:val="auto"/>
              <w:outlineLvl w:val="9"/>
              <w:rPr>
                <w:rFonts w:hint="eastAsia" w:ascii="Times New Roman" w:hAnsi="Times New Roman" w:eastAsia="宋体"/>
                <w:color w:val="000000" w:themeColor="text1"/>
                <w:sz w:val="24"/>
                <w:szCs w:val="28"/>
                <w:highlight w:val="none"/>
                <w:lang w:eastAsia="zh-CN"/>
                <w14:textFill>
                  <w14:solidFill>
                    <w14:schemeClr w14:val="tx1"/>
                  </w14:solidFill>
                </w14:textFill>
              </w:rPr>
            </w:pPr>
            <w:r>
              <w:rPr>
                <w:rFonts w:hint="eastAsia" w:ascii="Times New Roman" w:hAnsi="Times New Roman" w:eastAsia="宋体"/>
                <w:bCs w:val="0"/>
                <w:color w:val="000000" w:themeColor="text1"/>
                <w:kern w:val="2"/>
                <w:sz w:val="24"/>
                <w:szCs w:val="28"/>
                <w:highlight w:val="none"/>
                <w14:textFill>
                  <w14:solidFill>
                    <w14:schemeClr w14:val="tx1"/>
                  </w14:solidFill>
                </w14:textFill>
              </w:rPr>
              <w:t>项目在建设施工过程中，项目建设及汽车运输过程的扬尘，经过措施后对周边大气环境影响较小。</w:t>
            </w:r>
            <w:r>
              <w:rPr>
                <w:rFonts w:hint="eastAsia" w:ascii="Times New Roman" w:hAnsi="Times New Roman" w:eastAsia="宋体"/>
                <w:color w:val="000000" w:themeColor="text1"/>
                <w:sz w:val="24"/>
                <w:szCs w:val="28"/>
                <w:highlight w:val="none"/>
                <w14:textFill>
                  <w14:solidFill>
                    <w14:schemeClr w14:val="tx1"/>
                  </w14:solidFill>
                </w14:textFill>
              </w:rPr>
              <w:t>散货卸料粉尘及散货堆场粉尘经抑尘措施后满足</w:t>
            </w:r>
            <w:r>
              <w:rPr>
                <w:rFonts w:hint="default" w:ascii="Times New Roman" w:hAnsi="Times New Roman" w:eastAsia="宋体"/>
                <w:color w:val="000000" w:themeColor="text1"/>
                <w:sz w:val="24"/>
                <w:szCs w:val="24"/>
                <w:highlight w:val="none"/>
                <w14:textFill>
                  <w14:solidFill>
                    <w14:schemeClr w14:val="tx1"/>
                  </w14:solidFill>
                </w14:textFill>
              </w:rPr>
              <w:t>《大气污染物综合排放标准》（GB16297-1996）表2中无组织排放</w:t>
            </w:r>
            <w:r>
              <w:rPr>
                <w:rFonts w:hint="eastAsia" w:ascii="Times New Roman" w:hAnsi="Times New Roman" w:eastAsia="宋体"/>
                <w:color w:val="000000" w:themeColor="text1"/>
                <w:sz w:val="24"/>
                <w:szCs w:val="24"/>
                <w:highlight w:val="none"/>
                <w14:textFill>
                  <w14:solidFill>
                    <w14:schemeClr w14:val="tx1"/>
                  </w14:solidFill>
                </w14:textFill>
              </w:rPr>
              <w:t>的标</w:t>
            </w:r>
            <w:r>
              <w:rPr>
                <w:rFonts w:hint="eastAsia" w:ascii="Times New Roman" w:hAnsi="Times New Roman" w:eastAsia="宋体"/>
                <w:color w:val="000000" w:themeColor="text1"/>
                <w:sz w:val="24"/>
                <w:szCs w:val="28"/>
                <w:highlight w:val="none"/>
                <w14:textFill>
                  <w14:solidFill>
                    <w14:schemeClr w14:val="tx1"/>
                  </w14:solidFill>
                </w14:textFill>
              </w:rPr>
              <w:t>准限值。因此，项目对区域大气环境影响较小</w:t>
            </w:r>
            <w:r>
              <w:rPr>
                <w:rFonts w:hint="eastAsia" w:ascii="Times New Roman" w:hAnsi="Times New Roman" w:eastAsia="宋体"/>
                <w:color w:val="000000" w:themeColor="text1"/>
                <w:sz w:val="24"/>
                <w:szCs w:val="28"/>
                <w:highlight w:val="none"/>
                <w:lang w:eastAsia="zh-CN"/>
                <w14:textFill>
                  <w14:solidFill>
                    <w14:schemeClr w14:val="tx1"/>
                  </w14:solidFill>
                </w14:textFill>
              </w:rPr>
              <w:t>，从环境保护的角度本项目是可行的。</w:t>
            </w:r>
          </w:p>
          <w:p>
            <w:pPr>
              <w:pStyle w:val="148"/>
              <w:keepNext w:val="0"/>
              <w:keepLines w:val="0"/>
              <w:pageBreakBefore w:val="0"/>
              <w:kinsoku/>
              <w:wordWrap/>
              <w:overflowPunct/>
              <w:topLinePunct w:val="0"/>
              <w:bidi w:val="0"/>
              <w:spacing w:beforeAutospacing="0" w:afterAutospacing="0"/>
              <w:ind w:firstLine="420"/>
              <w:jc w:val="both"/>
              <w:textAlignment w:val="auto"/>
              <w:outlineLvl w:val="9"/>
              <w:rPr>
                <w:rFonts w:hint="eastAsia" w:ascii="Times New Roman" w:hAnsi="Times New Roman" w:eastAsia="宋体"/>
                <w:color w:val="000000" w:themeColor="text1"/>
                <w:sz w:val="24"/>
                <w:szCs w:val="28"/>
                <w:highlight w:val="none"/>
                <w:lang w:eastAsia="zh-CN"/>
                <w14:textFill>
                  <w14:solidFill>
                    <w14:schemeClr w14:val="tx1"/>
                  </w14:solidFill>
                </w14:textFill>
              </w:rPr>
            </w:pPr>
            <w:r>
              <w:rPr>
                <w:rFonts w:hint="eastAsia" w:ascii="Times New Roman" w:hAnsi="Times New Roman" w:eastAsia="宋体"/>
                <w:color w:val="000000" w:themeColor="text1"/>
                <w:sz w:val="24"/>
                <w:szCs w:val="28"/>
                <w:highlight w:val="none"/>
                <w:lang w:eastAsia="zh-CN"/>
                <w14:textFill>
                  <w14:solidFill>
                    <w14:schemeClr w14:val="tx1"/>
                  </w14:solidFill>
                </w14:textFill>
              </w:rPr>
              <w:t>具体内容详见“大气环境影响专项评价”。</w:t>
            </w:r>
          </w:p>
          <w:p>
            <w:pPr>
              <w:pStyle w:val="11"/>
              <w:pageBreakBefore w:val="0"/>
              <w:kinsoku/>
              <w:bidi w:val="0"/>
              <w:spacing w:beforeAutospacing="0" w:afterAutospacing="0"/>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4</w:t>
            </w:r>
            <w:r>
              <w:rPr>
                <w:rFonts w:hint="default" w:ascii="Times New Roman" w:hAnsi="Times New Roman" w:eastAsia="宋体"/>
                <w:color w:val="000000" w:themeColor="text1"/>
                <w:lang w:val="en-US" w:eastAsia="zh-CN"/>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9声</w:t>
            </w:r>
            <w:r>
              <w:rPr>
                <w:rFonts w:hint="default" w:ascii="Times New Roman" w:hAnsi="Times New Roman" w:eastAsia="宋体"/>
                <w:color w:val="000000" w:themeColor="text1"/>
                <w:lang w:val="en-US" w:eastAsia="zh-CN"/>
                <w14:textFill>
                  <w14:solidFill>
                    <w14:schemeClr w14:val="tx1"/>
                  </w14:solidFill>
                </w14:textFill>
              </w:rPr>
              <w:t>环境影响分析</w:t>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firstLine="480" w:firstLineChars="200"/>
              <w:textAlignment w:val="auto"/>
              <w:rPr>
                <w:rFonts w:ascii="Times New Roman" w:hAnsi="Times New Roman" w:eastAsia="宋体"/>
                <w:color w:val="000000" w:themeColor="text1"/>
                <w:sz w:val="24"/>
                <w:szCs w:val="32"/>
                <w:highlight w:val="none"/>
                <w14:textFill>
                  <w14:solidFill>
                    <w14:schemeClr w14:val="tx1"/>
                  </w14:solidFill>
                </w14:textFill>
              </w:rPr>
            </w:pPr>
            <w:r>
              <w:rPr>
                <w:rFonts w:ascii="Times New Roman" w:hAnsi="Times New Roman" w:eastAsia="宋体"/>
                <w:color w:val="000000" w:themeColor="text1"/>
                <w:sz w:val="24"/>
                <w:szCs w:val="32"/>
                <w:highlight w:val="none"/>
                <w14:textFill>
                  <w14:solidFill>
                    <w14:schemeClr w14:val="tx1"/>
                  </w14:solidFill>
                </w14:textFill>
              </w:rPr>
              <w:t>本项目产生噪声主要来源于船舶和车辆的交通噪声、装卸机械的噪声、码头作业的噪声等，根据《港口工程环境保护设计规范》（JTS149-1-2007）计算，项目产生噪声在75-90dB（A）之间，</w:t>
            </w:r>
            <w:r>
              <w:rPr>
                <w:rFonts w:hint="eastAsia" w:ascii="Times New Roman" w:hAnsi="Times New Roman" w:eastAsia="宋体"/>
                <w:color w:val="000000" w:themeColor="text1"/>
                <w:sz w:val="24"/>
                <w:szCs w:val="32"/>
                <w:highlight w:val="none"/>
                <w14:textFill>
                  <w14:solidFill>
                    <w14:schemeClr w14:val="tx1"/>
                  </w14:solidFill>
                </w14:textFill>
              </w:rPr>
              <w:t>具体噪声源见表</w:t>
            </w:r>
            <w:r>
              <w:rPr>
                <w:rFonts w:hint="eastAsia" w:ascii="Times New Roman" w:hAnsi="Times New Roman" w:eastAsia="宋体"/>
                <w:color w:val="000000" w:themeColor="text1"/>
                <w:sz w:val="24"/>
                <w:szCs w:val="32"/>
                <w:highlight w:val="none"/>
                <w:lang w:val="en-US" w:eastAsia="zh-CN"/>
                <w14:textFill>
                  <w14:solidFill>
                    <w14:schemeClr w14:val="tx1"/>
                  </w14:solidFill>
                </w14:textFill>
              </w:rPr>
              <w:t>4.9-1</w:t>
            </w:r>
            <w:r>
              <w:rPr>
                <w:rFonts w:hint="eastAsia" w:ascii="Times New Roman" w:hAnsi="Times New Roman" w:eastAsia="宋体"/>
                <w:color w:val="000000" w:themeColor="text1"/>
                <w:sz w:val="24"/>
                <w:szCs w:val="32"/>
                <w:highlight w:val="none"/>
                <w14:textFill>
                  <w14:solidFill>
                    <w14:schemeClr w14:val="tx1"/>
                  </w14:solidFill>
                </w14:textFill>
              </w:rPr>
              <w:t>。</w:t>
            </w:r>
          </w:p>
          <w:p>
            <w:pPr>
              <w:pStyle w:val="22"/>
              <w:keepNext w:val="0"/>
              <w:keepLines w:val="0"/>
              <w:pageBreakBefore w:val="0"/>
              <w:widowControl w:val="0"/>
              <w:kinsoku/>
              <w:wordWrap/>
              <w:overflowPunct/>
              <w:topLinePunct w:val="0"/>
              <w:autoSpaceDE/>
              <w:autoSpaceDN/>
              <w:bidi w:val="0"/>
              <w:adjustRightInd/>
              <w:snapToGrid/>
              <w:spacing w:beforeAutospacing="0" w:after="0" w:afterAutospacing="0"/>
              <w:ind w:left="0" w:leftChars="0" w:firstLine="0" w:firstLineChars="0"/>
              <w:jc w:val="center"/>
              <w:textAlignment w:val="auto"/>
              <w:rPr>
                <w:rFonts w:ascii="Times New Roman" w:hAnsi="Times New Roman" w:eastAsia="宋体"/>
                <w:b/>
                <w:bCs/>
                <w:color w:val="000000" w:themeColor="text1"/>
                <w:sz w:val="24"/>
                <w:szCs w:val="32"/>
                <w:highlight w:val="none"/>
                <w14:textFill>
                  <w14:solidFill>
                    <w14:schemeClr w14:val="tx1"/>
                  </w14:solidFill>
                </w14:textFill>
              </w:rPr>
            </w:pPr>
            <w:r>
              <w:rPr>
                <w:rFonts w:hint="eastAsia" w:ascii="Times New Roman" w:hAnsi="Times New Roman" w:eastAsia="宋体"/>
                <w:b/>
                <w:bCs/>
                <w:color w:val="000000" w:themeColor="text1"/>
                <w:sz w:val="24"/>
                <w:szCs w:val="32"/>
                <w:highlight w:val="none"/>
                <w14:textFill>
                  <w14:solidFill>
                    <w14:schemeClr w14:val="tx1"/>
                  </w14:solidFill>
                </w14:textFill>
              </w:rPr>
              <w:t>表4.9-1 项目运营期噪声源及作业场所噪声级一览表</w:t>
            </w:r>
          </w:p>
          <w:tbl>
            <w:tblPr>
              <w:tblStyle w:val="33"/>
              <w:tblW w:w="8451"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961"/>
              <w:gridCol w:w="1217"/>
              <w:gridCol w:w="1858"/>
              <w:gridCol w:w="1710"/>
              <w:gridCol w:w="170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61" w:type="dxa"/>
                  <w:tcBorders>
                    <w:top w:val="single" w:color="000000" w:sz="12" w:space="0"/>
                  </w:tcBorders>
                  <w:vAlign w:val="center"/>
                </w:tcPr>
                <w:p>
                  <w:pPr>
                    <w:pageBreakBefore w:val="0"/>
                    <w:kinsoku/>
                    <w:bidi w:val="0"/>
                    <w:snapToGrid w:val="0"/>
                    <w:spacing w:beforeAutospacing="0" w:afterAutospacing="0"/>
                    <w:jc w:val="center"/>
                    <w:rPr>
                      <w:rFonts w:ascii="Times New Roman" w:hAnsi="Times New Roman" w:eastAsia="宋体"/>
                      <w:b w:val="0"/>
                      <w:bCs w:val="0"/>
                      <w:color w:val="000000" w:themeColor="text1"/>
                      <w:highlight w:val="none"/>
                      <w14:textFill>
                        <w14:solidFill>
                          <w14:schemeClr w14:val="tx1"/>
                        </w14:solidFill>
                      </w14:textFill>
                    </w:rPr>
                  </w:pPr>
                  <w:r>
                    <w:rPr>
                      <w:rFonts w:hint="eastAsia" w:ascii="Times New Roman" w:hAnsi="Times New Roman" w:eastAsia="宋体"/>
                      <w:b w:val="0"/>
                      <w:bCs w:val="0"/>
                      <w:color w:val="000000" w:themeColor="text1"/>
                      <w:szCs w:val="21"/>
                      <w:highlight w:val="none"/>
                      <w14:textFill>
                        <w14:solidFill>
                          <w14:schemeClr w14:val="tx1"/>
                        </w14:solidFill>
                      </w14:textFill>
                    </w:rPr>
                    <w:t>噪声源</w:t>
                  </w:r>
                </w:p>
              </w:tc>
              <w:tc>
                <w:tcPr>
                  <w:tcW w:w="1217" w:type="dxa"/>
                  <w:tcBorders>
                    <w:top w:val="single" w:color="000000" w:sz="12" w:space="0"/>
                  </w:tcBorders>
                  <w:vAlign w:val="center"/>
                </w:tcPr>
                <w:p>
                  <w:pPr>
                    <w:pageBreakBefore w:val="0"/>
                    <w:kinsoku/>
                    <w:bidi w:val="0"/>
                    <w:snapToGrid w:val="0"/>
                    <w:spacing w:beforeAutospacing="0" w:afterAutospacing="0"/>
                    <w:jc w:val="center"/>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t>台数（台）</w:t>
                  </w:r>
                </w:p>
              </w:tc>
              <w:tc>
                <w:tcPr>
                  <w:tcW w:w="1858" w:type="dxa"/>
                  <w:tcBorders>
                    <w:top w:val="single" w:color="000000" w:sz="12" w:space="0"/>
                  </w:tcBorders>
                  <w:vAlign w:val="center"/>
                </w:tcPr>
                <w:p>
                  <w:pPr>
                    <w:pageBreakBefore w:val="0"/>
                    <w:kinsoku/>
                    <w:bidi w:val="0"/>
                    <w:snapToGrid w:val="0"/>
                    <w:spacing w:beforeAutospacing="0" w:afterAutospacing="0"/>
                    <w:jc w:val="center"/>
                    <w:rPr>
                      <w:rFonts w:hint="eastAsia" w:ascii="Times New Roman" w:hAnsi="Times New Roman" w:eastAsia="宋体"/>
                      <w:b w:val="0"/>
                      <w:bCs w:val="0"/>
                      <w:color w:val="000000" w:themeColor="text1"/>
                      <w:szCs w:val="21"/>
                      <w:highlight w:val="none"/>
                      <w:lang w:eastAsia="zh-CN"/>
                      <w14:textFill>
                        <w14:solidFill>
                          <w14:schemeClr w14:val="tx1"/>
                        </w14:solidFill>
                      </w14:textFill>
                    </w:rPr>
                  </w:pPr>
                  <w:r>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t>单台</w:t>
                  </w:r>
                  <w:r>
                    <w:rPr>
                      <w:rFonts w:hint="eastAsia" w:ascii="Times New Roman" w:hAnsi="Times New Roman" w:eastAsia="宋体"/>
                      <w:b w:val="0"/>
                      <w:bCs w:val="0"/>
                      <w:color w:val="000000" w:themeColor="text1"/>
                      <w:szCs w:val="21"/>
                      <w:highlight w:val="none"/>
                      <w14:textFill>
                        <w14:solidFill>
                          <w14:schemeClr w14:val="tx1"/>
                        </w14:solidFill>
                      </w14:textFill>
                    </w:rPr>
                    <w:t>噪声级（</w:t>
                  </w:r>
                  <w:r>
                    <w:rPr>
                      <w:rFonts w:ascii="Times New Roman" w:hAnsi="Times New Roman" w:eastAsia="宋体"/>
                      <w:b w:val="0"/>
                      <w:bCs w:val="0"/>
                      <w:color w:val="000000" w:themeColor="text1"/>
                      <w:szCs w:val="21"/>
                      <w:highlight w:val="none"/>
                      <w14:textFill>
                        <w14:solidFill>
                          <w14:schemeClr w14:val="tx1"/>
                        </w14:solidFill>
                      </w14:textFill>
                    </w:rPr>
                    <w:t>dB</w:t>
                  </w:r>
                  <w:r>
                    <w:rPr>
                      <w:rFonts w:hint="eastAsia" w:ascii="Times New Roman" w:hAnsi="Times New Roman" w:eastAsia="宋体"/>
                      <w:b w:val="0"/>
                      <w:bCs w:val="0"/>
                      <w:color w:val="000000" w:themeColor="text1"/>
                      <w:szCs w:val="21"/>
                      <w:highlight w:val="none"/>
                      <w:lang w:eastAsia="zh-CN"/>
                      <w14:textFill>
                        <w14:solidFill>
                          <w14:schemeClr w14:val="tx1"/>
                        </w14:solidFill>
                      </w14:textFill>
                    </w:rPr>
                    <w:t>）</w:t>
                  </w:r>
                </w:p>
              </w:tc>
              <w:tc>
                <w:tcPr>
                  <w:tcW w:w="1710" w:type="dxa"/>
                  <w:tcBorders>
                    <w:top w:val="single" w:color="000000" w:sz="12" w:space="0"/>
                  </w:tcBorders>
                  <w:vAlign w:val="center"/>
                </w:tcPr>
                <w:p>
                  <w:pPr>
                    <w:pageBreakBefore w:val="0"/>
                    <w:kinsoku/>
                    <w:bidi w:val="0"/>
                    <w:snapToGrid w:val="0"/>
                    <w:spacing w:beforeAutospacing="0" w:afterAutospacing="0"/>
                    <w:jc w:val="center"/>
                    <w:rPr>
                      <w:rFonts w:ascii="Times New Roman" w:hAnsi="Times New Roman" w:eastAsia="宋体"/>
                      <w:b w:val="0"/>
                      <w:bCs w:val="0"/>
                      <w:color w:val="000000" w:themeColor="text1"/>
                      <w:szCs w:val="21"/>
                      <w:highlight w:val="none"/>
                      <w14:textFill>
                        <w14:solidFill>
                          <w14:schemeClr w14:val="tx1"/>
                        </w14:solidFill>
                      </w14:textFill>
                    </w:rPr>
                  </w:pPr>
                  <w:r>
                    <w:rPr>
                      <w:rFonts w:hint="eastAsia" w:ascii="Times New Roman" w:hAnsi="Times New Roman" w:eastAsia="宋体"/>
                      <w:b w:val="0"/>
                      <w:bCs w:val="0"/>
                      <w:color w:val="000000" w:themeColor="text1"/>
                      <w:szCs w:val="21"/>
                      <w:highlight w:val="none"/>
                      <w:lang w:val="en-US" w:eastAsia="zh-CN"/>
                      <w14:textFill>
                        <w14:solidFill>
                          <w14:schemeClr w14:val="tx1"/>
                        </w14:solidFill>
                      </w14:textFill>
                    </w:rPr>
                    <w:t>平均</w:t>
                  </w:r>
                  <w:r>
                    <w:rPr>
                      <w:rFonts w:hint="eastAsia" w:ascii="Times New Roman" w:hAnsi="Times New Roman" w:eastAsia="宋体"/>
                      <w:b w:val="0"/>
                      <w:bCs w:val="0"/>
                      <w:color w:val="000000" w:themeColor="text1"/>
                      <w:szCs w:val="21"/>
                      <w:highlight w:val="none"/>
                      <w14:textFill>
                        <w14:solidFill>
                          <w14:schemeClr w14:val="tx1"/>
                        </w14:solidFill>
                      </w14:textFill>
                    </w:rPr>
                    <w:t>噪声级（</w:t>
                  </w:r>
                  <w:r>
                    <w:rPr>
                      <w:rFonts w:ascii="Times New Roman" w:hAnsi="Times New Roman" w:eastAsia="宋体"/>
                      <w:b w:val="0"/>
                      <w:bCs w:val="0"/>
                      <w:color w:val="000000" w:themeColor="text1"/>
                      <w:szCs w:val="21"/>
                      <w:highlight w:val="none"/>
                      <w14:textFill>
                        <w14:solidFill>
                          <w14:schemeClr w14:val="tx1"/>
                        </w14:solidFill>
                      </w14:textFill>
                    </w:rPr>
                    <w:t>dB</w:t>
                  </w:r>
                  <w:r>
                    <w:rPr>
                      <w:rFonts w:hint="eastAsia" w:ascii="Times New Roman" w:hAnsi="Times New Roman" w:eastAsia="宋体"/>
                      <w:b w:val="0"/>
                      <w:bCs w:val="0"/>
                      <w:color w:val="000000" w:themeColor="text1"/>
                      <w:szCs w:val="21"/>
                      <w:highlight w:val="none"/>
                      <w14:textFill>
                        <w14:solidFill>
                          <w14:schemeClr w14:val="tx1"/>
                        </w14:solidFill>
                      </w14:textFill>
                    </w:rPr>
                    <w:t>）</w:t>
                  </w:r>
                </w:p>
              </w:tc>
              <w:tc>
                <w:tcPr>
                  <w:tcW w:w="1705" w:type="dxa"/>
                  <w:tcBorders>
                    <w:top w:val="single" w:color="000000" w:sz="12" w:space="0"/>
                  </w:tcBorders>
                  <w:vAlign w:val="center"/>
                </w:tcPr>
                <w:p>
                  <w:pPr>
                    <w:pageBreakBefore w:val="0"/>
                    <w:kinsoku/>
                    <w:bidi w:val="0"/>
                    <w:snapToGrid w:val="0"/>
                    <w:spacing w:beforeAutospacing="0" w:afterAutospacing="0"/>
                    <w:jc w:val="center"/>
                    <w:rPr>
                      <w:rFonts w:ascii="Times New Roman" w:hAnsi="Times New Roman" w:eastAsia="宋体"/>
                      <w:b w:val="0"/>
                      <w:bCs w:val="0"/>
                      <w:color w:val="000000" w:themeColor="text1"/>
                      <w:szCs w:val="21"/>
                      <w:highlight w:val="none"/>
                      <w14:textFill>
                        <w14:solidFill>
                          <w14:schemeClr w14:val="tx1"/>
                        </w14:solidFill>
                      </w14:textFill>
                    </w:rPr>
                  </w:pPr>
                  <w:r>
                    <w:rPr>
                      <w:rFonts w:hint="eastAsia" w:ascii="Times New Roman" w:hAnsi="Times New Roman" w:eastAsia="宋体"/>
                      <w:b w:val="0"/>
                      <w:bCs w:val="0"/>
                      <w:color w:val="000000" w:themeColor="text1"/>
                      <w:szCs w:val="21"/>
                      <w:highlight w:val="none"/>
                      <w14:textFill>
                        <w14:solidFill>
                          <w14:schemeClr w14:val="tx1"/>
                        </w14:solidFill>
                      </w14:textFill>
                    </w:rPr>
                    <w:t>隔声后噪声级（</w:t>
                  </w:r>
                  <w:r>
                    <w:rPr>
                      <w:rFonts w:ascii="Times New Roman" w:hAnsi="Times New Roman" w:eastAsia="宋体"/>
                      <w:b w:val="0"/>
                      <w:bCs w:val="0"/>
                      <w:color w:val="000000" w:themeColor="text1"/>
                      <w:szCs w:val="21"/>
                      <w:highlight w:val="none"/>
                      <w14:textFill>
                        <w14:solidFill>
                          <w14:schemeClr w14:val="tx1"/>
                        </w14:solidFill>
                      </w14:textFill>
                    </w:rPr>
                    <w:t>dB</w:t>
                  </w:r>
                  <w:r>
                    <w:rPr>
                      <w:rFonts w:hint="eastAsia" w:ascii="Times New Roman" w:hAnsi="Times New Roman" w:eastAsia="宋体"/>
                      <w:b w:val="0"/>
                      <w:bCs w:val="0"/>
                      <w:color w:val="000000" w:themeColor="text1"/>
                      <w:szCs w:val="21"/>
                      <w:highlight w:val="none"/>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61" w:type="dxa"/>
                  <w:vAlign w:val="center"/>
                </w:tcPr>
                <w:p>
                  <w:pPr>
                    <w:pageBreakBefore w:val="0"/>
                    <w:kinsoku/>
                    <w:bidi w:val="0"/>
                    <w:snapToGrid w:val="0"/>
                    <w:spacing w:beforeAutospacing="0" w:afterAutospacing="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门座式起重机（25t）</w:t>
                  </w:r>
                </w:p>
              </w:tc>
              <w:tc>
                <w:tcPr>
                  <w:tcW w:w="1217" w:type="dxa"/>
                  <w:vAlign w:val="center"/>
                </w:tcPr>
                <w:p>
                  <w:pPr>
                    <w:pageBreakBefore w:val="0"/>
                    <w:kinsoku/>
                    <w:bidi w:val="0"/>
                    <w:snapToGrid w:val="0"/>
                    <w:spacing w:beforeAutospacing="0" w:afterAutospacing="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1</w:t>
                  </w:r>
                </w:p>
              </w:tc>
              <w:tc>
                <w:tcPr>
                  <w:tcW w:w="1858" w:type="dxa"/>
                  <w:vAlign w:val="center"/>
                </w:tcPr>
                <w:p>
                  <w:pPr>
                    <w:pageBreakBefore w:val="0"/>
                    <w:kinsoku/>
                    <w:bidi w:val="0"/>
                    <w:snapToGrid w:val="0"/>
                    <w:spacing w:beforeAutospacing="0" w:afterAutospacing="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85~95</w:t>
                  </w:r>
                </w:p>
              </w:tc>
              <w:tc>
                <w:tcPr>
                  <w:tcW w:w="1710" w:type="dxa"/>
                  <w:vAlign w:val="center"/>
                </w:tcPr>
                <w:p>
                  <w:pPr>
                    <w:pageBreakBefore w:val="0"/>
                    <w:kinsoku/>
                    <w:bidi w:val="0"/>
                    <w:snapToGrid w:val="0"/>
                    <w:spacing w:beforeAutospacing="0" w:afterAutospacing="0"/>
                    <w:jc w:val="center"/>
                    <w:rPr>
                      <w:rFonts w:hint="eastAsia"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9</w:t>
                  </w:r>
                  <w:r>
                    <w:rPr>
                      <w:rFonts w:hint="eastAsia" w:ascii="Times New Roman" w:hAnsi="Times New Roman" w:eastAsia="宋体"/>
                      <w:color w:val="000000" w:themeColor="text1"/>
                      <w:szCs w:val="21"/>
                      <w:highlight w:val="none"/>
                      <w14:textFill>
                        <w14:solidFill>
                          <w14:schemeClr w14:val="tx1"/>
                        </w14:solidFill>
                      </w14:textFill>
                    </w:rPr>
                    <w:t>0</w:t>
                  </w:r>
                </w:p>
              </w:tc>
              <w:tc>
                <w:tcPr>
                  <w:tcW w:w="1705" w:type="dxa"/>
                  <w:vAlign w:val="center"/>
                </w:tcPr>
                <w:p>
                  <w:pPr>
                    <w:pageBreakBefore w:val="0"/>
                    <w:kinsoku/>
                    <w:bidi w:val="0"/>
                    <w:snapToGrid w:val="0"/>
                    <w:spacing w:beforeAutospacing="0" w:afterAutospacing="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75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61" w:type="dxa"/>
                  <w:vAlign w:val="center"/>
                </w:tcPr>
                <w:p>
                  <w:pPr>
                    <w:pageBreakBefore w:val="0"/>
                    <w:kinsoku/>
                    <w:bidi w:val="0"/>
                    <w:snapToGrid w:val="0"/>
                    <w:spacing w:beforeAutospacing="0" w:afterAutospacing="0"/>
                    <w:jc w:val="center"/>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门座式起重机（16t）</w:t>
                  </w:r>
                </w:p>
              </w:tc>
              <w:tc>
                <w:tcPr>
                  <w:tcW w:w="1217" w:type="dxa"/>
                  <w:vAlign w:val="center"/>
                </w:tcPr>
                <w:p>
                  <w:pPr>
                    <w:pageBreakBefore w:val="0"/>
                    <w:kinsoku/>
                    <w:bidi w:val="0"/>
                    <w:snapToGrid w:val="0"/>
                    <w:spacing w:beforeAutospacing="0" w:afterAutospacing="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3</w:t>
                  </w:r>
                </w:p>
              </w:tc>
              <w:tc>
                <w:tcPr>
                  <w:tcW w:w="1858" w:type="dxa"/>
                  <w:vAlign w:val="center"/>
                </w:tcPr>
                <w:p>
                  <w:pPr>
                    <w:pageBreakBefore w:val="0"/>
                    <w:kinsoku/>
                    <w:bidi w:val="0"/>
                    <w:snapToGrid w:val="0"/>
                    <w:spacing w:beforeAutospacing="0" w:afterAutospacing="0"/>
                    <w:jc w:val="center"/>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85~95</w:t>
                  </w:r>
                </w:p>
              </w:tc>
              <w:tc>
                <w:tcPr>
                  <w:tcW w:w="1710" w:type="dxa"/>
                  <w:vAlign w:val="center"/>
                </w:tcPr>
                <w:p>
                  <w:pPr>
                    <w:pageBreakBefore w:val="0"/>
                    <w:kinsoku/>
                    <w:bidi w:val="0"/>
                    <w:snapToGrid w:val="0"/>
                    <w:spacing w:beforeAutospacing="0" w:afterAutospacing="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9</w:t>
                  </w:r>
                  <w:r>
                    <w:rPr>
                      <w:rFonts w:hint="eastAsia" w:ascii="Times New Roman" w:hAnsi="Times New Roman" w:eastAsia="宋体"/>
                      <w:color w:val="000000" w:themeColor="text1"/>
                      <w:szCs w:val="21"/>
                      <w:highlight w:val="none"/>
                      <w14:textFill>
                        <w14:solidFill>
                          <w14:schemeClr w14:val="tx1"/>
                        </w14:solidFill>
                      </w14:textFill>
                    </w:rPr>
                    <w:t>0</w:t>
                  </w:r>
                </w:p>
              </w:tc>
              <w:tc>
                <w:tcPr>
                  <w:tcW w:w="1705" w:type="dxa"/>
                  <w:vAlign w:val="center"/>
                </w:tcPr>
                <w:p>
                  <w:pPr>
                    <w:pageBreakBefore w:val="0"/>
                    <w:kinsoku/>
                    <w:bidi w:val="0"/>
                    <w:snapToGrid w:val="0"/>
                    <w:spacing w:beforeAutospacing="0" w:afterAutospacing="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75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61" w:type="dxa"/>
                  <w:vAlign w:val="center"/>
                </w:tcPr>
                <w:p>
                  <w:pPr>
                    <w:pageBreakBefore w:val="0"/>
                    <w:kinsoku/>
                    <w:bidi w:val="0"/>
                    <w:snapToGrid w:val="0"/>
                    <w:spacing w:beforeAutospacing="0" w:afterAutospacing="0"/>
                    <w:jc w:val="center"/>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龙门吊（25t）</w:t>
                  </w:r>
                </w:p>
              </w:tc>
              <w:tc>
                <w:tcPr>
                  <w:tcW w:w="1217" w:type="dxa"/>
                  <w:vAlign w:val="center"/>
                </w:tcPr>
                <w:p>
                  <w:pPr>
                    <w:pageBreakBefore w:val="0"/>
                    <w:kinsoku/>
                    <w:bidi w:val="0"/>
                    <w:snapToGrid w:val="0"/>
                    <w:spacing w:beforeAutospacing="0" w:afterAutospacing="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1</w:t>
                  </w:r>
                </w:p>
              </w:tc>
              <w:tc>
                <w:tcPr>
                  <w:tcW w:w="1858" w:type="dxa"/>
                  <w:vAlign w:val="center"/>
                </w:tcPr>
                <w:p>
                  <w:pPr>
                    <w:pageBreakBefore w:val="0"/>
                    <w:kinsoku/>
                    <w:bidi w:val="0"/>
                    <w:snapToGrid w:val="0"/>
                    <w:spacing w:beforeAutospacing="0" w:afterAutospacing="0"/>
                    <w:jc w:val="center"/>
                    <w:rPr>
                      <w:rFonts w:hint="default" w:ascii="Times New Roman" w:hAnsi="Times New Roman" w:eastAsia="宋体"/>
                      <w:color w:val="000000" w:themeColor="text1"/>
                      <w:szCs w:val="21"/>
                      <w:highlight w:val="none"/>
                      <w:lang w:val="en-US"/>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75~85</w:t>
                  </w:r>
                </w:p>
              </w:tc>
              <w:tc>
                <w:tcPr>
                  <w:tcW w:w="1710" w:type="dxa"/>
                  <w:vAlign w:val="center"/>
                </w:tcPr>
                <w:p>
                  <w:pPr>
                    <w:pageBreakBefore w:val="0"/>
                    <w:kinsoku/>
                    <w:bidi w:val="0"/>
                    <w:snapToGrid w:val="0"/>
                    <w:spacing w:beforeAutospacing="0" w:afterAutospacing="0"/>
                    <w:jc w:val="center"/>
                    <w:rPr>
                      <w:rFonts w:hint="eastAsia"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80</w:t>
                  </w:r>
                </w:p>
              </w:tc>
              <w:tc>
                <w:tcPr>
                  <w:tcW w:w="1705" w:type="dxa"/>
                  <w:vAlign w:val="center"/>
                </w:tcPr>
                <w:p>
                  <w:pPr>
                    <w:pageBreakBefore w:val="0"/>
                    <w:kinsoku/>
                    <w:bidi w:val="0"/>
                    <w:snapToGrid w:val="0"/>
                    <w:spacing w:beforeAutospacing="0" w:afterAutospacing="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61" w:type="dxa"/>
                  <w:vAlign w:val="center"/>
                </w:tcPr>
                <w:p>
                  <w:pPr>
                    <w:pageBreakBefore w:val="0"/>
                    <w:kinsoku/>
                    <w:bidi w:val="0"/>
                    <w:snapToGrid w:val="0"/>
                    <w:spacing w:beforeAutospacing="0" w:afterAutospacing="0"/>
                    <w:jc w:val="center"/>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龙门吊（16t）</w:t>
                  </w:r>
                </w:p>
              </w:tc>
              <w:tc>
                <w:tcPr>
                  <w:tcW w:w="1217" w:type="dxa"/>
                  <w:vAlign w:val="center"/>
                </w:tcPr>
                <w:p>
                  <w:pPr>
                    <w:pageBreakBefore w:val="0"/>
                    <w:kinsoku/>
                    <w:bidi w:val="0"/>
                    <w:snapToGrid w:val="0"/>
                    <w:spacing w:beforeAutospacing="0" w:afterAutospacing="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1</w:t>
                  </w:r>
                </w:p>
              </w:tc>
              <w:tc>
                <w:tcPr>
                  <w:tcW w:w="1858" w:type="dxa"/>
                  <w:vAlign w:val="center"/>
                </w:tcPr>
                <w:p>
                  <w:pPr>
                    <w:pageBreakBefore w:val="0"/>
                    <w:kinsoku/>
                    <w:bidi w:val="0"/>
                    <w:snapToGrid w:val="0"/>
                    <w:spacing w:beforeAutospacing="0" w:afterAutospacing="0"/>
                    <w:jc w:val="center"/>
                    <w:rPr>
                      <w:rFonts w:hint="eastAsia"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75~85</w:t>
                  </w:r>
                </w:p>
              </w:tc>
              <w:tc>
                <w:tcPr>
                  <w:tcW w:w="1710" w:type="dxa"/>
                  <w:vAlign w:val="center"/>
                </w:tcPr>
                <w:p>
                  <w:pPr>
                    <w:pageBreakBefore w:val="0"/>
                    <w:kinsoku/>
                    <w:bidi w:val="0"/>
                    <w:snapToGrid w:val="0"/>
                    <w:spacing w:beforeAutospacing="0" w:afterAutospacing="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80</w:t>
                  </w:r>
                </w:p>
              </w:tc>
              <w:tc>
                <w:tcPr>
                  <w:tcW w:w="1705" w:type="dxa"/>
                  <w:vAlign w:val="center"/>
                </w:tcPr>
                <w:p>
                  <w:pPr>
                    <w:pageBreakBefore w:val="0"/>
                    <w:kinsoku/>
                    <w:bidi w:val="0"/>
                    <w:snapToGrid w:val="0"/>
                    <w:spacing w:beforeAutospacing="0" w:afterAutospacing="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61" w:type="dxa"/>
                  <w:vAlign w:val="center"/>
                </w:tcPr>
                <w:p>
                  <w:pPr>
                    <w:pageBreakBefore w:val="0"/>
                    <w:kinsoku/>
                    <w:bidi w:val="0"/>
                    <w:snapToGrid w:val="0"/>
                    <w:spacing w:beforeAutospacing="0" w:afterAutospacing="0"/>
                    <w:jc w:val="center"/>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轮胎吊（25t）</w:t>
                  </w:r>
                </w:p>
              </w:tc>
              <w:tc>
                <w:tcPr>
                  <w:tcW w:w="1217" w:type="dxa"/>
                  <w:vAlign w:val="center"/>
                </w:tcPr>
                <w:p>
                  <w:pPr>
                    <w:pageBreakBefore w:val="0"/>
                    <w:kinsoku/>
                    <w:bidi w:val="0"/>
                    <w:snapToGrid w:val="0"/>
                    <w:spacing w:beforeAutospacing="0" w:afterAutospacing="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2</w:t>
                  </w:r>
                </w:p>
              </w:tc>
              <w:tc>
                <w:tcPr>
                  <w:tcW w:w="1858" w:type="dxa"/>
                  <w:vAlign w:val="center"/>
                </w:tcPr>
                <w:p>
                  <w:pPr>
                    <w:pageBreakBefore w:val="0"/>
                    <w:kinsoku/>
                    <w:bidi w:val="0"/>
                    <w:snapToGrid w:val="0"/>
                    <w:spacing w:beforeAutospacing="0" w:afterAutospacing="0"/>
                    <w:jc w:val="center"/>
                    <w:rPr>
                      <w:rFonts w:hint="eastAsia"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75~85</w:t>
                  </w:r>
                </w:p>
              </w:tc>
              <w:tc>
                <w:tcPr>
                  <w:tcW w:w="1710" w:type="dxa"/>
                  <w:vAlign w:val="center"/>
                </w:tcPr>
                <w:p>
                  <w:pPr>
                    <w:pageBreakBefore w:val="0"/>
                    <w:kinsoku/>
                    <w:bidi w:val="0"/>
                    <w:snapToGrid w:val="0"/>
                    <w:spacing w:beforeAutospacing="0" w:afterAutospacing="0"/>
                    <w:jc w:val="center"/>
                    <w:rPr>
                      <w:rFonts w:hint="eastAsia"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80</w:t>
                  </w:r>
                </w:p>
              </w:tc>
              <w:tc>
                <w:tcPr>
                  <w:tcW w:w="1705" w:type="dxa"/>
                  <w:vAlign w:val="center"/>
                </w:tcPr>
                <w:p>
                  <w:pPr>
                    <w:pageBreakBefore w:val="0"/>
                    <w:kinsoku/>
                    <w:bidi w:val="0"/>
                    <w:snapToGrid w:val="0"/>
                    <w:spacing w:beforeAutospacing="0" w:afterAutospacing="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61" w:type="dxa"/>
                  <w:vAlign w:val="center"/>
                </w:tcPr>
                <w:p>
                  <w:pPr>
                    <w:pageBreakBefore w:val="0"/>
                    <w:kinsoku/>
                    <w:bidi w:val="0"/>
                    <w:snapToGrid w:val="0"/>
                    <w:spacing w:beforeAutospacing="0" w:afterAutospacing="0"/>
                    <w:jc w:val="center"/>
                    <w:rPr>
                      <w:rFonts w:hint="eastAsia"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轮胎吊（16t）</w:t>
                  </w:r>
                </w:p>
              </w:tc>
              <w:tc>
                <w:tcPr>
                  <w:tcW w:w="1217" w:type="dxa"/>
                  <w:vAlign w:val="center"/>
                </w:tcPr>
                <w:p>
                  <w:pPr>
                    <w:pageBreakBefore w:val="0"/>
                    <w:kinsoku/>
                    <w:bidi w:val="0"/>
                    <w:snapToGrid w:val="0"/>
                    <w:spacing w:beforeAutospacing="0" w:afterAutospacing="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4</w:t>
                  </w:r>
                </w:p>
              </w:tc>
              <w:tc>
                <w:tcPr>
                  <w:tcW w:w="1858" w:type="dxa"/>
                  <w:vAlign w:val="center"/>
                </w:tcPr>
                <w:p>
                  <w:pPr>
                    <w:pageBreakBefore w:val="0"/>
                    <w:kinsoku/>
                    <w:bidi w:val="0"/>
                    <w:snapToGrid w:val="0"/>
                    <w:spacing w:beforeAutospacing="0" w:afterAutospacing="0"/>
                    <w:jc w:val="center"/>
                    <w:rPr>
                      <w:rFonts w:hint="eastAsia"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75~85</w:t>
                  </w:r>
                </w:p>
              </w:tc>
              <w:tc>
                <w:tcPr>
                  <w:tcW w:w="1710" w:type="dxa"/>
                  <w:vAlign w:val="center"/>
                </w:tcPr>
                <w:p>
                  <w:pPr>
                    <w:pageBreakBefore w:val="0"/>
                    <w:kinsoku/>
                    <w:bidi w:val="0"/>
                    <w:snapToGrid w:val="0"/>
                    <w:spacing w:beforeAutospacing="0" w:afterAutospacing="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80</w:t>
                  </w:r>
                </w:p>
              </w:tc>
              <w:tc>
                <w:tcPr>
                  <w:tcW w:w="1705" w:type="dxa"/>
                  <w:vAlign w:val="center"/>
                </w:tcPr>
                <w:p>
                  <w:pPr>
                    <w:pageBreakBefore w:val="0"/>
                    <w:kinsoku/>
                    <w:bidi w:val="0"/>
                    <w:snapToGrid w:val="0"/>
                    <w:spacing w:beforeAutospacing="0" w:afterAutospacing="0"/>
                    <w:jc w:val="cente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61" w:type="dxa"/>
                  <w:vAlign w:val="center"/>
                </w:tcPr>
                <w:p>
                  <w:pPr>
                    <w:pageBreakBefore w:val="0"/>
                    <w:kinsoku/>
                    <w:bidi w:val="0"/>
                    <w:snapToGrid w:val="0"/>
                    <w:spacing w:beforeAutospacing="0" w:afterAutospacing="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移动漏斗</w:t>
                  </w:r>
                </w:p>
              </w:tc>
              <w:tc>
                <w:tcPr>
                  <w:tcW w:w="1217" w:type="dxa"/>
                  <w:vAlign w:val="center"/>
                </w:tcPr>
                <w:p>
                  <w:pPr>
                    <w:pageBreakBefore w:val="0"/>
                    <w:kinsoku/>
                    <w:bidi w:val="0"/>
                    <w:snapToGrid w:val="0"/>
                    <w:spacing w:beforeAutospacing="0" w:afterAutospacing="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5</w:t>
                  </w:r>
                </w:p>
              </w:tc>
              <w:tc>
                <w:tcPr>
                  <w:tcW w:w="1858" w:type="dxa"/>
                  <w:vAlign w:val="center"/>
                </w:tcPr>
                <w:p>
                  <w:pPr>
                    <w:pageBreakBefore w:val="0"/>
                    <w:kinsoku/>
                    <w:bidi w:val="0"/>
                    <w:snapToGrid w:val="0"/>
                    <w:spacing w:beforeAutospacing="0" w:afterAutospacing="0"/>
                    <w:jc w:val="center"/>
                    <w:rPr>
                      <w:rFonts w:hint="eastAsia"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75~85</w:t>
                  </w:r>
                </w:p>
              </w:tc>
              <w:tc>
                <w:tcPr>
                  <w:tcW w:w="1710" w:type="dxa"/>
                  <w:vAlign w:val="center"/>
                </w:tcPr>
                <w:p>
                  <w:pPr>
                    <w:pageBreakBefore w:val="0"/>
                    <w:kinsoku/>
                    <w:bidi w:val="0"/>
                    <w:snapToGrid w:val="0"/>
                    <w:spacing w:beforeAutospacing="0" w:afterAutospacing="0"/>
                    <w:jc w:val="center"/>
                    <w:rPr>
                      <w:rFonts w:hint="eastAsia"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80</w:t>
                  </w:r>
                </w:p>
              </w:tc>
              <w:tc>
                <w:tcPr>
                  <w:tcW w:w="1705" w:type="dxa"/>
                  <w:vAlign w:val="center"/>
                </w:tcPr>
                <w:p>
                  <w:pPr>
                    <w:pageBreakBefore w:val="0"/>
                    <w:kinsoku/>
                    <w:bidi w:val="0"/>
                    <w:snapToGrid w:val="0"/>
                    <w:spacing w:beforeAutospacing="0" w:afterAutospacing="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65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61" w:type="dxa"/>
                  <w:vAlign w:val="center"/>
                </w:tcPr>
                <w:p>
                  <w:pPr>
                    <w:pageBreakBefore w:val="0"/>
                    <w:kinsoku/>
                    <w:bidi w:val="0"/>
                    <w:snapToGrid w:val="0"/>
                    <w:spacing w:beforeAutospacing="0" w:afterAutospacing="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皮带输送机</w:t>
                  </w:r>
                </w:p>
              </w:tc>
              <w:tc>
                <w:tcPr>
                  <w:tcW w:w="1217" w:type="dxa"/>
                  <w:vAlign w:val="center"/>
                </w:tcPr>
                <w:p>
                  <w:pPr>
                    <w:pageBreakBefore w:val="0"/>
                    <w:kinsoku/>
                    <w:bidi w:val="0"/>
                    <w:snapToGrid w:val="0"/>
                    <w:spacing w:beforeAutospacing="0" w:afterAutospacing="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6</w:t>
                  </w:r>
                </w:p>
              </w:tc>
              <w:tc>
                <w:tcPr>
                  <w:tcW w:w="1858" w:type="dxa"/>
                  <w:vAlign w:val="center"/>
                </w:tcPr>
                <w:p>
                  <w:pPr>
                    <w:pageBreakBefore w:val="0"/>
                    <w:kinsoku/>
                    <w:bidi w:val="0"/>
                    <w:snapToGrid w:val="0"/>
                    <w:spacing w:beforeAutospacing="0" w:afterAutospacing="0"/>
                    <w:jc w:val="center"/>
                    <w:rPr>
                      <w:rFonts w:hint="eastAsia"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70~80</w:t>
                  </w:r>
                </w:p>
              </w:tc>
              <w:tc>
                <w:tcPr>
                  <w:tcW w:w="1710" w:type="dxa"/>
                  <w:vAlign w:val="center"/>
                </w:tcPr>
                <w:p>
                  <w:pPr>
                    <w:pageBreakBefore w:val="0"/>
                    <w:kinsoku/>
                    <w:bidi w:val="0"/>
                    <w:snapToGrid w:val="0"/>
                    <w:spacing w:beforeAutospacing="0" w:afterAutospacing="0"/>
                    <w:jc w:val="center"/>
                    <w:rPr>
                      <w:rFonts w:hint="eastAsia"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75</w:t>
                  </w:r>
                </w:p>
              </w:tc>
              <w:tc>
                <w:tcPr>
                  <w:tcW w:w="1705" w:type="dxa"/>
                  <w:vAlign w:val="center"/>
                </w:tcPr>
                <w:p>
                  <w:pPr>
                    <w:pageBreakBefore w:val="0"/>
                    <w:kinsoku/>
                    <w:bidi w:val="0"/>
                    <w:snapToGrid w:val="0"/>
                    <w:spacing w:beforeAutospacing="0" w:afterAutospacing="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61" w:type="dxa"/>
                  <w:vAlign w:val="center"/>
                </w:tcPr>
                <w:p>
                  <w:pPr>
                    <w:pageBreakBefore w:val="0"/>
                    <w:kinsoku/>
                    <w:bidi w:val="0"/>
                    <w:snapToGrid w:val="0"/>
                    <w:spacing w:beforeAutospacing="0" w:afterAutospacing="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牵引板车</w:t>
                  </w:r>
                </w:p>
              </w:tc>
              <w:tc>
                <w:tcPr>
                  <w:tcW w:w="1217" w:type="dxa"/>
                  <w:vAlign w:val="center"/>
                </w:tcPr>
                <w:p>
                  <w:pPr>
                    <w:pageBreakBefore w:val="0"/>
                    <w:kinsoku/>
                    <w:bidi w:val="0"/>
                    <w:snapToGrid w:val="0"/>
                    <w:spacing w:beforeAutospacing="0" w:afterAutospacing="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9</w:t>
                  </w:r>
                </w:p>
              </w:tc>
              <w:tc>
                <w:tcPr>
                  <w:tcW w:w="1858" w:type="dxa"/>
                  <w:vAlign w:val="center"/>
                </w:tcPr>
                <w:p>
                  <w:pPr>
                    <w:pageBreakBefore w:val="0"/>
                    <w:kinsoku/>
                    <w:bidi w:val="0"/>
                    <w:snapToGrid w:val="0"/>
                    <w:spacing w:beforeAutospacing="0" w:afterAutospacing="0"/>
                    <w:jc w:val="center"/>
                    <w:rPr>
                      <w:rFonts w:hint="eastAsia"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70~80</w:t>
                  </w:r>
                </w:p>
              </w:tc>
              <w:tc>
                <w:tcPr>
                  <w:tcW w:w="1710" w:type="dxa"/>
                  <w:vAlign w:val="center"/>
                </w:tcPr>
                <w:p>
                  <w:pPr>
                    <w:pageBreakBefore w:val="0"/>
                    <w:kinsoku/>
                    <w:bidi w:val="0"/>
                    <w:snapToGrid w:val="0"/>
                    <w:spacing w:beforeAutospacing="0" w:afterAutospacing="0"/>
                    <w:jc w:val="center"/>
                    <w:rPr>
                      <w:rFonts w:hint="eastAsia"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75</w:t>
                  </w:r>
                  <w:r>
                    <w:rPr>
                      <w:rFonts w:ascii="Times New Roman" w:hAnsi="Times New Roman" w:eastAsia="宋体"/>
                      <w:color w:val="000000" w:themeColor="text1"/>
                      <w:szCs w:val="21"/>
                      <w:highlight w:val="none"/>
                      <w14:textFill>
                        <w14:solidFill>
                          <w14:schemeClr w14:val="tx1"/>
                        </w14:solidFill>
                      </w14:textFill>
                    </w:rPr>
                    <w:t xml:space="preserve"> </w:t>
                  </w:r>
                </w:p>
              </w:tc>
              <w:tc>
                <w:tcPr>
                  <w:tcW w:w="1705" w:type="dxa"/>
                  <w:vAlign w:val="center"/>
                </w:tcPr>
                <w:p>
                  <w:pPr>
                    <w:pageBreakBefore w:val="0"/>
                    <w:kinsoku/>
                    <w:bidi w:val="0"/>
                    <w:snapToGrid w:val="0"/>
                    <w:spacing w:beforeAutospacing="0" w:afterAutospacing="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60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0" w:hRule="atLeast"/>
              </w:trPr>
              <w:tc>
                <w:tcPr>
                  <w:tcW w:w="1961" w:type="dxa"/>
                  <w:tcBorders>
                    <w:bottom w:val="single" w:color="000000" w:sz="12" w:space="0"/>
                  </w:tcBorders>
                  <w:vAlign w:val="center"/>
                </w:tcPr>
                <w:p>
                  <w:pPr>
                    <w:pageBreakBefore w:val="0"/>
                    <w:kinsoku/>
                    <w:bidi w:val="0"/>
                    <w:snapToGrid w:val="0"/>
                    <w:spacing w:beforeAutospacing="0" w:afterAutospacing="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装载机</w:t>
                  </w:r>
                </w:p>
              </w:tc>
              <w:tc>
                <w:tcPr>
                  <w:tcW w:w="1217" w:type="dxa"/>
                  <w:tcBorders>
                    <w:bottom w:val="single" w:color="000000" w:sz="12" w:space="0"/>
                  </w:tcBorders>
                  <w:vAlign w:val="center"/>
                </w:tcPr>
                <w:p>
                  <w:pPr>
                    <w:pageBreakBefore w:val="0"/>
                    <w:kinsoku/>
                    <w:bidi w:val="0"/>
                    <w:snapToGrid w:val="0"/>
                    <w:spacing w:beforeAutospacing="0" w:afterAutospacing="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10</w:t>
                  </w:r>
                </w:p>
              </w:tc>
              <w:tc>
                <w:tcPr>
                  <w:tcW w:w="1858" w:type="dxa"/>
                  <w:tcBorders>
                    <w:bottom w:val="single" w:color="000000" w:sz="12" w:space="0"/>
                  </w:tcBorders>
                  <w:vAlign w:val="center"/>
                </w:tcPr>
                <w:p>
                  <w:pPr>
                    <w:pageBreakBefore w:val="0"/>
                    <w:kinsoku/>
                    <w:bidi w:val="0"/>
                    <w:snapToGrid w:val="0"/>
                    <w:spacing w:beforeAutospacing="0" w:afterAutospacing="0"/>
                    <w:jc w:val="center"/>
                    <w:rPr>
                      <w:rFonts w:hint="default" w:ascii="Times New Roman" w:hAnsi="Times New Roman" w:eastAsia="宋体"/>
                      <w:color w:val="000000" w:themeColor="text1"/>
                      <w:szCs w:val="21"/>
                      <w:highlight w:val="none"/>
                      <w:lang w:val="en-US"/>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85~95</w:t>
                  </w:r>
                </w:p>
              </w:tc>
              <w:tc>
                <w:tcPr>
                  <w:tcW w:w="1710" w:type="dxa"/>
                  <w:tcBorders>
                    <w:bottom w:val="single" w:color="000000" w:sz="12" w:space="0"/>
                  </w:tcBorders>
                  <w:vAlign w:val="center"/>
                </w:tcPr>
                <w:p>
                  <w:pPr>
                    <w:pageBreakBefore w:val="0"/>
                    <w:kinsoku/>
                    <w:bidi w:val="0"/>
                    <w:snapToGrid w:val="0"/>
                    <w:spacing w:beforeAutospacing="0" w:afterAutospacing="0"/>
                    <w:jc w:val="center"/>
                    <w:rPr>
                      <w:rFonts w:hint="eastAsia" w:ascii="Times New Roman" w:hAnsi="Times New Roman" w:eastAsia="宋体"/>
                      <w:color w:val="000000" w:themeColor="text1"/>
                      <w:szCs w:val="21"/>
                      <w:highlight w:val="none"/>
                      <w14:textFill>
                        <w14:solidFill>
                          <w14:schemeClr w14:val="tx1"/>
                        </w14:solidFill>
                      </w14:textFill>
                    </w:rPr>
                  </w:pPr>
                  <w:r>
                    <w:rPr>
                      <w:rFonts w:hint="eastAsia" w:ascii="Times New Roman" w:hAnsi="Times New Roman" w:eastAsia="宋体"/>
                      <w:color w:val="000000" w:themeColor="text1"/>
                      <w:szCs w:val="21"/>
                      <w:highlight w:val="none"/>
                      <w14:textFill>
                        <w14:solidFill>
                          <w14:schemeClr w14:val="tx1"/>
                        </w14:solidFill>
                      </w14:textFill>
                    </w:rPr>
                    <w:t>80</w:t>
                  </w:r>
                </w:p>
              </w:tc>
              <w:tc>
                <w:tcPr>
                  <w:tcW w:w="1705" w:type="dxa"/>
                  <w:tcBorders>
                    <w:bottom w:val="single" w:color="000000" w:sz="12" w:space="0"/>
                  </w:tcBorders>
                  <w:vAlign w:val="center"/>
                </w:tcPr>
                <w:p>
                  <w:pPr>
                    <w:pageBreakBefore w:val="0"/>
                    <w:kinsoku/>
                    <w:bidi w:val="0"/>
                    <w:snapToGrid w:val="0"/>
                    <w:spacing w:beforeAutospacing="0" w:afterAutospacing="0"/>
                    <w:jc w:val="center"/>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65</w:t>
                  </w:r>
                </w:p>
              </w:tc>
            </w:tr>
          </w:tbl>
          <w:p>
            <w:pPr>
              <w:pageBreakBefore w:val="0"/>
              <w:kinsoku/>
              <w:bidi w:val="0"/>
              <w:spacing w:beforeAutospacing="0" w:afterAutospacing="0" w:line="360" w:lineRule="auto"/>
              <w:ind w:firstLine="480" w:firstLineChars="200"/>
              <w:rPr>
                <w:rFonts w:ascii="Times New Roman" w:hAnsi="Times New Roman" w:eastAsia="宋体"/>
                <w:color w:val="000000" w:themeColor="text1"/>
                <w:sz w:val="24"/>
                <w:szCs w:val="32"/>
                <w:highlight w:val="none"/>
                <w14:textFill>
                  <w14:solidFill>
                    <w14:schemeClr w14:val="tx1"/>
                  </w14:solidFill>
                </w14:textFill>
              </w:rPr>
            </w:pPr>
            <w:r>
              <w:rPr>
                <w:rFonts w:ascii="Times New Roman" w:hAnsi="Times New Roman" w:eastAsia="宋体"/>
                <w:color w:val="000000" w:themeColor="text1"/>
                <w:sz w:val="24"/>
                <w:szCs w:val="32"/>
                <w:highlight w:val="none"/>
                <w14:textFill>
                  <w14:solidFill>
                    <w14:schemeClr w14:val="tx1"/>
                  </w14:solidFill>
                </w14:textFill>
              </w:rPr>
              <w:t>对各个噪声源至预测点的声压级进行叠加，按声压级的定义合成的声压级为：</w:t>
            </w:r>
          </w:p>
          <w:p>
            <w:pPr>
              <w:pageBreakBefore w:val="0"/>
              <w:kinsoku/>
              <w:bidi w:val="0"/>
              <w:snapToGrid w:val="0"/>
              <w:spacing w:beforeAutospacing="0" w:afterAutospacing="0"/>
              <w:jc w:val="center"/>
              <w:rPr>
                <w:rFonts w:ascii="Times New Roman" w:hAnsi="Times New Roman" w:eastAsia="宋体"/>
                <w:color w:val="000000" w:themeColor="text1"/>
                <w:spacing w:val="-4"/>
                <w:position w:val="-44"/>
                <w:sz w:val="24"/>
                <w:szCs w:val="32"/>
                <w:highlight w:val="none"/>
                <w14:textFill>
                  <w14:solidFill>
                    <w14:schemeClr w14:val="tx1"/>
                  </w14:solidFill>
                </w14:textFill>
              </w:rPr>
            </w:pPr>
            <w:r>
              <w:rPr>
                <w:rFonts w:ascii="Times New Roman" w:hAnsi="Times New Roman" w:eastAsia="宋体"/>
                <w:color w:val="000000" w:themeColor="text1"/>
                <w:spacing w:val="-4"/>
                <w:position w:val="-44"/>
                <w:sz w:val="24"/>
                <w:szCs w:val="32"/>
                <w:highlight w:val="none"/>
                <w14:textFill>
                  <w14:solidFill>
                    <w14:schemeClr w14:val="tx1"/>
                  </w14:solidFill>
                </w14:textFill>
              </w:rPr>
              <w:object>
                <v:shape id="_x0000_i1029" o:spt="75" type="#_x0000_t75" style="height:59.9pt;width:117.5pt;" o:ole="t" filled="f" o:preferrelative="t" stroked="f" coordsize="21600,21600">
                  <v:path/>
                  <v:fill on="f" focussize="0,0"/>
                  <v:stroke on="f" joinstyle="miter"/>
                  <v:imagedata r:id="rId31" o:title=""/>
                  <o:lock v:ext="edit" aspectratio="t"/>
                  <w10:wrap type="none"/>
                  <w10:anchorlock/>
                </v:shape>
                <o:OLEObject Type="Embed" ProgID="Word.Picture.8" ShapeID="_x0000_i1029" DrawAspect="Content" ObjectID="_1468075729" r:id="rId30">
                  <o:LockedField>false</o:LockedField>
                </o:OLEObject>
              </w:object>
            </w:r>
          </w:p>
          <w:p>
            <w:pPr>
              <w:pStyle w:val="143"/>
              <w:pageBreakBefore w:val="0"/>
              <w:kinsoku/>
              <w:bidi w:val="0"/>
              <w:spacing w:before="0" w:beforeAutospacing="0" w:afterAutospacing="0"/>
              <w:ind w:firstLine="464" w:firstLineChars="200"/>
              <w:rPr>
                <w:rFonts w:ascii="Times New Roman" w:hAnsi="Times New Roman" w:eastAsia="宋体"/>
                <w:color w:val="000000" w:themeColor="text1"/>
                <w:spacing w:val="-4"/>
                <w:sz w:val="24"/>
                <w:szCs w:val="24"/>
                <w:highlight w:val="none"/>
                <w14:textFill>
                  <w14:solidFill>
                    <w14:schemeClr w14:val="tx1"/>
                  </w14:solidFill>
                </w14:textFill>
              </w:rPr>
            </w:pPr>
            <w:r>
              <w:rPr>
                <w:rFonts w:ascii="Times New Roman" w:hAnsi="Times New Roman" w:eastAsia="宋体"/>
                <w:color w:val="000000" w:themeColor="text1"/>
                <w:spacing w:val="-4"/>
                <w:sz w:val="24"/>
                <w:szCs w:val="24"/>
                <w:highlight w:val="none"/>
                <w14:textFill>
                  <w14:solidFill>
                    <w14:schemeClr w14:val="tx1"/>
                  </w14:solidFill>
                </w14:textFill>
              </w:rPr>
              <w:t>式中：L—为n个噪声源的合成声压级，dB；</w:t>
            </w:r>
          </w:p>
          <w:p>
            <w:pPr>
              <w:pStyle w:val="143"/>
              <w:pageBreakBefore w:val="0"/>
              <w:kinsoku/>
              <w:bidi w:val="0"/>
              <w:spacing w:before="0" w:beforeAutospacing="0" w:afterAutospacing="0"/>
              <w:ind w:firstLine="1160" w:firstLineChars="500"/>
              <w:rPr>
                <w:rFonts w:ascii="Times New Roman" w:hAnsi="Times New Roman" w:eastAsia="宋体"/>
                <w:color w:val="000000" w:themeColor="text1"/>
                <w:spacing w:val="-4"/>
                <w:sz w:val="24"/>
                <w:szCs w:val="24"/>
                <w:highlight w:val="none"/>
                <w14:textFill>
                  <w14:solidFill>
                    <w14:schemeClr w14:val="tx1"/>
                  </w14:solidFill>
                </w14:textFill>
              </w:rPr>
            </w:pPr>
            <w:r>
              <w:rPr>
                <w:rFonts w:ascii="Times New Roman" w:hAnsi="Times New Roman" w:eastAsia="宋体"/>
                <w:color w:val="000000" w:themeColor="text1"/>
                <w:spacing w:val="-4"/>
                <w:sz w:val="24"/>
                <w:szCs w:val="24"/>
                <w:highlight w:val="none"/>
                <w14:textFill>
                  <w14:solidFill>
                    <w14:schemeClr w14:val="tx1"/>
                  </w14:solidFill>
                </w14:textFill>
              </w:rPr>
              <w:t>L</w:t>
            </w:r>
            <w:r>
              <w:rPr>
                <w:rFonts w:ascii="Times New Roman" w:hAnsi="Times New Roman" w:eastAsia="宋体"/>
                <w:color w:val="000000" w:themeColor="text1"/>
                <w:spacing w:val="-4"/>
                <w:sz w:val="24"/>
                <w:szCs w:val="24"/>
                <w:highlight w:val="none"/>
                <w:vertAlign w:val="subscript"/>
                <w14:textFill>
                  <w14:solidFill>
                    <w14:schemeClr w14:val="tx1"/>
                  </w14:solidFill>
                </w14:textFill>
              </w:rPr>
              <w:t>i</w:t>
            </w:r>
            <w:r>
              <w:rPr>
                <w:rFonts w:ascii="Times New Roman" w:hAnsi="Times New Roman" w:eastAsia="宋体"/>
                <w:color w:val="000000" w:themeColor="text1"/>
                <w:spacing w:val="-4"/>
                <w:sz w:val="24"/>
                <w:szCs w:val="24"/>
                <w:highlight w:val="none"/>
                <w14:textFill>
                  <w14:solidFill>
                    <w14:schemeClr w14:val="tx1"/>
                  </w14:solidFill>
                </w14:textFill>
              </w:rPr>
              <w:t>—为第i个噪声源至预测点处的声压级，dB；</w:t>
            </w:r>
          </w:p>
          <w:p>
            <w:pPr>
              <w:pStyle w:val="143"/>
              <w:pageBreakBefore w:val="0"/>
              <w:kinsoku/>
              <w:bidi w:val="0"/>
              <w:spacing w:before="0" w:beforeAutospacing="0" w:afterAutospacing="0"/>
              <w:ind w:firstLine="1160" w:firstLineChars="500"/>
              <w:rPr>
                <w:rFonts w:ascii="Times New Roman" w:hAnsi="Times New Roman" w:eastAsia="宋体"/>
                <w:color w:val="000000" w:themeColor="text1"/>
                <w:spacing w:val="-4"/>
                <w:sz w:val="24"/>
                <w:szCs w:val="24"/>
                <w:highlight w:val="none"/>
                <w14:textFill>
                  <w14:solidFill>
                    <w14:schemeClr w14:val="tx1"/>
                  </w14:solidFill>
                </w14:textFill>
              </w:rPr>
            </w:pPr>
            <w:r>
              <w:rPr>
                <w:rFonts w:ascii="Times New Roman" w:hAnsi="Times New Roman" w:eastAsia="宋体"/>
                <w:color w:val="000000" w:themeColor="text1"/>
                <w:spacing w:val="-4"/>
                <w:sz w:val="24"/>
                <w:szCs w:val="24"/>
                <w:highlight w:val="none"/>
                <w14:textFill>
                  <w14:solidFill>
                    <w14:schemeClr w14:val="tx1"/>
                  </w14:solidFill>
                </w14:textFill>
              </w:rPr>
              <w:t>n—噪声源的个数。</w:t>
            </w:r>
          </w:p>
          <w:p>
            <w:pPr>
              <w:pageBreakBefore w:val="0"/>
              <w:kinsoku/>
              <w:bidi w:val="0"/>
              <w:spacing w:beforeAutospacing="0" w:afterAutospacing="0" w:line="360" w:lineRule="auto"/>
              <w:ind w:firstLine="480" w:firstLineChars="200"/>
              <w:rPr>
                <w:rFonts w:hint="eastAsia" w:ascii="Times New Roman" w:hAnsi="Times New Roman" w:eastAsia="宋体"/>
                <w:color w:val="000000" w:themeColor="text1"/>
                <w:sz w:val="24"/>
                <w:szCs w:val="32"/>
                <w:highlight w:val="none"/>
                <w:lang w:val="en-US" w:eastAsia="zh-CN"/>
                <w14:textFill>
                  <w14:solidFill>
                    <w14:schemeClr w14:val="tx1"/>
                  </w14:solidFill>
                </w14:textFill>
              </w:rPr>
            </w:pPr>
            <w:r>
              <w:rPr>
                <w:rFonts w:ascii="Times New Roman" w:hAnsi="Times New Roman" w:eastAsia="宋体"/>
                <w:color w:val="000000" w:themeColor="text1"/>
                <w:sz w:val="24"/>
                <w:szCs w:val="32"/>
                <w:highlight w:val="none"/>
                <w14:textFill>
                  <w14:solidFill>
                    <w14:schemeClr w14:val="tx1"/>
                  </w14:solidFill>
                </w14:textFill>
              </w:rPr>
              <w:t>点声源衰减模式：Lq=L</w:t>
            </w:r>
            <w:r>
              <w:rPr>
                <w:rFonts w:ascii="Times New Roman" w:hAnsi="Times New Roman" w:eastAsia="宋体"/>
                <w:color w:val="000000" w:themeColor="text1"/>
                <w:sz w:val="24"/>
                <w:szCs w:val="32"/>
                <w:highlight w:val="none"/>
                <w:vertAlign w:val="subscript"/>
                <w14:textFill>
                  <w14:solidFill>
                    <w14:schemeClr w14:val="tx1"/>
                  </w14:solidFill>
                </w14:textFill>
              </w:rPr>
              <w:t>0</w:t>
            </w:r>
            <w:r>
              <w:rPr>
                <w:rFonts w:ascii="Times New Roman" w:hAnsi="Times New Roman" w:eastAsia="宋体"/>
                <w:color w:val="000000" w:themeColor="text1"/>
                <w:sz w:val="24"/>
                <w:szCs w:val="32"/>
                <w:highlight w:val="none"/>
                <w14:textFill>
                  <w14:solidFill>
                    <w14:schemeClr w14:val="tx1"/>
                  </w14:solidFill>
                </w14:textFill>
              </w:rPr>
              <w:t>-20lg</w:t>
            </w:r>
            <w:r>
              <w:rPr>
                <w:rFonts w:hint="eastAsia" w:ascii="Times New Roman" w:hAnsi="Times New Roman" w:eastAsia="宋体"/>
                <w:color w:val="000000" w:themeColor="text1"/>
                <w:sz w:val="24"/>
                <w:szCs w:val="32"/>
                <w:highlight w:val="none"/>
                <w:lang w:eastAsia="zh-CN"/>
                <w14:textFill>
                  <w14:solidFill>
                    <w14:schemeClr w14:val="tx1"/>
                  </w14:solidFill>
                </w14:textFill>
              </w:rPr>
              <w:t>（</w:t>
            </w:r>
            <w:r>
              <w:rPr>
                <w:rFonts w:ascii="Times New Roman" w:hAnsi="Times New Roman" w:eastAsia="宋体"/>
                <w:color w:val="000000" w:themeColor="text1"/>
                <w:sz w:val="24"/>
                <w:szCs w:val="32"/>
                <w:highlight w:val="none"/>
                <w14:textFill>
                  <w14:solidFill>
                    <w14:schemeClr w14:val="tx1"/>
                  </w14:solidFill>
                </w14:textFill>
              </w:rPr>
              <w:t>r</w:t>
            </w:r>
            <w:r>
              <w:rPr>
                <w:rFonts w:hint="eastAsia" w:ascii="Times New Roman" w:hAnsi="Times New Roman" w:eastAsia="宋体"/>
                <w:color w:val="000000" w:themeColor="text1"/>
                <w:sz w:val="24"/>
                <w:szCs w:val="32"/>
                <w:highlight w:val="none"/>
                <w:lang w:eastAsia="zh-CN"/>
                <w14:textFill>
                  <w14:solidFill>
                    <w14:schemeClr w14:val="tx1"/>
                  </w14:solidFill>
                </w14:textFill>
              </w:rPr>
              <w:t>）</w:t>
            </w:r>
            <w:r>
              <w:rPr>
                <w:rFonts w:ascii="Times New Roman" w:hAnsi="Times New Roman" w:eastAsia="宋体"/>
                <w:color w:val="000000" w:themeColor="text1"/>
                <w:sz w:val="24"/>
                <w:szCs w:val="32"/>
                <w:highlight w:val="none"/>
                <w14:textFill>
                  <w14:solidFill>
                    <w14:schemeClr w14:val="tx1"/>
                  </w14:solidFill>
                </w14:textFill>
              </w:rPr>
              <w:t>-</w:t>
            </w:r>
            <w:r>
              <w:rPr>
                <w:rFonts w:hint="eastAsia" w:ascii="Times New Roman" w:hAnsi="Times New Roman" w:eastAsia="宋体"/>
                <w:color w:val="000000" w:themeColor="text1"/>
                <w:sz w:val="24"/>
                <w:szCs w:val="32"/>
                <w:highlight w:val="none"/>
                <w:lang w:val="en-US" w:eastAsia="zh-CN"/>
                <w14:textFill>
                  <w14:solidFill>
                    <w14:schemeClr w14:val="tx1"/>
                  </w14:solidFill>
                </w14:textFill>
              </w:rPr>
              <w:t>A</w:t>
            </w:r>
          </w:p>
          <w:p>
            <w:pPr>
              <w:pageBreakBefore w:val="0"/>
              <w:kinsoku/>
              <w:bidi w:val="0"/>
              <w:spacing w:beforeAutospacing="0" w:afterAutospacing="0" w:line="360" w:lineRule="auto"/>
              <w:ind w:firstLine="480" w:firstLineChars="200"/>
              <w:rPr>
                <w:rFonts w:ascii="Times New Roman" w:hAnsi="Times New Roman" w:eastAsia="宋体"/>
                <w:color w:val="000000" w:themeColor="text1"/>
                <w:sz w:val="24"/>
                <w:szCs w:val="32"/>
                <w:highlight w:val="none"/>
                <w14:textFill>
                  <w14:solidFill>
                    <w14:schemeClr w14:val="tx1"/>
                  </w14:solidFill>
                </w14:textFill>
              </w:rPr>
            </w:pPr>
            <w:r>
              <w:rPr>
                <w:rFonts w:ascii="Times New Roman" w:hAnsi="Times New Roman" w:eastAsia="宋体"/>
                <w:color w:val="000000" w:themeColor="text1"/>
                <w:sz w:val="24"/>
                <w:szCs w:val="32"/>
                <w:highlight w:val="none"/>
                <w14:textFill>
                  <w14:solidFill>
                    <w14:schemeClr w14:val="tx1"/>
                  </w14:solidFill>
                </w14:textFill>
              </w:rPr>
              <w:t>式中：Lq—距点声源r米处的噪声级（dB）；</w:t>
            </w:r>
          </w:p>
          <w:p>
            <w:pPr>
              <w:pageBreakBefore w:val="0"/>
              <w:kinsoku/>
              <w:bidi w:val="0"/>
              <w:spacing w:beforeAutospacing="0" w:afterAutospacing="0" w:line="360" w:lineRule="auto"/>
              <w:ind w:firstLine="1200" w:firstLineChars="500"/>
              <w:rPr>
                <w:rFonts w:ascii="Times New Roman" w:hAnsi="Times New Roman" w:eastAsia="宋体"/>
                <w:color w:val="000000" w:themeColor="text1"/>
                <w:sz w:val="24"/>
                <w:szCs w:val="32"/>
                <w:highlight w:val="none"/>
                <w14:textFill>
                  <w14:solidFill>
                    <w14:schemeClr w14:val="tx1"/>
                  </w14:solidFill>
                </w14:textFill>
              </w:rPr>
            </w:pPr>
            <w:r>
              <w:rPr>
                <w:rFonts w:ascii="Times New Roman" w:hAnsi="Times New Roman" w:eastAsia="宋体"/>
                <w:color w:val="000000" w:themeColor="text1"/>
                <w:sz w:val="24"/>
                <w:szCs w:val="32"/>
                <w:highlight w:val="none"/>
                <w14:textFill>
                  <w14:solidFill>
                    <w14:schemeClr w14:val="tx1"/>
                  </w14:solidFill>
                </w14:textFill>
              </w:rPr>
              <w:t>L</w:t>
            </w:r>
            <w:r>
              <w:rPr>
                <w:rFonts w:ascii="Times New Roman" w:hAnsi="Times New Roman" w:eastAsia="宋体"/>
                <w:color w:val="000000" w:themeColor="text1"/>
                <w:sz w:val="24"/>
                <w:szCs w:val="32"/>
                <w:highlight w:val="none"/>
                <w:vertAlign w:val="subscript"/>
                <w14:textFill>
                  <w14:solidFill>
                    <w14:schemeClr w14:val="tx1"/>
                  </w14:solidFill>
                </w14:textFill>
              </w:rPr>
              <w:t>0</w:t>
            </w:r>
            <w:r>
              <w:rPr>
                <w:rFonts w:ascii="Times New Roman" w:hAnsi="Times New Roman" w:eastAsia="宋体"/>
                <w:color w:val="000000" w:themeColor="text1"/>
                <w:sz w:val="24"/>
                <w:szCs w:val="32"/>
                <w:highlight w:val="none"/>
                <w14:textFill>
                  <w14:solidFill>
                    <w14:schemeClr w14:val="tx1"/>
                  </w14:solidFill>
                </w14:textFill>
              </w:rPr>
              <w:t>—距点声源1米处的噪声级（dB）；</w:t>
            </w:r>
          </w:p>
          <w:p>
            <w:pPr>
              <w:pageBreakBefore w:val="0"/>
              <w:kinsoku/>
              <w:bidi w:val="0"/>
              <w:spacing w:beforeAutospacing="0" w:afterAutospacing="0" w:line="360" w:lineRule="auto"/>
              <w:ind w:firstLine="1200" w:firstLineChars="500"/>
              <w:rPr>
                <w:rFonts w:ascii="Times New Roman" w:hAnsi="Times New Roman" w:eastAsia="宋体"/>
                <w:color w:val="000000" w:themeColor="text1"/>
                <w:sz w:val="24"/>
                <w:szCs w:val="32"/>
                <w:highlight w:val="none"/>
                <w14:textFill>
                  <w14:solidFill>
                    <w14:schemeClr w14:val="tx1"/>
                  </w14:solidFill>
                </w14:textFill>
              </w:rPr>
            </w:pPr>
            <w:r>
              <w:rPr>
                <w:rFonts w:hint="eastAsia" w:ascii="Times New Roman" w:hAnsi="Times New Roman" w:eastAsia="宋体"/>
                <w:color w:val="000000" w:themeColor="text1"/>
                <w:sz w:val="24"/>
                <w:szCs w:val="32"/>
                <w:highlight w:val="none"/>
                <w:lang w:val="en-US" w:eastAsia="zh-CN"/>
                <w14:textFill>
                  <w14:solidFill>
                    <w14:schemeClr w14:val="tx1"/>
                  </w14:solidFill>
                </w14:textFill>
              </w:rPr>
              <w:t>A</w:t>
            </w:r>
            <w:r>
              <w:rPr>
                <w:rFonts w:ascii="Times New Roman" w:hAnsi="Times New Roman" w:eastAsia="宋体"/>
                <w:color w:val="000000" w:themeColor="text1"/>
                <w:sz w:val="24"/>
                <w:szCs w:val="32"/>
                <w:highlight w:val="none"/>
                <w14:textFill>
                  <w14:solidFill>
                    <w14:schemeClr w14:val="tx1"/>
                  </w14:solidFill>
                </w14:textFill>
              </w:rPr>
              <w:t>—屏障、吸音等综合削减声级（dB）（取1</w:t>
            </w:r>
            <w:r>
              <w:rPr>
                <w:rFonts w:hint="eastAsia" w:ascii="Times New Roman" w:hAnsi="Times New Roman" w:eastAsia="宋体"/>
                <w:color w:val="000000" w:themeColor="text1"/>
                <w:sz w:val="24"/>
                <w:szCs w:val="32"/>
                <w:highlight w:val="none"/>
                <w:lang w:val="en-US" w:eastAsia="zh-CN"/>
                <w14:textFill>
                  <w14:solidFill>
                    <w14:schemeClr w14:val="tx1"/>
                  </w14:solidFill>
                </w14:textFill>
              </w:rPr>
              <w:t>5</w:t>
            </w:r>
            <w:r>
              <w:rPr>
                <w:rFonts w:ascii="Times New Roman" w:hAnsi="Times New Roman" w:eastAsia="宋体"/>
                <w:color w:val="000000" w:themeColor="text1"/>
                <w:sz w:val="24"/>
                <w:szCs w:val="32"/>
                <w:highlight w:val="none"/>
                <w14:textFill>
                  <w14:solidFill>
                    <w14:schemeClr w14:val="tx1"/>
                  </w14:solidFill>
                </w14:textFill>
              </w:rPr>
              <w:t>dB）；</w:t>
            </w:r>
          </w:p>
          <w:p>
            <w:pPr>
              <w:pageBreakBefore w:val="0"/>
              <w:kinsoku/>
              <w:bidi w:val="0"/>
              <w:spacing w:beforeAutospacing="0" w:afterAutospacing="0" w:line="360" w:lineRule="auto"/>
              <w:ind w:firstLine="1200" w:firstLineChars="500"/>
              <w:rPr>
                <w:rFonts w:ascii="Times New Roman" w:hAnsi="Times New Roman" w:eastAsia="宋体"/>
                <w:color w:val="000000" w:themeColor="text1"/>
                <w:sz w:val="24"/>
                <w:szCs w:val="32"/>
                <w:highlight w:val="none"/>
                <w14:textFill>
                  <w14:solidFill>
                    <w14:schemeClr w14:val="tx1"/>
                  </w14:solidFill>
                </w14:textFill>
              </w:rPr>
            </w:pPr>
            <w:r>
              <w:rPr>
                <w:rFonts w:ascii="Times New Roman" w:hAnsi="Times New Roman" w:eastAsia="宋体"/>
                <w:color w:val="000000" w:themeColor="text1"/>
                <w:sz w:val="24"/>
                <w:szCs w:val="32"/>
                <w:highlight w:val="none"/>
                <w14:textFill>
                  <w14:solidFill>
                    <w14:schemeClr w14:val="tx1"/>
                  </w14:solidFill>
                </w14:textFill>
              </w:rPr>
              <w:t>r—距噪声源强的不同距离（m）。</w:t>
            </w:r>
          </w:p>
          <w:p>
            <w:pPr>
              <w:pageBreakBefore w:val="0"/>
              <w:kinsoku/>
              <w:bidi w:val="0"/>
              <w:spacing w:beforeAutospacing="0" w:afterAutospacing="0" w:line="360" w:lineRule="auto"/>
              <w:ind w:firstLine="480" w:firstLineChars="200"/>
              <w:rPr>
                <w:rFonts w:ascii="Times New Roman" w:hAnsi="Times New Roman" w:eastAsia="宋体"/>
                <w:b/>
                <w:bCs/>
                <w:color w:val="000000" w:themeColor="text1"/>
                <w:sz w:val="24"/>
                <w:szCs w:val="32"/>
                <w:highlight w:val="none"/>
                <w14:textFill>
                  <w14:solidFill>
                    <w14:schemeClr w14:val="tx1"/>
                  </w14:solidFill>
                </w14:textFill>
              </w:rPr>
            </w:pPr>
            <w:r>
              <w:rPr>
                <w:rFonts w:hint="eastAsia" w:ascii="Times New Roman" w:hAnsi="Times New Roman" w:eastAsia="宋体"/>
                <w:color w:val="000000" w:themeColor="text1"/>
                <w:sz w:val="24"/>
                <w:szCs w:val="32"/>
                <w:highlight w:val="none"/>
                <w14:textFill>
                  <w14:solidFill>
                    <w14:schemeClr w14:val="tx1"/>
                  </w14:solidFill>
                </w14:textFill>
              </w:rPr>
              <w:t>经计算，项目运营期噪声经过隔声后</w:t>
            </w:r>
            <w:r>
              <w:rPr>
                <w:rFonts w:ascii="Times New Roman" w:hAnsi="Times New Roman" w:eastAsia="宋体"/>
                <w:color w:val="000000" w:themeColor="text1"/>
                <w:sz w:val="24"/>
                <w:szCs w:val="32"/>
                <w:highlight w:val="none"/>
                <w14:textFill>
                  <w14:solidFill>
                    <w14:schemeClr w14:val="tx1"/>
                  </w14:solidFill>
                </w14:textFill>
              </w:rPr>
              <w:t>综合源强为</w:t>
            </w:r>
            <w:r>
              <w:rPr>
                <w:rFonts w:hint="eastAsia" w:ascii="Times New Roman" w:hAnsi="Times New Roman" w:eastAsia="宋体"/>
                <w:color w:val="000000" w:themeColor="text1"/>
                <w:sz w:val="24"/>
                <w:szCs w:val="32"/>
                <w:highlight w:val="none"/>
                <w14:textFill>
                  <w14:solidFill>
                    <w14:schemeClr w14:val="tx1"/>
                  </w14:solidFill>
                </w14:textFill>
              </w:rPr>
              <w:t>75.5</w:t>
            </w:r>
            <w:r>
              <w:rPr>
                <w:rFonts w:ascii="Times New Roman" w:hAnsi="Times New Roman" w:eastAsia="宋体"/>
                <w:color w:val="000000" w:themeColor="text1"/>
                <w:sz w:val="24"/>
                <w:szCs w:val="32"/>
                <w:highlight w:val="none"/>
                <w14:textFill>
                  <w14:solidFill>
                    <w14:schemeClr w14:val="tx1"/>
                  </w14:solidFill>
                </w14:textFill>
              </w:rPr>
              <w:t>dB（A）。</w:t>
            </w:r>
            <w:r>
              <w:rPr>
                <w:rFonts w:hint="eastAsia" w:ascii="Times New Roman" w:hAnsi="Times New Roman" w:eastAsia="宋体"/>
                <w:color w:val="000000" w:themeColor="text1"/>
                <w:sz w:val="24"/>
                <w:szCs w:val="32"/>
                <w:highlight w:val="none"/>
                <w14:textFill>
                  <w14:solidFill>
                    <w14:schemeClr w14:val="tx1"/>
                  </w14:solidFill>
                </w14:textFill>
              </w:rPr>
              <w:t>对各厂界贡献值见下表。</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ascii="Times New Roman" w:hAnsi="Times New Roman" w:eastAsia="宋体"/>
                <w:b/>
                <w:bCs/>
                <w:color w:val="000000" w:themeColor="text1"/>
                <w:sz w:val="24"/>
                <w:szCs w:val="32"/>
                <w:highlight w:val="none"/>
                <w14:textFill>
                  <w14:solidFill>
                    <w14:schemeClr w14:val="tx1"/>
                  </w14:solidFill>
                </w14:textFill>
              </w:rPr>
            </w:pPr>
            <w:r>
              <w:rPr>
                <w:rFonts w:hint="eastAsia" w:ascii="Times New Roman" w:hAnsi="Times New Roman" w:eastAsia="宋体"/>
                <w:b/>
                <w:bCs/>
                <w:color w:val="000000" w:themeColor="text1"/>
                <w:sz w:val="24"/>
                <w:szCs w:val="32"/>
                <w:highlight w:val="none"/>
                <w14:textFill>
                  <w14:solidFill>
                    <w14:schemeClr w14:val="tx1"/>
                  </w14:solidFill>
                </w14:textFill>
              </w:rPr>
              <w:t>表4.9-</w:t>
            </w:r>
            <w:r>
              <w:rPr>
                <w:rFonts w:hint="eastAsia" w:ascii="Times New Roman" w:hAnsi="Times New Roman" w:eastAsia="宋体"/>
                <w:b/>
                <w:bCs/>
                <w:color w:val="000000" w:themeColor="text1"/>
                <w:sz w:val="24"/>
                <w:szCs w:val="32"/>
                <w:highlight w:val="none"/>
                <w:lang w:val="en-US" w:eastAsia="zh-CN"/>
                <w14:textFill>
                  <w14:solidFill>
                    <w14:schemeClr w14:val="tx1"/>
                  </w14:solidFill>
                </w14:textFill>
              </w:rPr>
              <w:t>2</w:t>
            </w:r>
            <w:r>
              <w:rPr>
                <w:rFonts w:hint="eastAsia" w:ascii="Times New Roman" w:hAnsi="Times New Roman" w:eastAsia="宋体"/>
                <w:b/>
                <w:bCs/>
                <w:color w:val="000000" w:themeColor="text1"/>
                <w:sz w:val="24"/>
                <w:szCs w:val="32"/>
                <w:highlight w:val="none"/>
                <w14:textFill>
                  <w14:solidFill>
                    <w14:schemeClr w14:val="tx1"/>
                  </w14:solidFill>
                </w14:textFill>
              </w:rPr>
              <w:t xml:space="preserve"> 主要噪声源距各场界距离一览表</w:t>
            </w:r>
          </w:p>
          <w:tbl>
            <w:tblPr>
              <w:tblStyle w:val="33"/>
              <w:tblW w:w="845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03"/>
              <w:gridCol w:w="1453"/>
              <w:gridCol w:w="1568"/>
              <w:gridCol w:w="1564"/>
              <w:gridCol w:w="15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03" w:type="dxa"/>
                  <w:tcBorders>
                    <w:top w:val="single" w:color="auto" w:sz="12" w:space="0"/>
                  </w:tcBorders>
                  <w:vAlign w:val="center"/>
                </w:tcPr>
                <w:p>
                  <w:pPr>
                    <w:pageBreakBefore w:val="0"/>
                    <w:kinsoku/>
                    <w:bidi w:val="0"/>
                    <w:snapToGrid w:val="0"/>
                    <w:spacing w:beforeAutospacing="0" w:afterAutospacing="0"/>
                    <w:jc w:val="center"/>
                    <w:rPr>
                      <w:rFonts w:ascii="Times New Roman" w:hAnsi="Times New Roman" w:eastAsia="宋体"/>
                      <w:b w:val="0"/>
                      <w:bCs/>
                      <w:color w:val="000000" w:themeColor="text1"/>
                      <w:szCs w:val="21"/>
                      <w:highlight w:val="none"/>
                      <w14:textFill>
                        <w14:solidFill>
                          <w14:schemeClr w14:val="tx1"/>
                        </w14:solidFill>
                      </w14:textFill>
                    </w:rPr>
                  </w:pPr>
                  <w:r>
                    <w:rPr>
                      <w:rFonts w:hint="eastAsia" w:ascii="Times New Roman" w:hAnsi="Times New Roman" w:eastAsia="宋体"/>
                      <w:b w:val="0"/>
                      <w:bCs/>
                      <w:color w:val="000000" w:themeColor="text1"/>
                      <w:szCs w:val="21"/>
                      <w:highlight w:val="none"/>
                      <w14:textFill>
                        <w14:solidFill>
                          <w14:schemeClr w14:val="tx1"/>
                        </w14:solidFill>
                      </w14:textFill>
                    </w:rPr>
                    <w:t>噪声源</w:t>
                  </w:r>
                </w:p>
              </w:tc>
              <w:tc>
                <w:tcPr>
                  <w:tcW w:w="1453" w:type="dxa"/>
                  <w:tcBorders>
                    <w:top w:val="single" w:color="auto" w:sz="12" w:space="0"/>
                  </w:tcBorders>
                  <w:vAlign w:val="center"/>
                </w:tcPr>
                <w:p>
                  <w:pPr>
                    <w:pageBreakBefore w:val="0"/>
                    <w:kinsoku/>
                    <w:bidi w:val="0"/>
                    <w:snapToGrid w:val="0"/>
                    <w:spacing w:beforeAutospacing="0" w:afterAutospacing="0"/>
                    <w:jc w:val="center"/>
                    <w:rPr>
                      <w:rFonts w:ascii="Times New Roman" w:hAnsi="Times New Roman" w:eastAsia="宋体"/>
                      <w:b w:val="0"/>
                      <w:bCs/>
                      <w:color w:val="000000" w:themeColor="text1"/>
                      <w:szCs w:val="21"/>
                      <w:highlight w:val="none"/>
                      <w14:textFill>
                        <w14:solidFill>
                          <w14:schemeClr w14:val="tx1"/>
                        </w14:solidFill>
                      </w14:textFill>
                    </w:rPr>
                  </w:pPr>
                  <w:r>
                    <w:rPr>
                      <w:rFonts w:hint="eastAsia" w:ascii="Times New Roman" w:hAnsi="Times New Roman" w:eastAsia="宋体"/>
                      <w:b w:val="0"/>
                      <w:bCs/>
                      <w:color w:val="000000" w:themeColor="text1"/>
                      <w:szCs w:val="21"/>
                      <w:highlight w:val="none"/>
                      <w14:textFill>
                        <w14:solidFill>
                          <w14:schemeClr w14:val="tx1"/>
                        </w14:solidFill>
                      </w14:textFill>
                    </w:rPr>
                    <w:t>东厂界</w:t>
                  </w:r>
                </w:p>
              </w:tc>
              <w:tc>
                <w:tcPr>
                  <w:tcW w:w="1568" w:type="dxa"/>
                  <w:tcBorders>
                    <w:top w:val="single" w:color="auto" w:sz="12" w:space="0"/>
                  </w:tcBorders>
                  <w:vAlign w:val="center"/>
                </w:tcPr>
                <w:p>
                  <w:pPr>
                    <w:pageBreakBefore w:val="0"/>
                    <w:kinsoku/>
                    <w:bidi w:val="0"/>
                    <w:snapToGrid w:val="0"/>
                    <w:spacing w:beforeAutospacing="0" w:afterAutospacing="0"/>
                    <w:jc w:val="center"/>
                    <w:rPr>
                      <w:rFonts w:ascii="Times New Roman" w:hAnsi="Times New Roman" w:eastAsia="宋体"/>
                      <w:b w:val="0"/>
                      <w:bCs/>
                      <w:color w:val="000000" w:themeColor="text1"/>
                      <w:szCs w:val="21"/>
                      <w:highlight w:val="none"/>
                      <w14:textFill>
                        <w14:solidFill>
                          <w14:schemeClr w14:val="tx1"/>
                        </w14:solidFill>
                      </w14:textFill>
                    </w:rPr>
                  </w:pPr>
                  <w:r>
                    <w:rPr>
                      <w:rFonts w:hint="eastAsia" w:ascii="Times New Roman" w:hAnsi="Times New Roman" w:eastAsia="宋体"/>
                      <w:b w:val="0"/>
                      <w:bCs/>
                      <w:color w:val="000000" w:themeColor="text1"/>
                      <w:szCs w:val="21"/>
                      <w:highlight w:val="none"/>
                      <w14:textFill>
                        <w14:solidFill>
                          <w14:schemeClr w14:val="tx1"/>
                        </w14:solidFill>
                      </w14:textFill>
                    </w:rPr>
                    <w:t>南厂界</w:t>
                  </w:r>
                </w:p>
              </w:tc>
              <w:tc>
                <w:tcPr>
                  <w:tcW w:w="1564" w:type="dxa"/>
                  <w:tcBorders>
                    <w:top w:val="single" w:color="auto" w:sz="12" w:space="0"/>
                  </w:tcBorders>
                  <w:vAlign w:val="center"/>
                </w:tcPr>
                <w:p>
                  <w:pPr>
                    <w:pageBreakBefore w:val="0"/>
                    <w:kinsoku/>
                    <w:bidi w:val="0"/>
                    <w:snapToGrid w:val="0"/>
                    <w:spacing w:beforeAutospacing="0" w:afterAutospacing="0"/>
                    <w:jc w:val="center"/>
                    <w:rPr>
                      <w:rFonts w:ascii="Times New Roman" w:hAnsi="Times New Roman" w:eastAsia="宋体"/>
                      <w:b w:val="0"/>
                      <w:bCs/>
                      <w:color w:val="000000" w:themeColor="text1"/>
                      <w:szCs w:val="21"/>
                      <w:highlight w:val="none"/>
                      <w14:textFill>
                        <w14:solidFill>
                          <w14:schemeClr w14:val="tx1"/>
                        </w14:solidFill>
                      </w14:textFill>
                    </w:rPr>
                  </w:pPr>
                  <w:r>
                    <w:rPr>
                      <w:rFonts w:hint="eastAsia" w:ascii="Times New Roman" w:hAnsi="Times New Roman" w:eastAsia="宋体"/>
                      <w:b w:val="0"/>
                      <w:bCs/>
                      <w:color w:val="000000" w:themeColor="text1"/>
                      <w:szCs w:val="21"/>
                      <w:highlight w:val="none"/>
                      <w14:textFill>
                        <w14:solidFill>
                          <w14:schemeClr w14:val="tx1"/>
                        </w14:solidFill>
                      </w14:textFill>
                    </w:rPr>
                    <w:t>西厂界</w:t>
                  </w:r>
                </w:p>
              </w:tc>
              <w:tc>
                <w:tcPr>
                  <w:tcW w:w="1565" w:type="dxa"/>
                  <w:tcBorders>
                    <w:top w:val="single" w:color="auto" w:sz="12" w:space="0"/>
                  </w:tcBorders>
                  <w:vAlign w:val="center"/>
                </w:tcPr>
                <w:p>
                  <w:pPr>
                    <w:pageBreakBefore w:val="0"/>
                    <w:kinsoku/>
                    <w:bidi w:val="0"/>
                    <w:snapToGrid w:val="0"/>
                    <w:spacing w:beforeAutospacing="0" w:afterAutospacing="0"/>
                    <w:jc w:val="center"/>
                    <w:rPr>
                      <w:rFonts w:ascii="Times New Roman" w:hAnsi="Times New Roman" w:eastAsia="宋体"/>
                      <w:b w:val="0"/>
                      <w:bCs/>
                      <w:color w:val="000000" w:themeColor="text1"/>
                      <w:szCs w:val="21"/>
                      <w:highlight w:val="none"/>
                      <w14:textFill>
                        <w14:solidFill>
                          <w14:schemeClr w14:val="tx1"/>
                        </w14:solidFill>
                      </w14:textFill>
                    </w:rPr>
                  </w:pPr>
                  <w:r>
                    <w:rPr>
                      <w:rFonts w:hint="eastAsia" w:ascii="Times New Roman" w:hAnsi="Times New Roman" w:eastAsia="宋体"/>
                      <w:b w:val="0"/>
                      <w:bCs/>
                      <w:color w:val="000000" w:themeColor="text1"/>
                      <w:szCs w:val="21"/>
                      <w:highlight w:val="none"/>
                      <w14:textFill>
                        <w14:solidFill>
                          <w14:schemeClr w14:val="tx1"/>
                        </w14:solidFill>
                      </w14:textFill>
                    </w:rPr>
                    <w:t>北厂界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03" w:type="dxa"/>
                  <w:vAlign w:val="center"/>
                </w:tcPr>
                <w:p>
                  <w:pPr>
                    <w:pageBreakBefore w:val="0"/>
                    <w:kinsoku/>
                    <w:bidi w:val="0"/>
                    <w:snapToGrid w:val="0"/>
                    <w:spacing w:beforeAutospacing="0" w:afterAutospacing="0"/>
                    <w:jc w:val="center"/>
                    <w:rPr>
                      <w:rFonts w:ascii="Times New Roman" w:hAnsi="Times New Roman" w:eastAsia="宋体"/>
                      <w:b w:val="0"/>
                      <w:bCs/>
                      <w:color w:val="000000" w:themeColor="text1"/>
                      <w:szCs w:val="21"/>
                      <w:highlight w:val="none"/>
                      <w14:textFill>
                        <w14:solidFill>
                          <w14:schemeClr w14:val="tx1"/>
                        </w14:solidFill>
                      </w14:textFill>
                    </w:rPr>
                  </w:pPr>
                  <w:r>
                    <w:rPr>
                      <w:rFonts w:hint="eastAsia" w:ascii="Times New Roman" w:hAnsi="Times New Roman" w:eastAsia="宋体"/>
                      <w:b w:val="0"/>
                      <w:bCs/>
                      <w:color w:val="000000" w:themeColor="text1"/>
                      <w:szCs w:val="21"/>
                      <w:highlight w:val="none"/>
                      <w14:textFill>
                        <w14:solidFill>
                          <w14:schemeClr w14:val="tx1"/>
                        </w14:solidFill>
                      </w14:textFill>
                    </w:rPr>
                    <w:t>距离（</w:t>
                  </w:r>
                  <w:r>
                    <w:rPr>
                      <w:rFonts w:ascii="Times New Roman" w:hAnsi="Times New Roman" w:eastAsia="宋体"/>
                      <w:b w:val="0"/>
                      <w:bCs/>
                      <w:color w:val="000000" w:themeColor="text1"/>
                      <w:szCs w:val="21"/>
                      <w:highlight w:val="none"/>
                      <w14:textFill>
                        <w14:solidFill>
                          <w14:schemeClr w14:val="tx1"/>
                        </w14:solidFill>
                      </w14:textFill>
                    </w:rPr>
                    <w:t>m</w:t>
                  </w:r>
                  <w:r>
                    <w:rPr>
                      <w:rFonts w:hint="eastAsia" w:ascii="Times New Roman" w:hAnsi="Times New Roman" w:eastAsia="宋体"/>
                      <w:b w:val="0"/>
                      <w:bCs/>
                      <w:color w:val="000000" w:themeColor="text1"/>
                      <w:szCs w:val="21"/>
                      <w:highlight w:val="none"/>
                      <w14:textFill>
                        <w14:solidFill>
                          <w14:schemeClr w14:val="tx1"/>
                        </w14:solidFill>
                      </w14:textFill>
                    </w:rPr>
                    <w:t>）</w:t>
                  </w:r>
                </w:p>
              </w:tc>
              <w:tc>
                <w:tcPr>
                  <w:tcW w:w="1453" w:type="dxa"/>
                  <w:vAlign w:val="center"/>
                </w:tcPr>
                <w:p>
                  <w:pPr>
                    <w:pageBreakBefore w:val="0"/>
                    <w:kinsoku/>
                    <w:bidi w:val="0"/>
                    <w:snapToGrid w:val="0"/>
                    <w:spacing w:beforeAutospacing="0" w:afterAutospacing="0"/>
                    <w:jc w:val="center"/>
                    <w:rPr>
                      <w:rFonts w:ascii="Times New Roman" w:hAnsi="Times New Roman" w:eastAsia="宋体"/>
                      <w:b w:val="0"/>
                      <w:bCs/>
                      <w:color w:val="000000" w:themeColor="text1"/>
                      <w:szCs w:val="21"/>
                      <w:highlight w:val="none"/>
                      <w14:textFill>
                        <w14:solidFill>
                          <w14:schemeClr w14:val="tx1"/>
                        </w14:solidFill>
                      </w14:textFill>
                    </w:rPr>
                  </w:pPr>
                  <w:r>
                    <w:rPr>
                      <w:rFonts w:ascii="Times New Roman" w:hAnsi="Times New Roman" w:eastAsia="宋体"/>
                      <w:b w:val="0"/>
                      <w:bCs/>
                      <w:color w:val="000000" w:themeColor="text1"/>
                      <w:szCs w:val="21"/>
                      <w:highlight w:val="none"/>
                      <w14:textFill>
                        <w14:solidFill>
                          <w14:schemeClr w14:val="tx1"/>
                        </w14:solidFill>
                      </w14:textFill>
                    </w:rPr>
                    <w:t>50</w:t>
                  </w:r>
                </w:p>
              </w:tc>
              <w:tc>
                <w:tcPr>
                  <w:tcW w:w="1568" w:type="dxa"/>
                  <w:vAlign w:val="center"/>
                </w:tcPr>
                <w:p>
                  <w:pPr>
                    <w:pageBreakBefore w:val="0"/>
                    <w:kinsoku/>
                    <w:bidi w:val="0"/>
                    <w:snapToGrid w:val="0"/>
                    <w:spacing w:beforeAutospacing="0" w:afterAutospacing="0"/>
                    <w:jc w:val="center"/>
                    <w:rPr>
                      <w:rFonts w:ascii="Times New Roman" w:hAnsi="Times New Roman" w:eastAsia="宋体"/>
                      <w:b w:val="0"/>
                      <w:bCs/>
                      <w:color w:val="000000" w:themeColor="text1"/>
                      <w:szCs w:val="21"/>
                      <w:highlight w:val="none"/>
                      <w14:textFill>
                        <w14:solidFill>
                          <w14:schemeClr w14:val="tx1"/>
                        </w14:solidFill>
                      </w14:textFill>
                    </w:rPr>
                  </w:pPr>
                  <w:r>
                    <w:rPr>
                      <w:rFonts w:ascii="Times New Roman" w:hAnsi="Times New Roman" w:eastAsia="宋体"/>
                      <w:b w:val="0"/>
                      <w:bCs/>
                      <w:color w:val="000000" w:themeColor="text1"/>
                      <w:szCs w:val="21"/>
                      <w:highlight w:val="none"/>
                      <w14:textFill>
                        <w14:solidFill>
                          <w14:schemeClr w14:val="tx1"/>
                        </w14:solidFill>
                      </w14:textFill>
                    </w:rPr>
                    <w:t>60</w:t>
                  </w:r>
                </w:p>
              </w:tc>
              <w:tc>
                <w:tcPr>
                  <w:tcW w:w="1564" w:type="dxa"/>
                  <w:vAlign w:val="center"/>
                </w:tcPr>
                <w:p>
                  <w:pPr>
                    <w:pageBreakBefore w:val="0"/>
                    <w:kinsoku/>
                    <w:bidi w:val="0"/>
                    <w:snapToGrid w:val="0"/>
                    <w:spacing w:beforeAutospacing="0" w:afterAutospacing="0"/>
                    <w:jc w:val="center"/>
                    <w:rPr>
                      <w:rFonts w:ascii="Times New Roman" w:hAnsi="Times New Roman" w:eastAsia="宋体"/>
                      <w:b w:val="0"/>
                      <w:bCs/>
                      <w:color w:val="000000" w:themeColor="text1"/>
                      <w:szCs w:val="21"/>
                      <w:highlight w:val="none"/>
                      <w14:textFill>
                        <w14:solidFill>
                          <w14:schemeClr w14:val="tx1"/>
                        </w14:solidFill>
                      </w14:textFill>
                    </w:rPr>
                  </w:pPr>
                  <w:r>
                    <w:rPr>
                      <w:rFonts w:ascii="Times New Roman" w:hAnsi="Times New Roman" w:eastAsia="宋体"/>
                      <w:b w:val="0"/>
                      <w:bCs/>
                      <w:color w:val="000000" w:themeColor="text1"/>
                      <w:szCs w:val="21"/>
                      <w:highlight w:val="none"/>
                      <w14:textFill>
                        <w14:solidFill>
                          <w14:schemeClr w14:val="tx1"/>
                        </w14:solidFill>
                      </w14:textFill>
                    </w:rPr>
                    <w:t>40</w:t>
                  </w:r>
                </w:p>
              </w:tc>
              <w:tc>
                <w:tcPr>
                  <w:tcW w:w="1565" w:type="dxa"/>
                  <w:vAlign w:val="center"/>
                </w:tcPr>
                <w:p>
                  <w:pPr>
                    <w:pageBreakBefore w:val="0"/>
                    <w:kinsoku/>
                    <w:bidi w:val="0"/>
                    <w:snapToGrid w:val="0"/>
                    <w:spacing w:beforeAutospacing="0" w:afterAutospacing="0"/>
                    <w:jc w:val="center"/>
                    <w:rPr>
                      <w:rFonts w:ascii="Times New Roman" w:hAnsi="Times New Roman" w:eastAsia="宋体"/>
                      <w:b w:val="0"/>
                      <w:bCs/>
                      <w:color w:val="000000" w:themeColor="text1"/>
                      <w:szCs w:val="21"/>
                      <w:highlight w:val="none"/>
                      <w14:textFill>
                        <w14:solidFill>
                          <w14:schemeClr w14:val="tx1"/>
                        </w14:solidFill>
                      </w14:textFill>
                    </w:rPr>
                  </w:pPr>
                  <w:r>
                    <w:rPr>
                      <w:rFonts w:ascii="Times New Roman" w:hAnsi="Times New Roman" w:eastAsia="宋体"/>
                      <w:b w:val="0"/>
                      <w:bCs/>
                      <w:color w:val="000000" w:themeColor="text1"/>
                      <w:szCs w:val="21"/>
                      <w:highlight w:val="none"/>
                      <w14:textFill>
                        <w14:solidFill>
                          <w14:schemeClr w14:val="tx1"/>
                        </w14:solidFill>
                      </w14:textFill>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03" w:type="dxa"/>
                  <w:tcBorders>
                    <w:bottom w:val="single" w:color="auto" w:sz="12" w:space="0"/>
                  </w:tcBorders>
                  <w:vAlign w:val="center"/>
                </w:tcPr>
                <w:p>
                  <w:pPr>
                    <w:pageBreakBefore w:val="0"/>
                    <w:kinsoku/>
                    <w:bidi w:val="0"/>
                    <w:snapToGrid w:val="0"/>
                    <w:spacing w:beforeAutospacing="0" w:afterAutospacing="0"/>
                    <w:jc w:val="center"/>
                    <w:rPr>
                      <w:rFonts w:ascii="Times New Roman" w:hAnsi="Times New Roman" w:eastAsia="宋体"/>
                      <w:b w:val="0"/>
                      <w:bCs/>
                      <w:color w:val="000000" w:themeColor="text1"/>
                      <w:szCs w:val="21"/>
                      <w:highlight w:val="none"/>
                      <w14:textFill>
                        <w14:solidFill>
                          <w14:schemeClr w14:val="tx1"/>
                        </w14:solidFill>
                      </w14:textFill>
                    </w:rPr>
                  </w:pPr>
                  <w:r>
                    <w:rPr>
                      <w:rFonts w:hint="eastAsia" w:ascii="Times New Roman" w:hAnsi="Times New Roman" w:eastAsia="宋体"/>
                      <w:b w:val="0"/>
                      <w:bCs/>
                      <w:color w:val="000000" w:themeColor="text1"/>
                      <w:szCs w:val="21"/>
                      <w:highlight w:val="none"/>
                      <w14:textFill>
                        <w14:solidFill>
                          <w14:schemeClr w14:val="tx1"/>
                        </w14:solidFill>
                      </w14:textFill>
                    </w:rPr>
                    <w:t>贡献值（</w:t>
                  </w:r>
                  <w:r>
                    <w:rPr>
                      <w:rFonts w:ascii="Times New Roman" w:hAnsi="Times New Roman" w:eastAsia="宋体"/>
                      <w:b w:val="0"/>
                      <w:bCs/>
                      <w:color w:val="000000" w:themeColor="text1"/>
                      <w:szCs w:val="21"/>
                      <w:highlight w:val="none"/>
                      <w14:textFill>
                        <w14:solidFill>
                          <w14:schemeClr w14:val="tx1"/>
                        </w14:solidFill>
                      </w14:textFill>
                    </w:rPr>
                    <w:t>dB</w:t>
                  </w:r>
                  <w:r>
                    <w:rPr>
                      <w:rFonts w:hint="eastAsia" w:ascii="Times New Roman" w:hAnsi="Times New Roman" w:eastAsia="宋体"/>
                      <w:b w:val="0"/>
                      <w:bCs/>
                      <w:color w:val="000000" w:themeColor="text1"/>
                      <w:szCs w:val="21"/>
                      <w:highlight w:val="none"/>
                      <w14:textFill>
                        <w14:solidFill>
                          <w14:schemeClr w14:val="tx1"/>
                        </w14:solidFill>
                      </w14:textFill>
                    </w:rPr>
                    <w:t>）</w:t>
                  </w:r>
                </w:p>
              </w:tc>
              <w:tc>
                <w:tcPr>
                  <w:tcW w:w="1453" w:type="dxa"/>
                  <w:tcBorders>
                    <w:bottom w:val="single" w:color="auto" w:sz="12" w:space="0"/>
                  </w:tcBorders>
                  <w:vAlign w:val="center"/>
                </w:tcPr>
                <w:p>
                  <w:pPr>
                    <w:pageBreakBefore w:val="0"/>
                    <w:kinsoku/>
                    <w:bidi w:val="0"/>
                    <w:snapToGrid w:val="0"/>
                    <w:spacing w:beforeAutospacing="0" w:afterAutospacing="0"/>
                    <w:jc w:val="center"/>
                    <w:rPr>
                      <w:rFonts w:ascii="Times New Roman" w:hAnsi="Times New Roman" w:eastAsia="宋体"/>
                      <w:b w:val="0"/>
                      <w:bCs/>
                      <w:color w:val="000000" w:themeColor="text1"/>
                      <w:szCs w:val="21"/>
                      <w:highlight w:val="none"/>
                      <w14:textFill>
                        <w14:solidFill>
                          <w14:schemeClr w14:val="tx1"/>
                        </w14:solidFill>
                      </w14:textFill>
                    </w:rPr>
                  </w:pPr>
                  <w:r>
                    <w:rPr>
                      <w:rFonts w:hint="eastAsia" w:ascii="Times New Roman" w:hAnsi="Times New Roman" w:eastAsia="宋体"/>
                      <w:b w:val="0"/>
                      <w:bCs/>
                      <w:color w:val="000000" w:themeColor="text1"/>
                      <w:szCs w:val="21"/>
                      <w:highlight w:val="none"/>
                      <w14:textFill>
                        <w14:solidFill>
                          <w14:schemeClr w14:val="tx1"/>
                        </w14:solidFill>
                      </w14:textFill>
                    </w:rPr>
                    <w:t>41.5</w:t>
                  </w:r>
                </w:p>
              </w:tc>
              <w:tc>
                <w:tcPr>
                  <w:tcW w:w="1568" w:type="dxa"/>
                  <w:tcBorders>
                    <w:bottom w:val="single" w:color="auto" w:sz="12" w:space="0"/>
                  </w:tcBorders>
                  <w:vAlign w:val="center"/>
                </w:tcPr>
                <w:p>
                  <w:pPr>
                    <w:pageBreakBefore w:val="0"/>
                    <w:kinsoku/>
                    <w:bidi w:val="0"/>
                    <w:snapToGrid w:val="0"/>
                    <w:spacing w:beforeAutospacing="0" w:afterAutospacing="0"/>
                    <w:jc w:val="center"/>
                    <w:rPr>
                      <w:rFonts w:ascii="Times New Roman" w:hAnsi="Times New Roman" w:eastAsia="宋体"/>
                      <w:b w:val="0"/>
                      <w:bCs/>
                      <w:color w:val="000000" w:themeColor="text1"/>
                      <w:szCs w:val="21"/>
                      <w:highlight w:val="none"/>
                      <w14:textFill>
                        <w14:solidFill>
                          <w14:schemeClr w14:val="tx1"/>
                        </w14:solidFill>
                      </w14:textFill>
                    </w:rPr>
                  </w:pPr>
                  <w:r>
                    <w:rPr>
                      <w:rFonts w:hint="eastAsia" w:ascii="Times New Roman" w:hAnsi="Times New Roman" w:eastAsia="宋体"/>
                      <w:b w:val="0"/>
                      <w:bCs/>
                      <w:color w:val="000000" w:themeColor="text1"/>
                      <w:szCs w:val="21"/>
                      <w:highlight w:val="none"/>
                      <w14:textFill>
                        <w14:solidFill>
                          <w14:schemeClr w14:val="tx1"/>
                        </w14:solidFill>
                      </w14:textFill>
                    </w:rPr>
                    <w:t>39.9</w:t>
                  </w:r>
                </w:p>
              </w:tc>
              <w:tc>
                <w:tcPr>
                  <w:tcW w:w="1564" w:type="dxa"/>
                  <w:tcBorders>
                    <w:bottom w:val="single" w:color="auto" w:sz="12" w:space="0"/>
                  </w:tcBorders>
                  <w:vAlign w:val="center"/>
                </w:tcPr>
                <w:p>
                  <w:pPr>
                    <w:pageBreakBefore w:val="0"/>
                    <w:kinsoku/>
                    <w:bidi w:val="0"/>
                    <w:snapToGrid w:val="0"/>
                    <w:spacing w:beforeAutospacing="0" w:afterAutospacing="0"/>
                    <w:jc w:val="center"/>
                    <w:rPr>
                      <w:rFonts w:ascii="Times New Roman" w:hAnsi="Times New Roman" w:eastAsia="宋体"/>
                      <w:b w:val="0"/>
                      <w:bCs/>
                      <w:color w:val="000000" w:themeColor="text1"/>
                      <w:szCs w:val="21"/>
                      <w:highlight w:val="none"/>
                      <w14:textFill>
                        <w14:solidFill>
                          <w14:schemeClr w14:val="tx1"/>
                        </w14:solidFill>
                      </w14:textFill>
                    </w:rPr>
                  </w:pPr>
                  <w:r>
                    <w:rPr>
                      <w:rFonts w:hint="eastAsia" w:ascii="Times New Roman" w:hAnsi="Times New Roman" w:eastAsia="宋体"/>
                      <w:b w:val="0"/>
                      <w:bCs/>
                      <w:color w:val="000000" w:themeColor="text1"/>
                      <w:szCs w:val="21"/>
                      <w:highlight w:val="none"/>
                      <w14:textFill>
                        <w14:solidFill>
                          <w14:schemeClr w14:val="tx1"/>
                        </w14:solidFill>
                      </w14:textFill>
                    </w:rPr>
                    <w:t>43.4</w:t>
                  </w:r>
                </w:p>
              </w:tc>
              <w:tc>
                <w:tcPr>
                  <w:tcW w:w="1565" w:type="dxa"/>
                  <w:tcBorders>
                    <w:bottom w:val="single" w:color="auto" w:sz="12" w:space="0"/>
                  </w:tcBorders>
                  <w:vAlign w:val="center"/>
                </w:tcPr>
                <w:p>
                  <w:pPr>
                    <w:pageBreakBefore w:val="0"/>
                    <w:kinsoku/>
                    <w:bidi w:val="0"/>
                    <w:snapToGrid w:val="0"/>
                    <w:spacing w:beforeAutospacing="0" w:afterAutospacing="0"/>
                    <w:jc w:val="center"/>
                    <w:rPr>
                      <w:rFonts w:ascii="Times New Roman" w:hAnsi="Times New Roman" w:eastAsia="宋体"/>
                      <w:b w:val="0"/>
                      <w:bCs/>
                      <w:color w:val="000000" w:themeColor="text1"/>
                      <w:szCs w:val="21"/>
                      <w:highlight w:val="none"/>
                      <w14:textFill>
                        <w14:solidFill>
                          <w14:schemeClr w14:val="tx1"/>
                        </w14:solidFill>
                      </w14:textFill>
                    </w:rPr>
                  </w:pPr>
                  <w:r>
                    <w:rPr>
                      <w:rFonts w:hint="eastAsia" w:ascii="Times New Roman" w:hAnsi="Times New Roman" w:eastAsia="宋体"/>
                      <w:b w:val="0"/>
                      <w:bCs/>
                      <w:color w:val="000000" w:themeColor="text1"/>
                      <w:szCs w:val="21"/>
                      <w:highlight w:val="none"/>
                      <w14:textFill>
                        <w14:solidFill>
                          <w14:schemeClr w14:val="tx1"/>
                        </w14:solidFill>
                      </w14:textFill>
                    </w:rPr>
                    <w:t>41.5</w:t>
                  </w:r>
                </w:p>
              </w:tc>
            </w:tr>
          </w:tbl>
          <w:p>
            <w:pPr>
              <w:pStyle w:val="22"/>
              <w:pageBreakBefore w:val="0"/>
              <w:kinsoku/>
              <w:bidi w:val="0"/>
              <w:spacing w:beforeAutospacing="0" w:after="0" w:afterAutospacing="0" w:line="360" w:lineRule="auto"/>
              <w:ind w:left="0" w:leftChars="0"/>
              <w:jc w:val="left"/>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spacing w:val="-6"/>
                <w:sz w:val="24"/>
                <w:szCs w:val="32"/>
                <w:highlight w:val="none"/>
                <w14:textFill>
                  <w14:solidFill>
                    <w14:schemeClr w14:val="tx1"/>
                  </w14:solidFill>
                </w14:textFill>
              </w:rPr>
              <w:t>根据上表中的预测结果，项目</w:t>
            </w:r>
            <w:r>
              <w:rPr>
                <w:rFonts w:hint="eastAsia" w:ascii="Times New Roman" w:hAnsi="Times New Roman" w:eastAsia="宋体"/>
                <w:color w:val="000000" w:themeColor="text1"/>
                <w:spacing w:val="-6"/>
                <w:sz w:val="24"/>
                <w:szCs w:val="32"/>
                <w:highlight w:val="none"/>
                <w:lang w:eastAsia="zh-CN"/>
                <w14:textFill>
                  <w14:solidFill>
                    <w14:schemeClr w14:val="tx1"/>
                  </w14:solidFill>
                </w14:textFill>
              </w:rPr>
              <w:t>噪声</w:t>
            </w:r>
            <w:r>
              <w:rPr>
                <w:rFonts w:hint="eastAsia" w:ascii="Times New Roman" w:hAnsi="Times New Roman" w:eastAsia="宋体"/>
                <w:color w:val="000000" w:themeColor="text1"/>
                <w:spacing w:val="-6"/>
                <w:sz w:val="24"/>
                <w:szCs w:val="32"/>
                <w:highlight w:val="none"/>
                <w14:textFill>
                  <w14:solidFill>
                    <w14:schemeClr w14:val="tx1"/>
                  </w14:solidFill>
                </w14:textFill>
              </w:rPr>
              <w:t>在</w:t>
            </w:r>
            <w:r>
              <w:rPr>
                <w:rFonts w:hint="eastAsia" w:ascii="Times New Roman" w:hAnsi="Times New Roman" w:eastAsia="宋体"/>
                <w:color w:val="000000" w:themeColor="text1"/>
                <w:spacing w:val="-6"/>
                <w:sz w:val="24"/>
                <w:szCs w:val="32"/>
                <w:highlight w:val="none"/>
                <w:lang w:eastAsia="zh-CN"/>
                <w14:textFill>
                  <w14:solidFill>
                    <w14:schemeClr w14:val="tx1"/>
                  </w14:solidFill>
                </w14:textFill>
              </w:rPr>
              <w:t>经过隔声</w:t>
            </w:r>
            <w:r>
              <w:rPr>
                <w:rFonts w:hint="eastAsia" w:ascii="Times New Roman" w:hAnsi="Times New Roman" w:eastAsia="宋体"/>
                <w:color w:val="000000" w:themeColor="text1"/>
                <w:spacing w:val="-6"/>
                <w:sz w:val="24"/>
                <w:szCs w:val="32"/>
                <w:highlight w:val="none"/>
                <w14:textFill>
                  <w14:solidFill>
                    <w14:schemeClr w14:val="tx1"/>
                  </w14:solidFill>
                </w14:textFill>
              </w:rPr>
              <w:t>、空间距离衰减的情况</w:t>
            </w:r>
            <w:r>
              <w:rPr>
                <w:rFonts w:hint="eastAsia" w:ascii="Times New Roman" w:hAnsi="Times New Roman" w:eastAsia="宋体"/>
                <w:color w:val="000000" w:themeColor="text1"/>
                <w:spacing w:val="-6"/>
                <w:sz w:val="24"/>
                <w:szCs w:val="32"/>
                <w:highlight w:val="none"/>
                <w:lang w:eastAsia="zh-CN"/>
                <w14:textFill>
                  <w14:solidFill>
                    <w14:schemeClr w14:val="tx1"/>
                  </w14:solidFill>
                </w14:textFill>
              </w:rPr>
              <w:t>，厂界四周均能满足</w:t>
            </w:r>
            <w:r>
              <w:rPr>
                <w:rFonts w:ascii="Times New Roman" w:hAnsi="Times New Roman" w:eastAsia="宋体"/>
                <w:color w:val="000000" w:themeColor="text1"/>
                <w:spacing w:val="-6"/>
                <w:sz w:val="24"/>
                <w:szCs w:val="32"/>
                <w:highlight w:val="none"/>
                <w14:textFill>
                  <w14:solidFill>
                    <w14:schemeClr w14:val="tx1"/>
                  </w14:solidFill>
                </w14:textFill>
              </w:rPr>
              <w:t>GB</w:t>
            </w:r>
            <w:r>
              <w:rPr>
                <w:rFonts w:ascii="Times New Roman" w:hAnsi="Times New Roman" w:eastAsia="宋体"/>
                <w:color w:val="000000" w:themeColor="text1"/>
                <w:sz w:val="24"/>
                <w:szCs w:val="32"/>
                <w:highlight w:val="none"/>
                <w14:textFill>
                  <w14:solidFill>
                    <w14:schemeClr w14:val="tx1"/>
                  </w14:solidFill>
                </w14:textFill>
              </w:rPr>
              <w:t>12348-2008</w:t>
            </w:r>
            <w:r>
              <w:rPr>
                <w:rFonts w:hint="eastAsia" w:ascii="Times New Roman" w:hAnsi="Times New Roman" w:eastAsia="宋体"/>
                <w:color w:val="000000" w:themeColor="text1"/>
                <w:sz w:val="24"/>
                <w:szCs w:val="32"/>
                <w:highlight w:val="none"/>
                <w14:textFill>
                  <w14:solidFill>
                    <w14:schemeClr w14:val="tx1"/>
                  </w14:solidFill>
                </w14:textFill>
              </w:rPr>
              <w:t>《工业企业厂界环境噪声排放标准》中的</w:t>
            </w:r>
            <w:r>
              <w:rPr>
                <w:rFonts w:hint="eastAsia" w:ascii="Times New Roman" w:hAnsi="Times New Roman" w:eastAsia="宋体"/>
                <w:color w:val="000000" w:themeColor="text1"/>
                <w:sz w:val="24"/>
                <w:szCs w:val="32"/>
                <w:highlight w:val="none"/>
                <w:lang w:val="en-US" w:eastAsia="zh-CN"/>
                <w14:textFill>
                  <w14:solidFill>
                    <w14:schemeClr w14:val="tx1"/>
                  </w14:solidFill>
                </w14:textFill>
              </w:rPr>
              <w:t>2</w:t>
            </w:r>
            <w:r>
              <w:rPr>
                <w:rFonts w:hint="eastAsia" w:ascii="Times New Roman" w:hAnsi="Times New Roman" w:eastAsia="宋体"/>
                <w:color w:val="000000" w:themeColor="text1"/>
                <w:sz w:val="24"/>
                <w:szCs w:val="32"/>
                <w:highlight w:val="none"/>
                <w14:textFill>
                  <w14:solidFill>
                    <w14:schemeClr w14:val="tx1"/>
                  </w14:solidFill>
                </w14:textFill>
              </w:rPr>
              <w:t>类标准</w:t>
            </w:r>
            <w:r>
              <w:rPr>
                <w:rFonts w:hint="eastAsia" w:ascii="Times New Roman" w:hAnsi="Times New Roman" w:eastAsia="宋体"/>
                <w:color w:val="000000" w:themeColor="text1"/>
                <w:sz w:val="24"/>
                <w:szCs w:val="32"/>
                <w:highlight w:val="none"/>
                <w:lang w:eastAsia="zh-CN"/>
                <w14:textFill>
                  <w14:solidFill>
                    <w14:schemeClr w14:val="tx1"/>
                  </w14:solidFill>
                </w14:textFill>
              </w:rPr>
              <w:t>（</w:t>
            </w:r>
            <w:r>
              <w:rPr>
                <w:rFonts w:hint="eastAsia" w:ascii="Times New Roman" w:hAnsi="Times New Roman" w:eastAsia="宋体"/>
                <w:color w:val="000000" w:themeColor="text1"/>
                <w:sz w:val="24"/>
                <w:szCs w:val="32"/>
                <w:highlight w:val="none"/>
                <w14:textFill>
                  <w14:solidFill>
                    <w14:schemeClr w14:val="tx1"/>
                  </w14:solidFill>
                </w14:textFill>
              </w:rPr>
              <w:t>即昼间</w:t>
            </w:r>
            <w:r>
              <w:rPr>
                <w:rFonts w:ascii="Times New Roman" w:hAnsi="Times New Roman" w:eastAsia="宋体"/>
                <w:color w:val="000000" w:themeColor="text1"/>
                <w:sz w:val="24"/>
                <w:szCs w:val="32"/>
                <w:highlight w:val="none"/>
                <w14:textFill>
                  <w14:solidFill>
                    <w14:schemeClr w14:val="tx1"/>
                  </w14:solidFill>
                </w14:textFill>
              </w:rPr>
              <w:t>≤6</w:t>
            </w:r>
            <w:r>
              <w:rPr>
                <w:rFonts w:hint="eastAsia" w:ascii="Times New Roman" w:hAnsi="Times New Roman" w:eastAsia="宋体"/>
                <w:color w:val="000000" w:themeColor="text1"/>
                <w:sz w:val="24"/>
                <w:szCs w:val="32"/>
                <w:highlight w:val="none"/>
                <w:lang w:val="en-US" w:eastAsia="zh-CN"/>
                <w14:textFill>
                  <w14:solidFill>
                    <w14:schemeClr w14:val="tx1"/>
                  </w14:solidFill>
                </w14:textFill>
              </w:rPr>
              <w:t>0</w:t>
            </w:r>
            <w:r>
              <w:rPr>
                <w:rFonts w:ascii="Times New Roman" w:hAnsi="Times New Roman" w:eastAsia="宋体"/>
                <w:color w:val="000000" w:themeColor="text1"/>
                <w:sz w:val="24"/>
                <w:szCs w:val="32"/>
                <w:highlight w:val="none"/>
                <w14:textFill>
                  <w14:solidFill>
                    <w14:schemeClr w14:val="tx1"/>
                  </w14:solidFill>
                </w14:textFill>
              </w:rPr>
              <w:t>dB</w:t>
            </w:r>
            <w:r>
              <w:rPr>
                <w:rFonts w:hint="eastAsia" w:ascii="Times New Roman" w:hAnsi="Times New Roman" w:eastAsia="宋体"/>
                <w:color w:val="000000" w:themeColor="text1"/>
                <w:sz w:val="24"/>
                <w:szCs w:val="32"/>
                <w:highlight w:val="none"/>
                <w14:textFill>
                  <w14:solidFill>
                    <w14:schemeClr w14:val="tx1"/>
                  </w14:solidFill>
                </w14:textFill>
              </w:rPr>
              <w:t>（</w:t>
            </w:r>
            <w:r>
              <w:rPr>
                <w:rFonts w:ascii="Times New Roman" w:hAnsi="Times New Roman" w:eastAsia="宋体"/>
                <w:color w:val="000000" w:themeColor="text1"/>
                <w:sz w:val="24"/>
                <w:szCs w:val="32"/>
                <w:highlight w:val="none"/>
                <w14:textFill>
                  <w14:solidFill>
                    <w14:schemeClr w14:val="tx1"/>
                  </w14:solidFill>
                </w14:textFill>
              </w:rPr>
              <w:t>A</w:t>
            </w:r>
            <w:r>
              <w:rPr>
                <w:rFonts w:hint="eastAsia" w:ascii="Times New Roman" w:hAnsi="Times New Roman" w:eastAsia="宋体"/>
                <w:color w:val="000000" w:themeColor="text1"/>
                <w:sz w:val="24"/>
                <w:szCs w:val="32"/>
                <w:highlight w:val="none"/>
                <w14:textFill>
                  <w14:solidFill>
                    <w14:schemeClr w14:val="tx1"/>
                  </w14:solidFill>
                </w14:textFill>
              </w:rPr>
              <w:t>），夜间</w:t>
            </w:r>
            <w:r>
              <w:rPr>
                <w:rFonts w:ascii="Times New Roman" w:hAnsi="Times New Roman" w:eastAsia="宋体"/>
                <w:color w:val="000000" w:themeColor="text1"/>
                <w:sz w:val="24"/>
                <w:szCs w:val="32"/>
                <w:highlight w:val="none"/>
                <w14:textFill>
                  <w14:solidFill>
                    <w14:schemeClr w14:val="tx1"/>
                  </w14:solidFill>
                </w14:textFill>
              </w:rPr>
              <w:t>≤5</w:t>
            </w:r>
            <w:r>
              <w:rPr>
                <w:rFonts w:hint="eastAsia" w:ascii="Times New Roman" w:hAnsi="Times New Roman" w:eastAsia="宋体"/>
                <w:color w:val="000000" w:themeColor="text1"/>
                <w:sz w:val="24"/>
                <w:szCs w:val="32"/>
                <w:highlight w:val="none"/>
                <w:lang w:val="en-US" w:eastAsia="zh-CN"/>
                <w14:textFill>
                  <w14:solidFill>
                    <w14:schemeClr w14:val="tx1"/>
                  </w14:solidFill>
                </w14:textFill>
              </w:rPr>
              <w:t>0</w:t>
            </w:r>
            <w:r>
              <w:rPr>
                <w:rFonts w:ascii="Times New Roman" w:hAnsi="Times New Roman" w:eastAsia="宋体"/>
                <w:color w:val="000000" w:themeColor="text1"/>
                <w:sz w:val="24"/>
                <w:szCs w:val="32"/>
                <w:highlight w:val="none"/>
                <w14:textFill>
                  <w14:solidFill>
                    <w14:schemeClr w14:val="tx1"/>
                  </w14:solidFill>
                </w14:textFill>
              </w:rPr>
              <w:t>dB</w:t>
            </w:r>
            <w:r>
              <w:rPr>
                <w:rFonts w:hint="eastAsia" w:ascii="Times New Roman" w:hAnsi="Times New Roman" w:eastAsia="宋体"/>
                <w:color w:val="000000" w:themeColor="text1"/>
                <w:sz w:val="24"/>
                <w:szCs w:val="32"/>
                <w:highlight w:val="none"/>
                <w14:textFill>
                  <w14:solidFill>
                    <w14:schemeClr w14:val="tx1"/>
                  </w14:solidFill>
                </w14:textFill>
              </w:rPr>
              <w:t>（</w:t>
            </w:r>
            <w:r>
              <w:rPr>
                <w:rFonts w:ascii="Times New Roman" w:hAnsi="Times New Roman" w:eastAsia="宋体"/>
                <w:color w:val="000000" w:themeColor="text1"/>
                <w:sz w:val="24"/>
                <w:szCs w:val="32"/>
                <w:highlight w:val="none"/>
                <w14:textFill>
                  <w14:solidFill>
                    <w14:schemeClr w14:val="tx1"/>
                  </w14:solidFill>
                </w14:textFill>
              </w:rPr>
              <w:t>A</w:t>
            </w:r>
            <w:r>
              <w:rPr>
                <w:rFonts w:hint="eastAsia" w:ascii="Times New Roman" w:hAnsi="Times New Roman" w:eastAsia="宋体"/>
                <w:color w:val="000000" w:themeColor="text1"/>
                <w:sz w:val="24"/>
                <w:szCs w:val="32"/>
                <w:highlight w:val="none"/>
                <w14:textFill>
                  <w14:solidFill>
                    <w14:schemeClr w14:val="tx1"/>
                  </w14:solidFill>
                </w14:textFill>
              </w:rPr>
              <w:t>）</w:t>
            </w:r>
            <w:r>
              <w:rPr>
                <w:rFonts w:hint="eastAsia" w:ascii="Times New Roman" w:hAnsi="Times New Roman" w:eastAsia="宋体"/>
                <w:color w:val="000000" w:themeColor="text1"/>
                <w:sz w:val="24"/>
                <w:szCs w:val="32"/>
                <w:highlight w:val="none"/>
                <w:lang w:eastAsia="zh-CN"/>
                <w14:textFill>
                  <w14:solidFill>
                    <w14:schemeClr w14:val="tx1"/>
                  </w14:solidFill>
                </w14:textFill>
              </w:rPr>
              <w:t>）</w:t>
            </w:r>
            <w:r>
              <w:rPr>
                <w:rFonts w:hint="eastAsia" w:ascii="Times New Roman" w:hAnsi="Times New Roman" w:eastAsia="宋体"/>
                <w:color w:val="000000" w:themeColor="text1"/>
                <w:sz w:val="24"/>
                <w:szCs w:val="32"/>
                <w:highlight w:val="none"/>
                <w14:textFill>
                  <w14:solidFill>
                    <w14:schemeClr w14:val="tx1"/>
                  </w14:solidFill>
                </w14:textFill>
              </w:rPr>
              <w:t>。因此，项目对周边声环境影响较小</w:t>
            </w:r>
            <w:r>
              <w:rPr>
                <w:rFonts w:ascii="Times New Roman" w:hAnsi="Times New Roman" w:eastAsia="宋体"/>
                <w:color w:val="000000" w:themeColor="text1"/>
                <w:sz w:val="24"/>
                <w:szCs w:val="32"/>
                <w:highlight w:val="none"/>
                <w14:textFill>
                  <w14:solidFill>
                    <w14:schemeClr w14:val="tx1"/>
                  </w14:solidFill>
                </w14:textFill>
              </w:rPr>
              <w:t>。</w:t>
            </w:r>
          </w:p>
          <w:p>
            <w:pPr>
              <w:pStyle w:val="11"/>
              <w:pageBreakBefore w:val="0"/>
              <w:kinsoku/>
              <w:bidi w:val="0"/>
              <w:spacing w:beforeAutospacing="0" w:afterAutospacing="0"/>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4</w:t>
            </w:r>
            <w:r>
              <w:rPr>
                <w:rFonts w:hint="default" w:ascii="Times New Roman" w:hAnsi="Times New Roman" w:eastAsia="宋体"/>
                <w:color w:val="000000" w:themeColor="text1"/>
                <w:lang w:val="en-US" w:eastAsia="zh-CN"/>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10固体废物环境影响分析</w:t>
            </w:r>
          </w:p>
          <w:p>
            <w:pPr>
              <w:pStyle w:val="22"/>
              <w:pageBreakBefore w:val="0"/>
              <w:kinsoku/>
              <w:bidi w:val="0"/>
              <w:spacing w:beforeAutospacing="0" w:after="0" w:afterAutospacing="0" w:line="360" w:lineRule="auto"/>
              <w:ind w:left="0" w:leftChars="0"/>
              <w:jc w:val="left"/>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本项目不接收船舶固体废物，项目产生的固废主要为生活垃圾、雨水沉淀池的污泥</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及码头机械设备维护、保养产生的废机油及废机油桶、含油的抹布和手套</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p>
          <w:p>
            <w:pPr>
              <w:pStyle w:val="22"/>
              <w:pageBreakBefore w:val="0"/>
              <w:kinsoku/>
              <w:bidi w:val="0"/>
              <w:spacing w:beforeAutospacing="0" w:after="0" w:afterAutospacing="0" w:line="360" w:lineRule="auto"/>
              <w:ind w:left="0" w:leftChars="0"/>
              <w:jc w:val="left"/>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①生活垃圾：职工20人，生活垃圾以每人1.0kg/d计，则港区生活垃圾产生量为20kg/d，年产生量6.6t/a（以330天计）。生活垃圾统一收集后由环卫部门清运至垃圾场处理。</w:t>
            </w:r>
          </w:p>
          <w:p>
            <w:pPr>
              <w:pStyle w:val="22"/>
              <w:pageBreakBefore w:val="0"/>
              <w:kinsoku/>
              <w:bidi w:val="0"/>
              <w:spacing w:beforeAutospacing="0" w:after="0" w:afterAutospacing="0" w:line="360" w:lineRule="auto"/>
              <w:ind w:left="0" w:leftChars="0"/>
              <w:jc w:val="left"/>
              <w:rPr>
                <w:rFonts w:hint="eastAsia"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②</w:t>
            </w:r>
            <w:r>
              <w:rPr>
                <w:rFonts w:hint="eastAsia" w:ascii="Times New Roman" w:hAnsi="Times New Roman" w:eastAsia="宋体" w:cs="Times New Roman"/>
                <w:color w:val="000000" w:themeColor="text1"/>
                <w:sz w:val="24"/>
                <w:szCs w:val="24"/>
                <w:highlight w:val="none"/>
                <w14:textFill>
                  <w14:solidFill>
                    <w14:schemeClr w14:val="tx1"/>
                  </w14:solidFill>
                </w14:textFill>
              </w:rPr>
              <w:t>雨水沉淀池</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污泥</w:t>
            </w:r>
            <w:r>
              <w:rPr>
                <w:rFonts w:hint="eastAsia" w:ascii="Times New Roman" w:hAnsi="Times New Roman" w:eastAsia="宋体" w:cs="Times New Roman"/>
                <w:color w:val="000000" w:themeColor="text1"/>
                <w:sz w:val="24"/>
                <w:szCs w:val="24"/>
                <w:highlight w:val="none"/>
                <w14:textFill>
                  <w14:solidFill>
                    <w14:schemeClr w14:val="tx1"/>
                  </w14:solidFill>
                </w14:textFill>
              </w:rPr>
              <w:t>：项目雨水沉淀池在收集雨水的过程中会收集雨水带入的泥沙，当泥沙体积占沉淀池体积的约1/3时清理一次，一次清理出的泥沙约</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100</w:t>
            </w:r>
            <w:r>
              <w:rPr>
                <w:rFonts w:hint="eastAsia" w:ascii="Times New Roman" w:hAnsi="Times New Roman" w:eastAsia="宋体" w:cs="Times New Roman"/>
                <w:color w:val="000000" w:themeColor="text1"/>
                <w:sz w:val="24"/>
                <w:szCs w:val="24"/>
                <w:highlight w:val="none"/>
                <w14:textFill>
                  <w14:solidFill>
                    <w14:schemeClr w14:val="tx1"/>
                  </w14:solidFill>
                </w14:textFill>
              </w:rPr>
              <w:t>m</w:t>
            </w:r>
            <w:r>
              <w:rPr>
                <w:rFonts w:hint="eastAsia"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14:textFill>
                  <w14:solidFill>
                    <w14:schemeClr w14:val="tx1"/>
                  </w14:solidFill>
                </w14:textFill>
              </w:rPr>
              <w:t>清理出的</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污泥</w:t>
            </w:r>
            <w:r>
              <w:rPr>
                <w:rFonts w:hint="eastAsia" w:ascii="Times New Roman" w:hAnsi="Times New Roman" w:eastAsia="宋体" w:cs="Times New Roman"/>
                <w:color w:val="000000" w:themeColor="text1"/>
                <w:sz w:val="24"/>
                <w:szCs w:val="24"/>
                <w:highlight w:val="none"/>
                <w14:textFill>
                  <w14:solidFill>
                    <w14:schemeClr w14:val="tx1"/>
                  </w14:solidFill>
                </w14:textFill>
              </w:rPr>
              <w:t>进行外售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至建筑企业加工使用</w:t>
            </w:r>
            <w:r>
              <w:rPr>
                <w:rFonts w:hint="eastAsia" w:ascii="Times New Roman" w:hAnsi="Times New Roman" w:eastAsia="宋体" w:cs="Times New Roman"/>
                <w:color w:val="000000" w:themeColor="text1"/>
                <w:sz w:val="24"/>
                <w:szCs w:val="24"/>
                <w:highlight w:val="none"/>
                <w14:textFill>
                  <w14:solidFill>
                    <w14:schemeClr w14:val="tx1"/>
                  </w14:solidFill>
                </w14:textFill>
              </w:rPr>
              <w:t>。</w:t>
            </w:r>
          </w:p>
          <w:p>
            <w:pPr>
              <w:pStyle w:val="22"/>
              <w:pageBreakBefore w:val="0"/>
              <w:kinsoku/>
              <w:bidi w:val="0"/>
              <w:spacing w:beforeAutospacing="0" w:after="0" w:afterAutospacing="0" w:line="360" w:lineRule="auto"/>
              <w:ind w:left="0" w:leftChars="0"/>
              <w:jc w:val="left"/>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③废机油及废机油桶：码头机械设备维护、保养产生会废机油和废机油桶，根据业主提供数据，机械设备维护保养过程中，废机油产生量约为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12t/a，废机油桶产生量约30个/a，每个废桶为20kg，则废机油桶产生量为0.6t/a。含油抹布及手套年产生量约为0.1t/a。</w:t>
            </w:r>
          </w:p>
          <w:p>
            <w:pPr>
              <w:pStyle w:val="22"/>
              <w:pageBreakBefore w:val="0"/>
              <w:kinsoku/>
              <w:bidi w:val="0"/>
              <w:spacing w:beforeAutospacing="0" w:after="0" w:afterAutospacing="0" w:line="360" w:lineRule="auto"/>
              <w:ind w:left="0" w:leftChars="0"/>
              <w:jc w:val="left"/>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④船舶含油垃圾</w:t>
            </w:r>
          </w:p>
          <w:p>
            <w:pPr>
              <w:pStyle w:val="22"/>
              <w:pageBreakBefore w:val="0"/>
              <w:kinsoku/>
              <w:bidi w:val="0"/>
              <w:spacing w:beforeAutospacing="0" w:after="0" w:afterAutospacing="0" w:line="360" w:lineRule="auto"/>
              <w:ind w:left="0" w:leftChars="0"/>
              <w:jc w:val="left"/>
              <w:rPr>
                <w:rFonts w:hint="eastAsia"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船舶含油垃圾根据国际海事组织（IMO）制订的《经1978议定书修订的1973年国际防止船舶造成污染公约》（即 MARPOL73/78公约）附则V和《船舶水污染物排放控制标准》（GB3552-2018）等要求，收集后需交由海事局认可的接收单位接收处置</w:t>
            </w:r>
            <w:r>
              <w:rPr>
                <w:rFonts w:hint="eastAsia" w:ascii="Times New Roman" w:hAnsi="Times New Roman" w:eastAsia="宋体" w:cs="Times New Roman"/>
                <w:bCs/>
                <w:color w:val="000000" w:themeColor="text1"/>
                <w:szCs w:val="21"/>
                <w:lang w:val="en-US" w:eastAsia="zh-CN"/>
                <w14:textFill>
                  <w14:solidFill>
                    <w14:schemeClr w14:val="tx1"/>
                  </w14:solidFill>
                </w14:textFill>
              </w:rPr>
              <w:t>。</w:t>
            </w:r>
          </w:p>
          <w:p>
            <w:pPr>
              <w:pStyle w:val="22"/>
              <w:pageBreakBefore w:val="0"/>
              <w:kinsoku/>
              <w:bidi w:val="0"/>
              <w:spacing w:beforeAutospacing="0" w:after="0" w:afterAutospacing="0" w:line="360" w:lineRule="auto"/>
              <w:ind w:left="0" w:leftChars="0"/>
              <w:jc w:val="left"/>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⑤船舶生活垃圾</w:t>
            </w:r>
          </w:p>
          <w:p>
            <w:pPr>
              <w:pStyle w:val="22"/>
              <w:pageBreakBefore w:val="0"/>
              <w:kinsoku/>
              <w:bidi w:val="0"/>
              <w:spacing w:beforeAutospacing="0" w:after="0" w:afterAutospacing="0" w:line="360" w:lineRule="auto"/>
              <w:ind w:left="0" w:leftChars="0"/>
              <w:jc w:val="left"/>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Cs w:val="21"/>
                <w:lang w:val="en-US" w:eastAsia="zh-CN"/>
                <w14:textFill>
                  <w14:solidFill>
                    <w14:schemeClr w14:val="tx1"/>
                  </w14:solidFill>
                </w14:textFill>
              </w:rPr>
              <w:t>船舶生活垃圾定点集中堆放，实行袋装化，由环卫部门处理。</w:t>
            </w:r>
          </w:p>
          <w:p>
            <w:pPr>
              <w:pStyle w:val="22"/>
              <w:pageBreakBefore w:val="0"/>
              <w:kinsoku/>
              <w:bidi w:val="0"/>
              <w:spacing w:beforeAutospacing="0" w:after="0" w:afterAutospacing="0" w:line="360" w:lineRule="auto"/>
              <w:ind w:left="0" w:leftChars="0"/>
              <w:jc w:val="left"/>
              <w:rPr>
                <w:rFonts w:hint="default" w:ascii="Times New Roman" w:hAnsi="Times New Roman" w:eastAsia="宋体" w:cs="Times New Roman"/>
                <w:color w:val="000000" w:themeColor="text1"/>
                <w:sz w:val="24"/>
                <w:szCs w:val="32"/>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根据《国家危险废物名录》（2021版），废机油属于危险废物，废物类别HW08，废物代码900-214-08，危险特性T，I。废机油桶、含油抹布及手套属于危险废物，废物类别HW49，废物代码900-041-49，危险特性T/In。废机油及废机油桶应作为危险废物处置，暂存于危险废物暂存间并委托有相应危险废物处理资质的单位进行处理。</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宋体" w:cs="Times New Roman"/>
                <w:b/>
                <w:bCs/>
                <w:color w:val="000000" w:themeColor="text1"/>
                <w:sz w:val="24"/>
                <w:szCs w:val="32"/>
                <w:highlight w:val="none"/>
                <w14:textFill>
                  <w14:solidFill>
                    <w14:schemeClr w14:val="tx1"/>
                  </w14:solidFill>
                </w14:textFill>
              </w:rPr>
            </w:pPr>
            <w:r>
              <w:rPr>
                <w:rFonts w:hint="default" w:ascii="Times New Roman" w:hAnsi="Times New Roman" w:eastAsia="宋体" w:cs="Times New Roman"/>
                <w:b/>
                <w:bCs/>
                <w:color w:val="000000" w:themeColor="text1"/>
                <w:sz w:val="24"/>
                <w:szCs w:val="32"/>
                <w:highlight w:val="none"/>
                <w:lang w:val="en-US" w:eastAsia="zh-CN"/>
                <w14:textFill>
                  <w14:solidFill>
                    <w14:schemeClr w14:val="tx1"/>
                  </w14:solidFill>
                </w14:textFill>
              </w:rPr>
              <w:t>表</w:t>
            </w:r>
            <w:r>
              <w:rPr>
                <w:rFonts w:hint="eastAsia" w:ascii="Times New Roman" w:hAnsi="Times New Roman" w:eastAsia="宋体" w:cs="Times New Roman"/>
                <w:b/>
                <w:bCs/>
                <w:color w:val="000000" w:themeColor="text1"/>
                <w:sz w:val="24"/>
                <w:szCs w:val="32"/>
                <w:highlight w:val="none"/>
                <w:lang w:val="en-US" w:eastAsia="zh-CN"/>
                <w14:textFill>
                  <w14:solidFill>
                    <w14:schemeClr w14:val="tx1"/>
                  </w14:solidFill>
                </w14:textFill>
              </w:rPr>
              <w:t xml:space="preserve">4.10-1 </w:t>
            </w:r>
            <w:r>
              <w:rPr>
                <w:rFonts w:hint="default" w:ascii="Times New Roman" w:hAnsi="Times New Roman" w:eastAsia="宋体" w:cs="Times New Roman"/>
                <w:b/>
                <w:bCs/>
                <w:color w:val="000000" w:themeColor="text1"/>
                <w:sz w:val="24"/>
                <w:szCs w:val="32"/>
                <w:highlight w:val="none"/>
                <w:lang w:val="en-US" w:eastAsia="zh-CN"/>
                <w14:textFill>
                  <w14:solidFill>
                    <w14:schemeClr w14:val="tx1"/>
                  </w14:solidFill>
                </w14:textFill>
              </w:rPr>
              <w:t>项目危险废物</w:t>
            </w:r>
            <w:r>
              <w:rPr>
                <w:rFonts w:hint="eastAsia" w:ascii="Times New Roman" w:hAnsi="Times New Roman" w:eastAsia="宋体" w:cs="Times New Roman"/>
                <w:b/>
                <w:bCs/>
                <w:color w:val="000000" w:themeColor="text1"/>
                <w:sz w:val="24"/>
                <w:szCs w:val="32"/>
                <w:highlight w:val="none"/>
                <w:lang w:val="en-US" w:eastAsia="zh-CN"/>
                <w14:textFill>
                  <w14:solidFill>
                    <w14:schemeClr w14:val="tx1"/>
                  </w14:solidFill>
                </w14:textFill>
              </w:rPr>
              <w:t>情况表</w:t>
            </w:r>
            <w:r>
              <w:rPr>
                <w:rFonts w:hint="default" w:ascii="Times New Roman" w:hAnsi="Times New Roman" w:eastAsia="宋体" w:cs="Times New Roman"/>
                <w:b/>
                <w:bCs/>
                <w:color w:val="000000" w:themeColor="text1"/>
                <w:sz w:val="24"/>
                <w:szCs w:val="32"/>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32"/>
                <w:highlight w:val="none"/>
                <w14:textFill>
                  <w14:solidFill>
                    <w14:schemeClr w14:val="tx1"/>
                  </w14:solidFill>
                </w14:textFill>
              </w:rPr>
              <w:t xml:space="preserve"> </w:t>
            </w:r>
          </w:p>
          <w:tbl>
            <w:tblPr>
              <w:tblStyle w:val="33"/>
              <w:tblW w:w="844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638"/>
              <w:gridCol w:w="1084"/>
              <w:gridCol w:w="769"/>
              <w:gridCol w:w="918"/>
              <w:gridCol w:w="511"/>
              <w:gridCol w:w="511"/>
              <w:gridCol w:w="621"/>
              <w:gridCol w:w="710"/>
              <w:gridCol w:w="16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9" w:type="dxa"/>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ascii="Times New Roman" w:hAnsi="Times New Roman" w:eastAsia="宋体"/>
                      <w:b w:val="0"/>
                      <w:bCs w:val="0"/>
                      <w:color w:val="000000" w:themeColor="text1"/>
                      <w:kern w:val="0"/>
                      <w:szCs w:val="21"/>
                      <w:highlight w:val="none"/>
                      <w14:textFill>
                        <w14:solidFill>
                          <w14:schemeClr w14:val="tx1"/>
                        </w14:solidFill>
                      </w14:textFill>
                    </w:rPr>
                  </w:pPr>
                  <w:r>
                    <w:rPr>
                      <w:rFonts w:ascii="Times New Roman" w:hAnsi="Times New Roman" w:eastAsia="宋体"/>
                      <w:b w:val="0"/>
                      <w:bCs w:val="0"/>
                      <w:color w:val="000000" w:themeColor="text1"/>
                      <w:kern w:val="0"/>
                      <w:szCs w:val="21"/>
                      <w:highlight w:val="none"/>
                      <w14:textFill>
                        <w14:solidFill>
                          <w14:schemeClr w14:val="tx1"/>
                        </w14:solidFill>
                      </w14:textFill>
                    </w:rPr>
                    <w:t>名称</w:t>
                  </w:r>
                </w:p>
              </w:tc>
              <w:tc>
                <w:tcPr>
                  <w:tcW w:w="638" w:type="dxa"/>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ascii="Times New Roman" w:hAnsi="Times New Roman" w:eastAsia="宋体"/>
                      <w:b w:val="0"/>
                      <w:bCs w:val="0"/>
                      <w:color w:val="000000" w:themeColor="text1"/>
                      <w:kern w:val="0"/>
                      <w:szCs w:val="21"/>
                      <w:highlight w:val="none"/>
                      <w14:textFill>
                        <w14:solidFill>
                          <w14:schemeClr w14:val="tx1"/>
                        </w14:solidFill>
                      </w14:textFill>
                    </w:rPr>
                  </w:pPr>
                  <w:r>
                    <w:rPr>
                      <w:rFonts w:ascii="Times New Roman" w:hAnsi="Times New Roman" w:eastAsia="宋体"/>
                      <w:b w:val="0"/>
                      <w:bCs w:val="0"/>
                      <w:color w:val="000000" w:themeColor="text1"/>
                      <w:kern w:val="0"/>
                      <w:szCs w:val="21"/>
                      <w:highlight w:val="none"/>
                      <w14:textFill>
                        <w14:solidFill>
                          <w14:schemeClr w14:val="tx1"/>
                        </w14:solidFill>
                      </w14:textFill>
                    </w:rPr>
                    <w:t>类别</w:t>
                  </w:r>
                </w:p>
              </w:tc>
              <w:tc>
                <w:tcPr>
                  <w:tcW w:w="1084" w:type="dxa"/>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ascii="Times New Roman" w:hAnsi="Times New Roman" w:eastAsia="宋体"/>
                      <w:b w:val="0"/>
                      <w:bCs w:val="0"/>
                      <w:color w:val="000000" w:themeColor="text1"/>
                      <w:kern w:val="0"/>
                      <w:szCs w:val="21"/>
                      <w:highlight w:val="none"/>
                      <w14:textFill>
                        <w14:solidFill>
                          <w14:schemeClr w14:val="tx1"/>
                        </w14:solidFill>
                      </w14:textFill>
                    </w:rPr>
                  </w:pPr>
                  <w:r>
                    <w:rPr>
                      <w:rFonts w:ascii="Times New Roman" w:hAnsi="Times New Roman" w:eastAsia="宋体"/>
                      <w:b w:val="0"/>
                      <w:bCs w:val="0"/>
                      <w:color w:val="000000" w:themeColor="text1"/>
                      <w:kern w:val="0"/>
                      <w:szCs w:val="21"/>
                      <w:highlight w:val="none"/>
                      <w14:textFill>
                        <w14:solidFill>
                          <w14:schemeClr w14:val="tx1"/>
                        </w14:solidFill>
                      </w14:textFill>
                    </w:rPr>
                    <w:t>代码</w:t>
                  </w:r>
                </w:p>
              </w:tc>
              <w:tc>
                <w:tcPr>
                  <w:tcW w:w="769" w:type="dxa"/>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ascii="Times New Roman" w:hAnsi="Times New Roman" w:eastAsia="宋体"/>
                      <w:b w:val="0"/>
                      <w:bCs w:val="0"/>
                      <w:color w:val="000000" w:themeColor="text1"/>
                      <w:kern w:val="0"/>
                      <w:szCs w:val="21"/>
                      <w:highlight w:val="none"/>
                      <w14:textFill>
                        <w14:solidFill>
                          <w14:schemeClr w14:val="tx1"/>
                        </w14:solidFill>
                      </w14:textFill>
                    </w:rPr>
                  </w:pPr>
                  <w:r>
                    <w:rPr>
                      <w:rFonts w:ascii="Times New Roman" w:hAnsi="Times New Roman" w:eastAsia="宋体"/>
                      <w:b w:val="0"/>
                      <w:bCs w:val="0"/>
                      <w:color w:val="000000" w:themeColor="text1"/>
                      <w:kern w:val="0"/>
                      <w:szCs w:val="21"/>
                      <w:highlight w:val="none"/>
                      <w14:textFill>
                        <w14:solidFill>
                          <w14:schemeClr w14:val="tx1"/>
                        </w14:solidFill>
                      </w14:textFill>
                    </w:rPr>
                    <w:t>产生量</w:t>
                  </w:r>
                </w:p>
              </w:tc>
              <w:tc>
                <w:tcPr>
                  <w:tcW w:w="918" w:type="dxa"/>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ascii="Times New Roman" w:hAnsi="Times New Roman" w:eastAsia="宋体"/>
                      <w:b w:val="0"/>
                      <w:bCs w:val="0"/>
                      <w:color w:val="000000" w:themeColor="text1"/>
                      <w:kern w:val="0"/>
                      <w:szCs w:val="21"/>
                      <w:highlight w:val="none"/>
                      <w14:textFill>
                        <w14:solidFill>
                          <w14:schemeClr w14:val="tx1"/>
                        </w14:solidFill>
                      </w14:textFill>
                    </w:rPr>
                  </w:pPr>
                  <w:r>
                    <w:rPr>
                      <w:rFonts w:ascii="Times New Roman" w:hAnsi="Times New Roman" w:eastAsia="宋体"/>
                      <w:b w:val="0"/>
                      <w:bCs w:val="0"/>
                      <w:color w:val="000000" w:themeColor="text1"/>
                      <w:kern w:val="0"/>
                      <w:szCs w:val="21"/>
                      <w:highlight w:val="none"/>
                      <w14:textFill>
                        <w14:solidFill>
                          <w14:schemeClr w14:val="tx1"/>
                        </w14:solidFill>
                      </w14:textFill>
                    </w:rPr>
                    <w:t>产生工序及装置</w:t>
                  </w:r>
                </w:p>
              </w:tc>
              <w:tc>
                <w:tcPr>
                  <w:tcW w:w="511" w:type="dxa"/>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ascii="Times New Roman" w:hAnsi="Times New Roman" w:eastAsia="宋体"/>
                      <w:b w:val="0"/>
                      <w:bCs w:val="0"/>
                      <w:color w:val="000000" w:themeColor="text1"/>
                      <w:kern w:val="0"/>
                      <w:szCs w:val="21"/>
                      <w:highlight w:val="none"/>
                      <w14:textFill>
                        <w14:solidFill>
                          <w14:schemeClr w14:val="tx1"/>
                        </w14:solidFill>
                      </w14:textFill>
                    </w:rPr>
                  </w:pPr>
                  <w:r>
                    <w:rPr>
                      <w:rFonts w:ascii="Times New Roman" w:hAnsi="Times New Roman" w:eastAsia="宋体"/>
                      <w:b w:val="0"/>
                      <w:bCs w:val="0"/>
                      <w:color w:val="000000" w:themeColor="text1"/>
                      <w:kern w:val="0"/>
                      <w:szCs w:val="21"/>
                      <w:highlight w:val="none"/>
                      <w14:textFill>
                        <w14:solidFill>
                          <w14:schemeClr w14:val="tx1"/>
                        </w14:solidFill>
                      </w14:textFill>
                    </w:rPr>
                    <w:t>形态</w:t>
                  </w:r>
                </w:p>
              </w:tc>
              <w:tc>
                <w:tcPr>
                  <w:tcW w:w="511" w:type="dxa"/>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ascii="Times New Roman" w:hAnsi="Times New Roman" w:eastAsia="宋体"/>
                      <w:b w:val="0"/>
                      <w:bCs w:val="0"/>
                      <w:color w:val="000000" w:themeColor="text1"/>
                      <w:kern w:val="0"/>
                      <w:szCs w:val="21"/>
                      <w:highlight w:val="none"/>
                      <w14:textFill>
                        <w14:solidFill>
                          <w14:schemeClr w14:val="tx1"/>
                        </w14:solidFill>
                      </w14:textFill>
                    </w:rPr>
                  </w:pPr>
                  <w:r>
                    <w:rPr>
                      <w:rFonts w:ascii="Times New Roman" w:hAnsi="Times New Roman" w:eastAsia="宋体"/>
                      <w:b w:val="0"/>
                      <w:bCs w:val="0"/>
                      <w:color w:val="000000" w:themeColor="text1"/>
                      <w:kern w:val="0"/>
                      <w:szCs w:val="21"/>
                      <w:highlight w:val="none"/>
                      <w14:textFill>
                        <w14:solidFill>
                          <w14:schemeClr w14:val="tx1"/>
                        </w14:solidFill>
                      </w14:textFill>
                    </w:rPr>
                    <w:t>主要成分</w:t>
                  </w:r>
                </w:p>
              </w:tc>
              <w:tc>
                <w:tcPr>
                  <w:tcW w:w="621" w:type="dxa"/>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ascii="Times New Roman" w:hAnsi="Times New Roman" w:eastAsia="宋体"/>
                      <w:b w:val="0"/>
                      <w:bCs w:val="0"/>
                      <w:color w:val="000000" w:themeColor="text1"/>
                      <w:kern w:val="0"/>
                      <w:szCs w:val="21"/>
                      <w:highlight w:val="none"/>
                      <w14:textFill>
                        <w14:solidFill>
                          <w14:schemeClr w14:val="tx1"/>
                        </w14:solidFill>
                      </w14:textFill>
                    </w:rPr>
                  </w:pPr>
                  <w:r>
                    <w:rPr>
                      <w:rFonts w:ascii="Times New Roman" w:hAnsi="Times New Roman" w:eastAsia="宋体"/>
                      <w:b w:val="0"/>
                      <w:bCs w:val="0"/>
                      <w:color w:val="000000" w:themeColor="text1"/>
                      <w:kern w:val="0"/>
                      <w:szCs w:val="21"/>
                      <w:highlight w:val="none"/>
                      <w14:textFill>
                        <w14:solidFill>
                          <w14:schemeClr w14:val="tx1"/>
                        </w14:solidFill>
                      </w14:textFill>
                    </w:rPr>
                    <w:t>有害成分</w:t>
                  </w:r>
                </w:p>
              </w:tc>
              <w:tc>
                <w:tcPr>
                  <w:tcW w:w="710" w:type="dxa"/>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ascii="Times New Roman" w:hAnsi="Times New Roman" w:eastAsia="宋体"/>
                      <w:b w:val="0"/>
                      <w:bCs w:val="0"/>
                      <w:color w:val="000000" w:themeColor="text1"/>
                      <w:kern w:val="0"/>
                      <w:szCs w:val="21"/>
                      <w:highlight w:val="none"/>
                      <w14:textFill>
                        <w14:solidFill>
                          <w14:schemeClr w14:val="tx1"/>
                        </w14:solidFill>
                      </w14:textFill>
                    </w:rPr>
                  </w:pPr>
                  <w:r>
                    <w:rPr>
                      <w:rFonts w:ascii="Times New Roman" w:hAnsi="Times New Roman" w:eastAsia="宋体"/>
                      <w:b w:val="0"/>
                      <w:bCs w:val="0"/>
                      <w:color w:val="000000" w:themeColor="text1"/>
                      <w:kern w:val="0"/>
                      <w:szCs w:val="21"/>
                      <w:highlight w:val="none"/>
                      <w14:textFill>
                        <w14:solidFill>
                          <w14:schemeClr w14:val="tx1"/>
                        </w14:solidFill>
                      </w14:textFill>
                    </w:rPr>
                    <w:t>危险</w:t>
                  </w:r>
                </w:p>
                <w:p>
                  <w:pPr>
                    <w:pageBreakBefore w:val="0"/>
                    <w:kinsoku/>
                    <w:topLinePunct/>
                    <w:bidi w:val="0"/>
                    <w:adjustRightInd w:val="0"/>
                    <w:snapToGrid w:val="0"/>
                    <w:spacing w:beforeAutospacing="0" w:afterAutospacing="0"/>
                    <w:jc w:val="center"/>
                    <w:rPr>
                      <w:rFonts w:ascii="Times New Roman" w:hAnsi="Times New Roman" w:eastAsia="宋体"/>
                      <w:b w:val="0"/>
                      <w:bCs w:val="0"/>
                      <w:color w:val="000000" w:themeColor="text1"/>
                      <w:kern w:val="0"/>
                      <w:szCs w:val="21"/>
                      <w:highlight w:val="none"/>
                      <w14:textFill>
                        <w14:solidFill>
                          <w14:schemeClr w14:val="tx1"/>
                        </w14:solidFill>
                      </w14:textFill>
                    </w:rPr>
                  </w:pPr>
                  <w:r>
                    <w:rPr>
                      <w:rFonts w:ascii="Times New Roman" w:hAnsi="Times New Roman" w:eastAsia="宋体"/>
                      <w:b w:val="0"/>
                      <w:bCs w:val="0"/>
                      <w:color w:val="000000" w:themeColor="text1"/>
                      <w:kern w:val="0"/>
                      <w:szCs w:val="21"/>
                      <w:highlight w:val="none"/>
                      <w14:textFill>
                        <w14:solidFill>
                          <w14:schemeClr w14:val="tx1"/>
                        </w14:solidFill>
                      </w14:textFill>
                    </w:rPr>
                    <w:t>特性</w:t>
                  </w:r>
                </w:p>
              </w:tc>
              <w:tc>
                <w:tcPr>
                  <w:tcW w:w="1627" w:type="dxa"/>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ascii="Times New Roman" w:hAnsi="Times New Roman" w:eastAsia="宋体"/>
                      <w:b w:val="0"/>
                      <w:bCs w:val="0"/>
                      <w:color w:val="000000" w:themeColor="text1"/>
                      <w:kern w:val="0"/>
                      <w:szCs w:val="21"/>
                      <w:highlight w:val="none"/>
                      <w14:textFill>
                        <w14:solidFill>
                          <w14:schemeClr w14:val="tx1"/>
                        </w14:solidFill>
                      </w14:textFill>
                    </w:rPr>
                  </w:pPr>
                  <w:r>
                    <w:rPr>
                      <w:rFonts w:ascii="Times New Roman" w:hAnsi="Times New Roman" w:eastAsia="宋体"/>
                      <w:b w:val="0"/>
                      <w:bCs w:val="0"/>
                      <w:color w:val="000000" w:themeColor="text1"/>
                      <w:kern w:val="0"/>
                      <w:szCs w:val="21"/>
                      <w:highlight w:val="none"/>
                      <w14:textFill>
                        <w14:solidFill>
                          <w14:schemeClr w14:val="tx1"/>
                        </w14:solidFill>
                      </w14:textFill>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9" w:type="dxa"/>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hint="eastAsia" w:ascii="Times New Roman" w:hAnsi="Times New Roman" w:eastAsia="宋体"/>
                      <w:color w:val="000000" w:themeColor="text1"/>
                      <w:kern w:val="0"/>
                      <w:szCs w:val="21"/>
                      <w:highlight w:val="none"/>
                      <w:lang w:eastAsia="zh-CN"/>
                      <w14:textFill>
                        <w14:solidFill>
                          <w14:schemeClr w14:val="tx1"/>
                        </w14:solidFill>
                      </w14:textFill>
                    </w:rPr>
                  </w:pPr>
                  <w:r>
                    <w:rPr>
                      <w:rFonts w:hint="eastAsia" w:ascii="Times New Roman" w:hAnsi="Times New Roman" w:eastAsia="宋体"/>
                      <w:color w:val="000000" w:themeColor="text1"/>
                      <w:kern w:val="0"/>
                      <w:szCs w:val="21"/>
                      <w:highlight w:val="none"/>
                      <w:lang w:eastAsia="zh-CN"/>
                      <w14:textFill>
                        <w14:solidFill>
                          <w14:schemeClr w14:val="tx1"/>
                        </w14:solidFill>
                      </w14:textFill>
                    </w:rPr>
                    <w:t>废机油</w:t>
                  </w:r>
                </w:p>
              </w:tc>
              <w:tc>
                <w:tcPr>
                  <w:tcW w:w="638" w:type="dxa"/>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hint="default" w:ascii="Times New Roman" w:hAnsi="Times New Roman" w:eastAsia="宋体"/>
                      <w:color w:val="000000" w:themeColor="text1"/>
                      <w:kern w:val="0"/>
                      <w:szCs w:val="21"/>
                      <w:highlight w:val="none"/>
                      <w:lang w:val="en-US" w:eastAsia="zh-CN"/>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HW</w:t>
                  </w:r>
                  <w:r>
                    <w:rPr>
                      <w:rFonts w:hint="eastAsia" w:ascii="Times New Roman" w:hAnsi="Times New Roman" w:eastAsia="宋体"/>
                      <w:color w:val="000000" w:themeColor="text1"/>
                      <w:szCs w:val="21"/>
                      <w:highlight w:val="none"/>
                      <w:lang w:val="en-US" w:eastAsia="zh-CN"/>
                      <w14:textFill>
                        <w14:solidFill>
                          <w14:schemeClr w14:val="tx1"/>
                        </w14:solidFill>
                      </w14:textFill>
                    </w:rPr>
                    <w:t>08</w:t>
                  </w:r>
                </w:p>
              </w:tc>
              <w:tc>
                <w:tcPr>
                  <w:tcW w:w="1084" w:type="dxa"/>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hint="default" w:ascii="Times New Roman" w:hAnsi="Times New Roman" w:eastAsia="宋体"/>
                      <w:color w:val="000000" w:themeColor="text1"/>
                      <w:kern w:val="0"/>
                      <w:szCs w:val="21"/>
                      <w:highlight w:val="none"/>
                      <w:lang w:val="en-US" w:eastAsia="zh-CN"/>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900-</w:t>
                  </w:r>
                  <w:r>
                    <w:rPr>
                      <w:rFonts w:hint="eastAsia" w:ascii="Times New Roman" w:hAnsi="Times New Roman" w:eastAsia="宋体"/>
                      <w:color w:val="000000" w:themeColor="text1"/>
                      <w:szCs w:val="21"/>
                      <w:highlight w:val="none"/>
                      <w:lang w:val="en-US" w:eastAsia="zh-CN"/>
                      <w14:textFill>
                        <w14:solidFill>
                          <w14:schemeClr w14:val="tx1"/>
                        </w14:solidFill>
                      </w14:textFill>
                    </w:rPr>
                    <w:t>200</w:t>
                  </w:r>
                  <w:r>
                    <w:rPr>
                      <w:rFonts w:ascii="Times New Roman" w:hAnsi="Times New Roman" w:eastAsia="宋体"/>
                      <w:color w:val="000000" w:themeColor="text1"/>
                      <w:szCs w:val="21"/>
                      <w:highlight w:val="none"/>
                      <w14:textFill>
                        <w14:solidFill>
                          <w14:schemeClr w14:val="tx1"/>
                        </w14:solidFill>
                      </w14:textFill>
                    </w:rPr>
                    <w:t>-</w:t>
                  </w:r>
                  <w:r>
                    <w:rPr>
                      <w:rFonts w:hint="eastAsia" w:ascii="Times New Roman" w:hAnsi="Times New Roman" w:eastAsia="宋体"/>
                      <w:color w:val="000000" w:themeColor="text1"/>
                      <w:szCs w:val="21"/>
                      <w:highlight w:val="none"/>
                      <w:lang w:val="en-US" w:eastAsia="zh-CN"/>
                      <w14:textFill>
                        <w14:solidFill>
                          <w14:schemeClr w14:val="tx1"/>
                        </w14:solidFill>
                      </w14:textFill>
                    </w:rPr>
                    <w:t>08</w:t>
                  </w:r>
                </w:p>
              </w:tc>
              <w:tc>
                <w:tcPr>
                  <w:tcW w:w="769" w:type="dxa"/>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hint="default"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ascii="Times New Roman" w:hAnsi="Times New Roman" w:eastAsia="宋体"/>
                      <w:color w:val="000000" w:themeColor="text1"/>
                      <w:kern w:val="0"/>
                      <w:szCs w:val="21"/>
                      <w:highlight w:val="none"/>
                      <w:lang w:val="en-US" w:eastAsia="zh-CN"/>
                      <w14:textFill>
                        <w14:solidFill>
                          <w14:schemeClr w14:val="tx1"/>
                        </w14:solidFill>
                      </w14:textFill>
                    </w:rPr>
                    <w:t>12t/a</w:t>
                  </w:r>
                </w:p>
              </w:tc>
              <w:tc>
                <w:tcPr>
                  <w:tcW w:w="918" w:type="dxa"/>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hint="eastAsia" w:ascii="Times New Roman" w:hAnsi="Times New Roman" w:eastAsia="宋体"/>
                      <w:color w:val="000000" w:themeColor="text1"/>
                      <w:kern w:val="0"/>
                      <w:szCs w:val="21"/>
                      <w:highlight w:val="none"/>
                      <w:lang w:eastAsia="zh-CN"/>
                      <w14:textFill>
                        <w14:solidFill>
                          <w14:schemeClr w14:val="tx1"/>
                        </w14:solidFill>
                      </w14:textFill>
                    </w:rPr>
                  </w:pPr>
                  <w:r>
                    <w:rPr>
                      <w:rFonts w:hint="eastAsia" w:ascii="Times New Roman" w:hAnsi="Times New Roman" w:eastAsia="宋体"/>
                      <w:color w:val="000000" w:themeColor="text1"/>
                      <w:kern w:val="0"/>
                      <w:szCs w:val="21"/>
                      <w:highlight w:val="none"/>
                      <w:lang w:eastAsia="zh-CN"/>
                      <w14:textFill>
                        <w14:solidFill>
                          <w14:schemeClr w14:val="tx1"/>
                        </w14:solidFill>
                      </w14:textFill>
                    </w:rPr>
                    <w:t>设备维护</w:t>
                  </w:r>
                </w:p>
              </w:tc>
              <w:tc>
                <w:tcPr>
                  <w:tcW w:w="511" w:type="dxa"/>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hint="eastAsia" w:ascii="Times New Roman" w:hAnsi="Times New Roman" w:eastAsia="宋体"/>
                      <w:color w:val="000000" w:themeColor="text1"/>
                      <w:kern w:val="0"/>
                      <w:szCs w:val="21"/>
                      <w:highlight w:val="none"/>
                      <w:lang w:eastAsia="zh-CN"/>
                      <w14:textFill>
                        <w14:solidFill>
                          <w14:schemeClr w14:val="tx1"/>
                        </w14:solidFill>
                      </w14:textFill>
                    </w:rPr>
                  </w:pPr>
                  <w:r>
                    <w:rPr>
                      <w:rFonts w:hint="eastAsia" w:ascii="Times New Roman" w:hAnsi="Times New Roman" w:eastAsia="宋体"/>
                      <w:color w:val="000000" w:themeColor="text1"/>
                      <w:kern w:val="0"/>
                      <w:szCs w:val="21"/>
                      <w:highlight w:val="none"/>
                      <w:lang w:eastAsia="zh-CN"/>
                      <w14:textFill>
                        <w14:solidFill>
                          <w14:schemeClr w14:val="tx1"/>
                        </w14:solidFill>
                      </w14:textFill>
                    </w:rPr>
                    <w:t>液态</w:t>
                  </w:r>
                </w:p>
              </w:tc>
              <w:tc>
                <w:tcPr>
                  <w:tcW w:w="511" w:type="dxa"/>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hint="eastAsia" w:ascii="Times New Roman" w:hAnsi="Times New Roman" w:eastAsia="宋体"/>
                      <w:color w:val="000000" w:themeColor="text1"/>
                      <w:kern w:val="0"/>
                      <w:szCs w:val="21"/>
                      <w:highlight w:val="none"/>
                      <w:lang w:eastAsia="zh-CN"/>
                      <w14:textFill>
                        <w14:solidFill>
                          <w14:schemeClr w14:val="tx1"/>
                        </w14:solidFill>
                      </w14:textFill>
                    </w:rPr>
                  </w:pPr>
                  <w:r>
                    <w:rPr>
                      <w:rFonts w:hint="eastAsia" w:ascii="Times New Roman" w:hAnsi="Times New Roman" w:eastAsia="宋体"/>
                      <w:color w:val="000000" w:themeColor="text1"/>
                      <w:kern w:val="0"/>
                      <w:szCs w:val="21"/>
                      <w:highlight w:val="none"/>
                      <w:lang w:eastAsia="zh-CN"/>
                      <w14:textFill>
                        <w14:solidFill>
                          <w14:schemeClr w14:val="tx1"/>
                        </w14:solidFill>
                      </w14:textFill>
                    </w:rPr>
                    <w:t>废机油</w:t>
                  </w:r>
                </w:p>
              </w:tc>
              <w:tc>
                <w:tcPr>
                  <w:tcW w:w="621" w:type="dxa"/>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hint="eastAsia" w:ascii="Times New Roman" w:hAnsi="Times New Roman" w:eastAsia="宋体"/>
                      <w:color w:val="000000" w:themeColor="text1"/>
                      <w:kern w:val="0"/>
                      <w:szCs w:val="21"/>
                      <w:highlight w:val="none"/>
                      <w:lang w:eastAsia="zh-CN"/>
                      <w14:textFill>
                        <w14:solidFill>
                          <w14:schemeClr w14:val="tx1"/>
                        </w14:solidFill>
                      </w14:textFill>
                    </w:rPr>
                  </w:pPr>
                  <w:r>
                    <w:rPr>
                      <w:rFonts w:hint="eastAsia" w:ascii="Times New Roman" w:hAnsi="Times New Roman" w:eastAsia="宋体"/>
                      <w:color w:val="000000" w:themeColor="text1"/>
                      <w:kern w:val="0"/>
                      <w:szCs w:val="21"/>
                      <w:highlight w:val="none"/>
                      <w:lang w:eastAsia="zh-CN"/>
                      <w14:textFill>
                        <w14:solidFill>
                          <w14:schemeClr w14:val="tx1"/>
                        </w14:solidFill>
                      </w14:textFill>
                    </w:rPr>
                    <w:t>废机油</w:t>
                  </w:r>
                </w:p>
              </w:tc>
              <w:tc>
                <w:tcPr>
                  <w:tcW w:w="710" w:type="dxa"/>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ascii="Times New Roman" w:hAnsi="Times New Roman" w:eastAsia="宋体"/>
                      <w:color w:val="000000" w:themeColor="text1"/>
                      <w:kern w:val="0"/>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T</w:t>
                  </w:r>
                  <w:r>
                    <w:rPr>
                      <w:rFonts w:hint="eastAsia" w:ascii="Times New Roman" w:hAnsi="Times New Roman" w:eastAsia="宋体"/>
                      <w:color w:val="000000" w:themeColor="text1"/>
                      <w:szCs w:val="21"/>
                      <w:highlight w:val="none"/>
                      <w:lang w:eastAsia="zh-CN"/>
                      <w14:textFill>
                        <w14:solidFill>
                          <w14:schemeClr w14:val="tx1"/>
                        </w14:solidFill>
                      </w14:textFill>
                    </w:rPr>
                    <w:t>，</w:t>
                  </w:r>
                  <w:r>
                    <w:rPr>
                      <w:rFonts w:ascii="Times New Roman" w:hAnsi="Times New Roman" w:eastAsia="宋体"/>
                      <w:color w:val="000000" w:themeColor="text1"/>
                      <w:szCs w:val="21"/>
                      <w:highlight w:val="none"/>
                      <w14:textFill>
                        <w14:solidFill>
                          <w14:schemeClr w14:val="tx1"/>
                        </w14:solidFill>
                      </w14:textFill>
                    </w:rPr>
                    <w:t>I</w:t>
                  </w:r>
                </w:p>
              </w:tc>
              <w:tc>
                <w:tcPr>
                  <w:tcW w:w="1627" w:type="dxa"/>
                  <w:vMerge w:val="restart"/>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暂存危废间，定期委托有危废资质单位处置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9" w:type="dxa"/>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hint="eastAsia" w:ascii="Times New Roman" w:hAnsi="Times New Roman" w:eastAsia="宋体"/>
                      <w:color w:val="000000" w:themeColor="text1"/>
                      <w:kern w:val="0"/>
                      <w:szCs w:val="21"/>
                      <w:highlight w:val="none"/>
                      <w:lang w:eastAsia="zh-CN"/>
                      <w14:textFill>
                        <w14:solidFill>
                          <w14:schemeClr w14:val="tx1"/>
                        </w14:solidFill>
                      </w14:textFill>
                    </w:rPr>
                  </w:pPr>
                  <w:r>
                    <w:rPr>
                      <w:rFonts w:hint="eastAsia" w:ascii="Times New Roman" w:hAnsi="Times New Roman" w:eastAsia="宋体"/>
                      <w:color w:val="000000" w:themeColor="text1"/>
                      <w:kern w:val="0"/>
                      <w:szCs w:val="21"/>
                      <w:highlight w:val="none"/>
                      <w:lang w:eastAsia="zh-CN"/>
                      <w14:textFill>
                        <w14:solidFill>
                          <w14:schemeClr w14:val="tx1"/>
                        </w14:solidFill>
                      </w14:textFill>
                    </w:rPr>
                    <w:t>废机油桶</w:t>
                  </w:r>
                </w:p>
              </w:tc>
              <w:tc>
                <w:tcPr>
                  <w:tcW w:w="638" w:type="dxa"/>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ascii="Times New Roman" w:hAnsi="Times New Roman" w:eastAsia="宋体"/>
                      <w:color w:val="000000" w:themeColor="text1"/>
                      <w:kern w:val="0"/>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HW49</w:t>
                  </w:r>
                </w:p>
              </w:tc>
              <w:tc>
                <w:tcPr>
                  <w:tcW w:w="1084" w:type="dxa"/>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ascii="Times New Roman" w:hAnsi="Times New Roman" w:eastAsia="宋体"/>
                      <w:color w:val="000000" w:themeColor="text1"/>
                      <w:kern w:val="0"/>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900-04</w:t>
                  </w:r>
                  <w:r>
                    <w:rPr>
                      <w:rFonts w:hint="eastAsia" w:ascii="Times New Roman" w:hAnsi="Times New Roman" w:eastAsia="宋体"/>
                      <w:color w:val="000000" w:themeColor="text1"/>
                      <w:szCs w:val="21"/>
                      <w:highlight w:val="none"/>
                      <w14:textFill>
                        <w14:solidFill>
                          <w14:schemeClr w14:val="tx1"/>
                        </w14:solidFill>
                      </w14:textFill>
                    </w:rPr>
                    <w:t>1</w:t>
                  </w:r>
                  <w:r>
                    <w:rPr>
                      <w:rFonts w:ascii="Times New Roman" w:hAnsi="Times New Roman" w:eastAsia="宋体"/>
                      <w:color w:val="000000" w:themeColor="text1"/>
                      <w:szCs w:val="21"/>
                      <w:highlight w:val="none"/>
                      <w14:textFill>
                        <w14:solidFill>
                          <w14:schemeClr w14:val="tx1"/>
                        </w14:solidFill>
                      </w14:textFill>
                    </w:rPr>
                    <w:t>-49</w:t>
                  </w:r>
                </w:p>
              </w:tc>
              <w:tc>
                <w:tcPr>
                  <w:tcW w:w="769" w:type="dxa"/>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hint="default"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ascii="Times New Roman" w:hAnsi="Times New Roman" w:eastAsia="宋体"/>
                      <w:color w:val="000000" w:themeColor="text1"/>
                      <w:kern w:val="0"/>
                      <w:szCs w:val="21"/>
                      <w:highlight w:val="none"/>
                      <w:lang w:val="en-US" w:eastAsia="zh-CN"/>
                      <w14:textFill>
                        <w14:solidFill>
                          <w14:schemeClr w14:val="tx1"/>
                        </w14:solidFill>
                      </w14:textFill>
                    </w:rPr>
                    <w:t>0.6t/a</w:t>
                  </w:r>
                </w:p>
              </w:tc>
              <w:tc>
                <w:tcPr>
                  <w:tcW w:w="918" w:type="dxa"/>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hint="eastAsia" w:ascii="Times New Roman" w:hAnsi="Times New Roman" w:eastAsia="宋体"/>
                      <w:color w:val="000000" w:themeColor="text1"/>
                      <w:kern w:val="0"/>
                      <w:szCs w:val="21"/>
                      <w:highlight w:val="none"/>
                      <w:lang w:eastAsia="zh-CN"/>
                      <w14:textFill>
                        <w14:solidFill>
                          <w14:schemeClr w14:val="tx1"/>
                        </w14:solidFill>
                      </w14:textFill>
                    </w:rPr>
                  </w:pPr>
                  <w:r>
                    <w:rPr>
                      <w:rFonts w:hint="eastAsia" w:ascii="Times New Roman" w:hAnsi="Times New Roman" w:eastAsia="宋体"/>
                      <w:color w:val="000000" w:themeColor="text1"/>
                      <w:kern w:val="0"/>
                      <w:szCs w:val="21"/>
                      <w:highlight w:val="none"/>
                      <w:lang w:eastAsia="zh-CN"/>
                      <w14:textFill>
                        <w14:solidFill>
                          <w14:schemeClr w14:val="tx1"/>
                        </w14:solidFill>
                      </w14:textFill>
                    </w:rPr>
                    <w:t>设备维护</w:t>
                  </w:r>
                </w:p>
              </w:tc>
              <w:tc>
                <w:tcPr>
                  <w:tcW w:w="511" w:type="dxa"/>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hint="eastAsia" w:ascii="Times New Roman" w:hAnsi="Times New Roman" w:eastAsia="宋体"/>
                      <w:color w:val="000000" w:themeColor="text1"/>
                      <w:kern w:val="0"/>
                      <w:szCs w:val="21"/>
                      <w:highlight w:val="none"/>
                      <w:lang w:eastAsia="zh-CN"/>
                      <w14:textFill>
                        <w14:solidFill>
                          <w14:schemeClr w14:val="tx1"/>
                        </w14:solidFill>
                      </w14:textFill>
                    </w:rPr>
                  </w:pPr>
                  <w:r>
                    <w:rPr>
                      <w:rFonts w:hint="eastAsia" w:ascii="Times New Roman" w:hAnsi="Times New Roman" w:eastAsia="宋体"/>
                      <w:color w:val="000000" w:themeColor="text1"/>
                      <w:kern w:val="0"/>
                      <w:szCs w:val="21"/>
                      <w:highlight w:val="none"/>
                      <w:lang w:eastAsia="zh-CN"/>
                      <w14:textFill>
                        <w14:solidFill>
                          <w14:schemeClr w14:val="tx1"/>
                        </w14:solidFill>
                      </w14:textFill>
                    </w:rPr>
                    <w:t>固态</w:t>
                  </w:r>
                </w:p>
              </w:tc>
              <w:tc>
                <w:tcPr>
                  <w:tcW w:w="511" w:type="dxa"/>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lang w:eastAsia="zh-CN"/>
                      <w14:textFill>
                        <w14:solidFill>
                          <w14:schemeClr w14:val="tx1"/>
                        </w14:solidFill>
                      </w14:textFill>
                    </w:rPr>
                    <w:t>废机油</w:t>
                  </w:r>
                </w:p>
              </w:tc>
              <w:tc>
                <w:tcPr>
                  <w:tcW w:w="621" w:type="dxa"/>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lang w:eastAsia="zh-CN"/>
                      <w14:textFill>
                        <w14:solidFill>
                          <w14:schemeClr w14:val="tx1"/>
                        </w14:solidFill>
                      </w14:textFill>
                    </w:rPr>
                    <w:t>废机油</w:t>
                  </w:r>
                </w:p>
              </w:tc>
              <w:tc>
                <w:tcPr>
                  <w:tcW w:w="710" w:type="dxa"/>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ascii="Times New Roman" w:hAnsi="Times New Roman" w:eastAsia="宋体"/>
                      <w:color w:val="000000" w:themeColor="text1"/>
                      <w:kern w:val="0"/>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T/In</w:t>
                  </w:r>
                </w:p>
              </w:tc>
              <w:tc>
                <w:tcPr>
                  <w:tcW w:w="1627" w:type="dxa"/>
                  <w:vMerge w:val="continue"/>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ascii="Times New Roman" w:hAnsi="Times New Roman" w:eastAsia="宋体"/>
                      <w:color w:val="000000" w:themeColor="text1"/>
                      <w:kern w:val="0"/>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59" w:type="dxa"/>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hint="eastAsia" w:ascii="Times New Roman" w:hAnsi="Times New Roman" w:eastAsia="宋体"/>
                      <w:color w:val="000000" w:themeColor="text1"/>
                      <w:kern w:val="0"/>
                      <w:szCs w:val="21"/>
                      <w:highlight w:val="none"/>
                      <w:lang w:eastAsia="zh-CN"/>
                      <w14:textFill>
                        <w14:solidFill>
                          <w14:schemeClr w14:val="tx1"/>
                        </w14:solidFill>
                      </w14:textFill>
                    </w:rPr>
                  </w:pPr>
                  <w:r>
                    <w:rPr>
                      <w:rFonts w:hint="eastAsia" w:ascii="Times New Roman" w:hAnsi="Times New Roman" w:eastAsia="宋体"/>
                      <w:color w:val="000000" w:themeColor="text1"/>
                      <w:kern w:val="0"/>
                      <w:szCs w:val="21"/>
                      <w:highlight w:val="none"/>
                      <w:lang w:eastAsia="zh-CN"/>
                      <w14:textFill>
                        <w14:solidFill>
                          <w14:schemeClr w14:val="tx1"/>
                        </w14:solidFill>
                      </w14:textFill>
                    </w:rPr>
                    <w:t>废</w:t>
                  </w:r>
                  <w:r>
                    <w:rPr>
                      <w:rFonts w:hint="eastAsia" w:ascii="Times New Roman" w:hAnsi="Times New Roman" w:eastAsia="宋体"/>
                      <w:color w:val="000000" w:themeColor="text1"/>
                      <w:kern w:val="0"/>
                      <w:szCs w:val="21"/>
                      <w:highlight w:val="none"/>
                      <w14:textFill>
                        <w14:solidFill>
                          <w14:schemeClr w14:val="tx1"/>
                        </w14:solidFill>
                      </w14:textFill>
                    </w:rPr>
                    <w:t>抹布</w:t>
                  </w:r>
                  <w:r>
                    <w:rPr>
                      <w:rFonts w:hint="eastAsia" w:ascii="Times New Roman" w:hAnsi="Times New Roman" w:eastAsia="宋体"/>
                      <w:color w:val="000000" w:themeColor="text1"/>
                      <w:kern w:val="0"/>
                      <w:szCs w:val="21"/>
                      <w:highlight w:val="none"/>
                      <w:lang w:eastAsia="zh-CN"/>
                      <w14:textFill>
                        <w14:solidFill>
                          <w14:schemeClr w14:val="tx1"/>
                        </w14:solidFill>
                      </w14:textFill>
                    </w:rPr>
                    <w:t>、废手套</w:t>
                  </w:r>
                </w:p>
              </w:tc>
              <w:tc>
                <w:tcPr>
                  <w:tcW w:w="638" w:type="dxa"/>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HW49</w:t>
                  </w:r>
                </w:p>
              </w:tc>
              <w:tc>
                <w:tcPr>
                  <w:tcW w:w="1084" w:type="dxa"/>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ascii="Times New Roman" w:hAnsi="Times New Roman" w:eastAsia="宋体"/>
                      <w:color w:val="000000" w:themeColor="text1"/>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900-04</w:t>
                  </w:r>
                  <w:r>
                    <w:rPr>
                      <w:rFonts w:hint="eastAsia" w:ascii="Times New Roman" w:hAnsi="Times New Roman" w:eastAsia="宋体"/>
                      <w:color w:val="000000" w:themeColor="text1"/>
                      <w:szCs w:val="21"/>
                      <w:highlight w:val="none"/>
                      <w14:textFill>
                        <w14:solidFill>
                          <w14:schemeClr w14:val="tx1"/>
                        </w14:solidFill>
                      </w14:textFill>
                    </w:rPr>
                    <w:t>1</w:t>
                  </w:r>
                  <w:r>
                    <w:rPr>
                      <w:rFonts w:ascii="Times New Roman" w:hAnsi="Times New Roman" w:eastAsia="宋体"/>
                      <w:color w:val="000000" w:themeColor="text1"/>
                      <w:szCs w:val="21"/>
                      <w:highlight w:val="none"/>
                      <w14:textFill>
                        <w14:solidFill>
                          <w14:schemeClr w14:val="tx1"/>
                        </w14:solidFill>
                      </w14:textFill>
                    </w:rPr>
                    <w:t>-49</w:t>
                  </w:r>
                </w:p>
              </w:tc>
              <w:tc>
                <w:tcPr>
                  <w:tcW w:w="769" w:type="dxa"/>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hint="default" w:ascii="Times New Roman" w:hAnsi="Times New Roman" w:eastAsia="宋体"/>
                      <w:color w:val="000000" w:themeColor="text1"/>
                      <w:kern w:val="0"/>
                      <w:szCs w:val="21"/>
                      <w:highlight w:val="none"/>
                      <w:lang w:val="en-US" w:eastAsia="zh-CN"/>
                      <w14:textFill>
                        <w14:solidFill>
                          <w14:schemeClr w14:val="tx1"/>
                        </w14:solidFill>
                      </w14:textFill>
                    </w:rPr>
                  </w:pPr>
                  <w:r>
                    <w:rPr>
                      <w:rFonts w:hint="eastAsia" w:ascii="Times New Roman" w:hAnsi="Times New Roman" w:eastAsia="宋体"/>
                      <w:color w:val="000000" w:themeColor="text1"/>
                      <w:kern w:val="0"/>
                      <w:szCs w:val="21"/>
                      <w:highlight w:val="none"/>
                      <w:lang w:val="en-US" w:eastAsia="zh-CN"/>
                      <w14:textFill>
                        <w14:solidFill>
                          <w14:schemeClr w14:val="tx1"/>
                        </w14:solidFill>
                      </w14:textFill>
                    </w:rPr>
                    <w:t>0.1t/a</w:t>
                  </w:r>
                </w:p>
              </w:tc>
              <w:tc>
                <w:tcPr>
                  <w:tcW w:w="918" w:type="dxa"/>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hint="eastAsia" w:ascii="Times New Roman" w:hAnsi="Times New Roman" w:eastAsia="宋体"/>
                      <w:color w:val="000000" w:themeColor="text1"/>
                      <w:kern w:val="0"/>
                      <w:szCs w:val="21"/>
                      <w:highlight w:val="none"/>
                      <w:lang w:eastAsia="zh-CN"/>
                      <w14:textFill>
                        <w14:solidFill>
                          <w14:schemeClr w14:val="tx1"/>
                        </w14:solidFill>
                      </w14:textFill>
                    </w:rPr>
                  </w:pPr>
                  <w:r>
                    <w:rPr>
                      <w:rFonts w:hint="eastAsia" w:ascii="Times New Roman" w:hAnsi="Times New Roman" w:eastAsia="宋体"/>
                      <w:color w:val="000000" w:themeColor="text1"/>
                      <w:kern w:val="0"/>
                      <w:szCs w:val="21"/>
                      <w:highlight w:val="none"/>
                      <w:lang w:eastAsia="zh-CN"/>
                      <w14:textFill>
                        <w14:solidFill>
                          <w14:schemeClr w14:val="tx1"/>
                        </w14:solidFill>
                      </w14:textFill>
                    </w:rPr>
                    <w:t>日常维修</w:t>
                  </w:r>
                </w:p>
              </w:tc>
              <w:tc>
                <w:tcPr>
                  <w:tcW w:w="511" w:type="dxa"/>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hint="eastAsia"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固态</w:t>
                  </w:r>
                </w:p>
              </w:tc>
              <w:tc>
                <w:tcPr>
                  <w:tcW w:w="511" w:type="dxa"/>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hint="eastAsia"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w:t>
                  </w:r>
                </w:p>
              </w:tc>
              <w:tc>
                <w:tcPr>
                  <w:tcW w:w="621" w:type="dxa"/>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hint="eastAsia"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w:t>
                  </w:r>
                </w:p>
              </w:tc>
              <w:tc>
                <w:tcPr>
                  <w:tcW w:w="710" w:type="dxa"/>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hint="eastAsia" w:ascii="Times New Roman" w:hAnsi="Times New Roman" w:eastAsia="宋体"/>
                      <w:color w:val="000000" w:themeColor="text1"/>
                      <w:kern w:val="0"/>
                      <w:szCs w:val="21"/>
                      <w:highlight w:val="none"/>
                      <w14:textFill>
                        <w14:solidFill>
                          <w14:schemeClr w14:val="tx1"/>
                        </w14:solidFill>
                      </w14:textFill>
                    </w:rPr>
                  </w:pPr>
                  <w:r>
                    <w:rPr>
                      <w:rFonts w:ascii="Times New Roman" w:hAnsi="Times New Roman" w:eastAsia="宋体"/>
                      <w:color w:val="000000" w:themeColor="text1"/>
                      <w:szCs w:val="21"/>
                      <w:highlight w:val="none"/>
                      <w14:textFill>
                        <w14:solidFill>
                          <w14:schemeClr w14:val="tx1"/>
                        </w14:solidFill>
                      </w14:textFill>
                    </w:rPr>
                    <w:t>T/In</w:t>
                  </w:r>
                </w:p>
              </w:tc>
              <w:tc>
                <w:tcPr>
                  <w:tcW w:w="1627" w:type="dxa"/>
                  <w:tcMar>
                    <w:top w:w="0" w:type="dxa"/>
                    <w:left w:w="0" w:type="dxa"/>
                    <w:bottom w:w="0" w:type="dxa"/>
                    <w:right w:w="0" w:type="dxa"/>
                  </w:tcMar>
                  <w:vAlign w:val="center"/>
                </w:tcPr>
                <w:p>
                  <w:pPr>
                    <w:pageBreakBefore w:val="0"/>
                    <w:kinsoku/>
                    <w:topLinePunct/>
                    <w:bidi w:val="0"/>
                    <w:adjustRightInd w:val="0"/>
                    <w:snapToGrid w:val="0"/>
                    <w:spacing w:beforeAutospacing="0" w:afterAutospacing="0"/>
                    <w:jc w:val="center"/>
                    <w:rPr>
                      <w:rFonts w:hint="eastAsia" w:ascii="Times New Roman" w:hAnsi="Times New Roman" w:eastAsia="宋体"/>
                      <w:color w:val="000000" w:themeColor="text1"/>
                      <w:kern w:val="0"/>
                      <w:szCs w:val="21"/>
                      <w:highlight w:val="none"/>
                      <w14:textFill>
                        <w14:solidFill>
                          <w14:schemeClr w14:val="tx1"/>
                        </w14:solidFill>
                      </w14:textFill>
                    </w:rPr>
                  </w:pPr>
                  <w:r>
                    <w:rPr>
                      <w:rFonts w:hint="eastAsia" w:ascii="Times New Roman" w:hAnsi="Times New Roman" w:eastAsia="宋体"/>
                      <w:color w:val="000000" w:themeColor="text1"/>
                      <w:kern w:val="0"/>
                      <w:szCs w:val="21"/>
                      <w:highlight w:val="none"/>
                      <w14:textFill>
                        <w14:solidFill>
                          <w14:schemeClr w14:val="tx1"/>
                        </w14:solidFill>
                      </w14:textFill>
                    </w:rPr>
                    <w:t>混入生活垃圾，委托环卫部门处理</w:t>
                  </w:r>
                </w:p>
              </w:tc>
            </w:tr>
          </w:tbl>
          <w:p>
            <w:pPr>
              <w:pageBreakBefore w:val="0"/>
              <w:kinsoku/>
              <w:bidi w:val="0"/>
              <w:spacing w:beforeAutospacing="0" w:afterAutospacing="0" w:line="360" w:lineRule="auto"/>
              <w:ind w:firstLine="480" w:firstLineChars="200"/>
              <w:rPr>
                <w:rFonts w:hint="eastAsia" w:ascii="Times New Roman" w:hAnsi="Times New Roman" w:eastAsia="宋体"/>
                <w:color w:val="000000" w:themeColor="text1"/>
                <w:sz w:val="24"/>
                <w:szCs w:val="32"/>
                <w:highlight w:val="none"/>
                <w:lang w:eastAsia="zh-CN"/>
                <w14:textFill>
                  <w14:solidFill>
                    <w14:schemeClr w14:val="tx1"/>
                  </w14:solidFill>
                </w14:textFill>
              </w:rPr>
            </w:pPr>
            <w:r>
              <w:rPr>
                <w:rFonts w:hint="eastAsia" w:ascii="Times New Roman" w:hAnsi="Times New Roman" w:eastAsia="宋体"/>
                <w:color w:val="000000" w:themeColor="text1"/>
                <w:sz w:val="24"/>
                <w:szCs w:val="32"/>
                <w:highlight w:val="none"/>
                <w14:textFill>
                  <w14:solidFill>
                    <w14:schemeClr w14:val="tx1"/>
                  </w14:solidFill>
                </w14:textFill>
              </w:rPr>
              <w:t>综上，</w:t>
            </w:r>
            <w:r>
              <w:rPr>
                <w:rFonts w:ascii="Times New Roman" w:hAnsi="Times New Roman" w:eastAsia="宋体"/>
                <w:color w:val="000000" w:themeColor="text1"/>
                <w:sz w:val="24"/>
                <w:szCs w:val="32"/>
                <w:highlight w:val="none"/>
                <w14:textFill>
                  <w14:solidFill>
                    <w14:schemeClr w14:val="tx1"/>
                  </w14:solidFill>
                </w14:textFill>
              </w:rPr>
              <w:t>项目产生的固体废物通过相应的措施处理后，不外排，对周围环境不会产生明显的不良影响</w:t>
            </w:r>
            <w:r>
              <w:rPr>
                <w:rFonts w:hint="eastAsia" w:ascii="Times New Roman" w:hAnsi="Times New Roman" w:eastAsia="宋体"/>
                <w:color w:val="000000" w:themeColor="text1"/>
                <w:sz w:val="24"/>
                <w:szCs w:val="32"/>
                <w:highlight w:val="none"/>
                <w:lang w:eastAsia="zh-CN"/>
                <w14:textFill>
                  <w14:solidFill>
                    <w14:schemeClr w14:val="tx1"/>
                  </w14:solidFill>
                </w14:textFill>
              </w:rPr>
              <w:t>。</w:t>
            </w:r>
          </w:p>
          <w:p>
            <w:pPr>
              <w:pStyle w:val="11"/>
              <w:pageBreakBefore w:val="0"/>
              <w:kinsoku/>
              <w:bidi w:val="0"/>
              <w:spacing w:beforeAutospacing="0" w:afterAutospacing="0"/>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4</w:t>
            </w:r>
            <w:r>
              <w:rPr>
                <w:rFonts w:hint="default" w:ascii="Times New Roman" w:hAnsi="Times New Roman" w:eastAsia="宋体"/>
                <w:color w:val="000000" w:themeColor="text1"/>
                <w:lang w:val="en-US" w:eastAsia="zh-CN"/>
                <w14:textFill>
                  <w14:solidFill>
                    <w14:schemeClr w14:val="tx1"/>
                  </w14:solidFill>
                </w14:textFill>
              </w:rPr>
              <w:t>.</w:t>
            </w:r>
            <w:r>
              <w:rPr>
                <w:rFonts w:hint="eastAsia" w:ascii="Times New Roman" w:hAnsi="Times New Roman" w:eastAsia="宋体"/>
                <w:color w:val="000000" w:themeColor="text1"/>
                <w:lang w:val="en-US" w:eastAsia="zh-CN"/>
                <w14:textFill>
                  <w14:solidFill>
                    <w14:schemeClr w14:val="tx1"/>
                  </w14:solidFill>
                </w14:textFill>
              </w:rPr>
              <w:t>11环境风险影响分析</w:t>
            </w:r>
          </w:p>
          <w:p>
            <w:pPr>
              <w:pStyle w:val="22"/>
              <w:pageBreakBefore w:val="0"/>
              <w:kinsoku/>
              <w:bidi w:val="0"/>
              <w:spacing w:beforeAutospacing="0" w:after="0" w:afterAutospacing="0" w:line="360" w:lineRule="auto"/>
              <w:ind w:left="0" w:leftChars="0"/>
              <w:jc w:val="left"/>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本项目码头运输货物为</w:t>
            </w:r>
            <w:r>
              <w:rPr>
                <w:rFonts w:hint="eastAsia" w:ascii="Times New Roman" w:hAnsi="Times New Roman" w:eastAsia="宋体"/>
                <w:color w:val="000000" w:themeColor="text1"/>
                <w:lang w:val="en-US" w:eastAsia="zh-CN"/>
                <w14:textFill>
                  <w14:solidFill>
                    <w14:schemeClr w14:val="tx1"/>
                  </w14:solidFill>
                </w14:textFill>
              </w:rPr>
              <w:t>干散货</w:t>
            </w:r>
            <w:r>
              <w:rPr>
                <w:rFonts w:hint="default" w:ascii="Times New Roman" w:hAnsi="Times New Roman" w:eastAsia="宋体"/>
                <w:color w:val="000000" w:themeColor="text1"/>
                <w:lang w:val="en-US" w:eastAsia="zh-CN"/>
                <w14:textFill>
                  <w14:solidFill>
                    <w14:schemeClr w14:val="tx1"/>
                  </w14:solidFill>
                </w14:textFill>
              </w:rPr>
              <w:t>，不涉及农药或危险化学品等危险物质的运输，运输品无毒性，不存在因货物掉落海域中而造成对周边海域造成污染的风险。</w:t>
            </w:r>
          </w:p>
          <w:p>
            <w:pPr>
              <w:pStyle w:val="11"/>
              <w:pageBreakBefore w:val="0"/>
              <w:kinsoku/>
              <w:bidi w:val="0"/>
              <w:spacing w:beforeAutospacing="0" w:afterAutospacing="0"/>
              <w:rPr>
                <w:rFonts w:hint="default" w:ascii="Times New Roman" w:hAnsi="Times New Roman" w:eastAsia="宋体"/>
                <w:color w:val="000000" w:themeColor="text1"/>
                <w:sz w:val="28"/>
                <w:szCs w:val="28"/>
                <w:lang w:val="en-US" w:eastAsia="zh-CN"/>
                <w14:textFill>
                  <w14:solidFill>
                    <w14:schemeClr w14:val="tx1"/>
                  </w14:solidFill>
                </w14:textFill>
              </w:rPr>
            </w:pPr>
            <w:r>
              <w:rPr>
                <w:rFonts w:hint="eastAsia" w:ascii="Times New Roman" w:hAnsi="Times New Roman" w:eastAsia="宋体"/>
                <w:color w:val="000000" w:themeColor="text1"/>
                <w:sz w:val="28"/>
                <w:szCs w:val="28"/>
                <w:lang w:val="en-US" w:eastAsia="zh-CN"/>
                <w14:textFill>
                  <w14:solidFill>
                    <w14:schemeClr w14:val="tx1"/>
                  </w14:solidFill>
                </w14:textFill>
              </w:rPr>
              <w:t>4.11.1</w:t>
            </w:r>
            <w:r>
              <w:rPr>
                <w:rFonts w:hint="default" w:ascii="Times New Roman" w:hAnsi="Times New Roman" w:eastAsia="宋体"/>
                <w:color w:val="000000" w:themeColor="text1"/>
                <w:sz w:val="28"/>
                <w:szCs w:val="28"/>
                <w:lang w:val="en-US" w:eastAsia="zh-CN"/>
                <w14:textFill>
                  <w14:solidFill>
                    <w14:schemeClr w14:val="tx1"/>
                  </w14:solidFill>
                </w14:textFill>
              </w:rPr>
              <w:t xml:space="preserve"> 风险源识别</w:t>
            </w:r>
          </w:p>
          <w:p>
            <w:pPr>
              <w:pStyle w:val="22"/>
              <w:pageBreakBefore w:val="0"/>
              <w:kinsoku/>
              <w:bidi w:val="0"/>
              <w:spacing w:beforeAutospacing="0" w:after="0" w:afterAutospacing="0" w:line="360" w:lineRule="auto"/>
              <w:ind w:left="0" w:leftChars="0"/>
              <w:jc w:val="left"/>
              <w:rPr>
                <w:rFonts w:hint="default"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olor w:val="000000" w:themeColor="text1"/>
                <w:lang w:val="en-US" w:eastAsia="zh-CN"/>
                <w14:textFill>
                  <w14:solidFill>
                    <w14:schemeClr w14:val="tx1"/>
                  </w14:solidFill>
                </w14:textFill>
              </w:rPr>
              <w:t>根据《建设项目环境风险评价技术导则》（HJ169-2018）以及《关于进一步加强环境影响评价管理防范环境风险的通知》（环发</w:t>
            </w:r>
            <w:r>
              <w:rPr>
                <w:rFonts w:hint="eastAsia" w:ascii="Times New Roman" w:hAnsi="Times New Roman" w:eastAsia="宋体"/>
                <w:color w:val="000000" w:themeColor="text1"/>
                <w:lang w:val="en-US" w:eastAsia="zh-CN"/>
                <w14:textFill>
                  <w14:solidFill>
                    <w14:schemeClr w14:val="tx1"/>
                  </w14:solidFill>
                </w14:textFill>
              </w:rPr>
              <w:t>〔</w:t>
            </w:r>
            <w:r>
              <w:rPr>
                <w:rFonts w:hint="default" w:ascii="Times New Roman" w:hAnsi="Times New Roman" w:eastAsia="宋体"/>
                <w:color w:val="000000" w:themeColor="text1"/>
                <w:lang w:val="en-US" w:eastAsia="zh-CN"/>
                <w14:textFill>
                  <w14:solidFill>
                    <w14:schemeClr w14:val="tx1"/>
                  </w14:solidFill>
                </w14:textFill>
              </w:rPr>
              <w:t>2012]77号），环境风险评价应以突发性事故导致的危险物质环境急性损害防控为目标，对建设项目的环境风险进行分析、预测和评估，提出环境风险预防、控制、减缓措施。</w:t>
            </w:r>
          </w:p>
          <w:p>
            <w:pPr>
              <w:pStyle w:val="100"/>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在整个生产过程中所涉及的原辅材料、中间产品、最终产品以及排放的</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三废</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污染物等，根据《建设项目环境风险评价技术导则》（HJ169-2018），项目风险物质</w:t>
            </w:r>
            <w:r>
              <w:rPr>
                <w:rFonts w:hint="default" w:ascii="Times New Roman" w:hAnsi="Times New Roman" w:eastAsia="宋体" w:cs="Times New Roman"/>
                <w:color w:val="000000" w:themeColor="text1"/>
                <w:highlight w:val="none"/>
                <w:lang w:val="en-US" w:eastAsia="zh-CN"/>
                <w14:textFill>
                  <w14:solidFill>
                    <w14:schemeClr w14:val="tx1"/>
                  </w14:solidFill>
                </w14:textFill>
              </w:rPr>
              <w:t>为废机油和含油手套</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、隔油池油污</w:t>
            </w:r>
            <w:r>
              <w:rPr>
                <w:rFonts w:hint="default" w:ascii="Times New Roman" w:hAnsi="Times New Roman" w:eastAsia="宋体" w:cs="Times New Roman"/>
                <w:color w:val="000000" w:themeColor="text1"/>
                <w:highlight w:val="none"/>
                <w:lang w:val="en-US" w:eastAsia="zh-CN"/>
                <w14:textFill>
                  <w14:solidFill>
                    <w14:schemeClr w14:val="tx1"/>
                  </w14:solidFill>
                </w14:textFill>
              </w:rPr>
              <w:t>等，属于油类物质（矿物油类，如石油、汽油、 柴油等；生物柴油等）</w:t>
            </w:r>
            <w:r>
              <w:rPr>
                <w:rFonts w:hint="default" w:ascii="Times New Roman" w:hAnsi="Times New Roman" w:eastAsia="宋体" w:cs="Times New Roman"/>
                <w:color w:val="000000" w:themeColor="text1"/>
                <w:highlight w:val="none"/>
                <w14:textFill>
                  <w14:solidFill>
                    <w14:schemeClr w14:val="tx1"/>
                  </w14:solidFill>
                </w14:textFill>
              </w:rPr>
              <w:t>。</w:t>
            </w:r>
          </w:p>
          <w:p>
            <w:pPr>
              <w:pStyle w:val="11"/>
              <w:pageBreakBefore w:val="0"/>
              <w:kinsoku/>
              <w:bidi w:val="0"/>
              <w:spacing w:beforeAutospacing="0" w:afterAutospacing="0"/>
              <w:rPr>
                <w:rFonts w:hint="default" w:ascii="Times New Roman" w:hAnsi="Times New Roman" w:eastAsia="宋体"/>
                <w:color w:val="000000" w:themeColor="text1"/>
                <w:sz w:val="28"/>
                <w:szCs w:val="28"/>
                <w:lang w:val="en-US" w:eastAsia="zh-CN"/>
                <w14:textFill>
                  <w14:solidFill>
                    <w14:schemeClr w14:val="tx1"/>
                  </w14:solidFill>
                </w14:textFill>
              </w:rPr>
            </w:pPr>
            <w:r>
              <w:rPr>
                <w:rFonts w:hint="eastAsia" w:ascii="Times New Roman" w:hAnsi="Times New Roman" w:eastAsia="宋体"/>
                <w:color w:val="000000" w:themeColor="text1"/>
                <w:sz w:val="28"/>
                <w:szCs w:val="28"/>
                <w:lang w:val="en-US" w:eastAsia="zh-CN"/>
                <w14:textFill>
                  <w14:solidFill>
                    <w14:schemeClr w14:val="tx1"/>
                  </w14:solidFill>
                </w14:textFill>
              </w:rPr>
              <w:t>4.11.2</w:t>
            </w:r>
            <w:r>
              <w:rPr>
                <w:rFonts w:hint="default" w:ascii="Times New Roman" w:hAnsi="Times New Roman" w:eastAsia="宋体"/>
                <w:color w:val="000000" w:themeColor="text1"/>
                <w:sz w:val="28"/>
                <w:szCs w:val="28"/>
                <w:lang w:val="en-US" w:eastAsia="zh-CN"/>
                <w14:textFill>
                  <w14:solidFill>
                    <w14:schemeClr w14:val="tx1"/>
                  </w14:solidFill>
                </w14:textFill>
              </w:rPr>
              <w:t xml:space="preserve"> 环境风险潜势初判</w:t>
            </w:r>
          </w:p>
          <w:p>
            <w:pPr>
              <w:pStyle w:val="100"/>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建设项目环境风险潜势划分为Ⅰ、Ⅱ、Ⅲ、Ⅳ/Ⅳ+级。根据建设项目涉及的物质和工艺系统的危险性及其所在地的环境敏感程度，结合事故情形下环境影响途径，对建设项目潜在环境危害程度进行</w:t>
            </w:r>
            <w:r>
              <w:rPr>
                <w:rFonts w:hint="eastAsia" w:ascii="Times New Roman" w:hAnsi="Times New Roman" w:eastAsia="宋体" w:cs="Times New Roman"/>
                <w:color w:val="000000" w:themeColor="text1"/>
                <w:highlight w:val="none"/>
                <w:lang w:eastAsia="zh-CN"/>
                <w14:textFill>
                  <w14:solidFill>
                    <w14:schemeClr w14:val="tx1"/>
                  </w14:solidFill>
                </w14:textFill>
              </w:rPr>
              <w:t>概括</w:t>
            </w:r>
            <w:r>
              <w:rPr>
                <w:rFonts w:hint="default" w:ascii="Times New Roman" w:hAnsi="Times New Roman" w:eastAsia="宋体" w:cs="Times New Roman"/>
                <w:color w:val="000000" w:themeColor="text1"/>
                <w:highlight w:val="none"/>
                <w14:textFill>
                  <w14:solidFill>
                    <w14:schemeClr w14:val="tx1"/>
                  </w14:solidFill>
                </w14:textFill>
              </w:rPr>
              <w:t>化分析，根据危险物质及工艺系统危险性（P）、环境敏感程度（E）进行判定。</w:t>
            </w:r>
          </w:p>
          <w:p>
            <w:pPr>
              <w:pStyle w:val="100"/>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highlight w:val="none"/>
                <w:lang w:eastAsia="zh-CN"/>
                <w14:textFill>
                  <w14:solidFill>
                    <w14:schemeClr w14:val="tx1"/>
                  </w14:solidFill>
                </w14:textFill>
              </w:rPr>
              <w:t>）</w:t>
            </w:r>
            <w:r>
              <w:rPr>
                <w:rFonts w:hint="default" w:ascii="Times New Roman" w:hAnsi="Times New Roman" w:eastAsia="宋体" w:cs="Times New Roman"/>
                <w:color w:val="000000" w:themeColor="text1"/>
                <w:highlight w:val="none"/>
                <w14:textFill>
                  <w14:solidFill>
                    <w14:schemeClr w14:val="tx1"/>
                  </w14:solidFill>
                </w14:textFill>
              </w:rPr>
              <w:t>危险物质数量与临界量比值（Q）：</w:t>
            </w:r>
          </w:p>
          <w:p>
            <w:pPr>
              <w:pStyle w:val="100"/>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根据《建设项目环境风险评价技术导则》（HJ 169 -2018）附录C方法对本项目涉及的危险物质及工艺系统危险性（P）进行判定。首先按导则附录C中的公式C.1计算所涉及的每种危险物质在厂界内的最大存在总量与其在导则附录B中对应临界量的比值Q，详见表</w:t>
            </w:r>
            <w:r>
              <w:rPr>
                <w:rFonts w:hint="default" w:ascii="Times New Roman" w:hAnsi="Times New Roman" w:eastAsia="宋体" w:cs="Times New Roman"/>
                <w:color w:val="000000" w:themeColor="text1"/>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highlight w:val="none"/>
                <w:lang w:val="en-US" w:eastAsia="zh-CN"/>
                <w14:textFill>
                  <w14:solidFill>
                    <w14:schemeClr w14:val="tx1"/>
                  </w14:solidFill>
                </w14:textFill>
              </w:rPr>
              <w:t>11-1</w:t>
            </w:r>
            <w:r>
              <w:rPr>
                <w:rFonts w:hint="default" w:ascii="Times New Roman" w:hAnsi="Times New Roman" w:eastAsia="宋体" w:cs="Times New Roman"/>
                <w:color w:val="000000" w:themeColor="text1"/>
                <w:highlight w:val="none"/>
                <w14:textFill>
                  <w14:solidFill>
                    <w14:schemeClr w14:val="tx1"/>
                  </w14:solidFill>
                </w14:textFill>
              </w:rPr>
              <w:t>。</w:t>
            </w:r>
          </w:p>
          <w:p>
            <w:pPr>
              <w:pStyle w:val="100"/>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当只涉及一种危险物质时，计算该物质的总量与其临界量比值，即为 Q；当存在多种危险物质时，则按式（C.1）计算物质总量与其临界量比值（Q）：</w:t>
            </w:r>
          </w:p>
          <w:p>
            <w:pPr>
              <w:pStyle w:val="100"/>
              <w:pageBreakBefore w:val="0"/>
              <w:kinsoku/>
              <w:bidi w:val="0"/>
              <w:spacing w:beforeAutospacing="0" w:afterAutospacing="0" w:line="360" w:lineRule="auto"/>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Q=q</w:t>
            </w:r>
            <w:r>
              <w:rPr>
                <w:rFonts w:hint="default" w:ascii="Times New Roman" w:hAnsi="Times New Roman" w:eastAsia="宋体" w:cs="Times New Roman"/>
                <w:color w:val="000000" w:themeColor="text1"/>
                <w:highlight w:val="none"/>
                <w:vertAlign w:val="subscript"/>
                <w:lang w:val="en-US" w:eastAsia="zh-CN"/>
                <w14:textFill>
                  <w14:solidFill>
                    <w14:schemeClr w14:val="tx1"/>
                  </w14:solidFill>
                </w14:textFill>
              </w:rPr>
              <w:t>1</w:t>
            </w:r>
            <w:r>
              <w:rPr>
                <w:rFonts w:hint="default" w:ascii="Times New Roman" w:hAnsi="Times New Roman" w:eastAsia="宋体" w:cs="Times New Roman"/>
                <w:color w:val="000000" w:themeColor="text1"/>
                <w:highlight w:val="none"/>
                <w:lang w:val="en-US" w:eastAsia="zh-CN"/>
                <w14:textFill>
                  <w14:solidFill>
                    <w14:schemeClr w14:val="tx1"/>
                  </w14:solidFill>
                </w14:textFill>
              </w:rPr>
              <w:t>/Q</w:t>
            </w:r>
            <w:r>
              <w:rPr>
                <w:rFonts w:hint="default" w:ascii="Times New Roman" w:hAnsi="Times New Roman" w:eastAsia="宋体" w:cs="Times New Roman"/>
                <w:color w:val="000000" w:themeColor="text1"/>
                <w:highlight w:val="none"/>
                <w:vertAlign w:val="subscript"/>
                <w:lang w:val="en-US" w:eastAsia="zh-CN"/>
                <w14:textFill>
                  <w14:solidFill>
                    <w14:schemeClr w14:val="tx1"/>
                  </w14:solidFill>
                </w14:textFill>
              </w:rPr>
              <w:t>1</w:t>
            </w:r>
            <w:r>
              <w:rPr>
                <w:rFonts w:hint="default" w:ascii="Times New Roman" w:hAnsi="Times New Roman" w:eastAsia="宋体" w:cs="Times New Roman"/>
                <w:color w:val="000000" w:themeColor="text1"/>
                <w:highlight w:val="none"/>
                <w:lang w:val="en-US" w:eastAsia="zh-CN"/>
                <w14:textFill>
                  <w14:solidFill>
                    <w14:schemeClr w14:val="tx1"/>
                  </w14:solidFill>
                </w14:textFill>
              </w:rPr>
              <w:t>+q</w:t>
            </w:r>
            <w:r>
              <w:rPr>
                <w:rFonts w:hint="default" w:ascii="Times New Roman" w:hAnsi="Times New Roman" w:eastAsia="宋体" w:cs="Times New Roman"/>
                <w:color w:val="000000" w:themeColor="text1"/>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lang w:val="en-US" w:eastAsia="zh-CN"/>
                <w14:textFill>
                  <w14:solidFill>
                    <w14:schemeClr w14:val="tx1"/>
                  </w14:solidFill>
                </w14:textFill>
              </w:rPr>
              <w:t>/Q</w:t>
            </w:r>
            <w:r>
              <w:rPr>
                <w:rFonts w:hint="default" w:ascii="Times New Roman" w:hAnsi="Times New Roman" w:eastAsia="宋体" w:cs="Times New Roman"/>
                <w:color w:val="000000" w:themeColor="text1"/>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lang w:val="en-US" w:eastAsia="zh-CN"/>
                <w14:textFill>
                  <w14:solidFill>
                    <w14:schemeClr w14:val="tx1"/>
                  </w14:solidFill>
                </w14:textFill>
              </w:rPr>
              <w:t>+……+q</w:t>
            </w:r>
            <w:r>
              <w:rPr>
                <w:rFonts w:hint="default" w:ascii="Times New Roman" w:hAnsi="Times New Roman" w:eastAsia="宋体" w:cs="Times New Roman"/>
                <w:color w:val="000000" w:themeColor="text1"/>
                <w:highlight w:val="none"/>
                <w:vertAlign w:val="subscript"/>
                <w:lang w:val="en-US" w:eastAsia="zh-CN"/>
                <w14:textFill>
                  <w14:solidFill>
                    <w14:schemeClr w14:val="tx1"/>
                  </w14:solidFill>
                </w14:textFill>
              </w:rPr>
              <w:t>n</w:t>
            </w:r>
            <w:r>
              <w:rPr>
                <w:rFonts w:hint="default" w:ascii="Times New Roman" w:hAnsi="Times New Roman" w:eastAsia="宋体" w:cs="Times New Roman"/>
                <w:color w:val="000000" w:themeColor="text1"/>
                <w:highlight w:val="none"/>
                <w:lang w:val="en-US" w:eastAsia="zh-CN"/>
                <w14:textFill>
                  <w14:solidFill>
                    <w14:schemeClr w14:val="tx1"/>
                  </w14:solidFill>
                </w14:textFill>
              </w:rPr>
              <w:t>/Q</w:t>
            </w:r>
            <w:r>
              <w:rPr>
                <w:rFonts w:hint="default" w:ascii="Times New Roman" w:hAnsi="Times New Roman" w:eastAsia="宋体" w:cs="Times New Roman"/>
                <w:color w:val="000000" w:themeColor="text1"/>
                <w:highlight w:val="none"/>
                <w:vertAlign w:val="subscript"/>
                <w:lang w:val="en-US" w:eastAsia="zh-CN"/>
                <w14:textFill>
                  <w14:solidFill>
                    <w14:schemeClr w14:val="tx1"/>
                  </w14:solidFill>
                </w14:textFill>
              </w:rPr>
              <w:t>n</w:t>
            </w:r>
          </w:p>
          <w:p>
            <w:pPr>
              <w:pStyle w:val="100"/>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式中：q</w:t>
            </w:r>
            <w:r>
              <w:rPr>
                <w:rFonts w:hint="default" w:ascii="Times New Roman" w:hAnsi="Times New Roman" w:eastAsia="宋体" w:cs="Times New Roman"/>
                <w:color w:val="000000" w:themeColor="text1"/>
                <w:highlight w:val="none"/>
                <w:vertAlign w:val="subscript"/>
                <w:lang w:val="en-US" w:eastAsia="zh-CN"/>
                <w14:textFill>
                  <w14:solidFill>
                    <w14:schemeClr w14:val="tx1"/>
                  </w14:solidFill>
                </w14:textFill>
              </w:rPr>
              <w:t>1</w:t>
            </w:r>
            <w:r>
              <w:rPr>
                <w:rFonts w:hint="default" w:ascii="Times New Roman" w:hAnsi="Times New Roman" w:eastAsia="宋体" w:cs="Times New Roman"/>
                <w:color w:val="000000" w:themeColor="text1"/>
                <w:highlight w:val="none"/>
                <w:lang w:val="en-US" w:eastAsia="zh-CN"/>
                <w14:textFill>
                  <w14:solidFill>
                    <w14:schemeClr w14:val="tx1"/>
                  </w14:solidFill>
                </w14:textFill>
              </w:rPr>
              <w:t>，q</w:t>
            </w:r>
            <w:r>
              <w:rPr>
                <w:rFonts w:hint="default" w:ascii="Times New Roman" w:hAnsi="Times New Roman" w:eastAsia="宋体" w:cs="Times New Roman"/>
                <w:color w:val="000000" w:themeColor="text1"/>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lang w:val="en-US" w:eastAsia="zh-CN"/>
                <w14:textFill>
                  <w14:solidFill>
                    <w14:schemeClr w14:val="tx1"/>
                  </w14:solidFill>
                </w14:textFill>
              </w:rPr>
              <w:t>，……，q</w:t>
            </w:r>
            <w:r>
              <w:rPr>
                <w:rFonts w:hint="default" w:ascii="Times New Roman" w:hAnsi="Times New Roman" w:eastAsia="宋体" w:cs="Times New Roman"/>
                <w:color w:val="000000" w:themeColor="text1"/>
                <w:highlight w:val="none"/>
                <w:vertAlign w:val="subscript"/>
                <w:lang w:val="en-US" w:eastAsia="zh-CN"/>
                <w14:textFill>
                  <w14:solidFill>
                    <w14:schemeClr w14:val="tx1"/>
                  </w14:solidFill>
                </w14:textFill>
              </w:rPr>
              <w:t>n</w:t>
            </w:r>
            <w:r>
              <w:rPr>
                <w:rFonts w:hint="default" w:ascii="Times New Roman" w:hAnsi="Times New Roman" w:eastAsia="宋体" w:cs="Times New Roman"/>
                <w:color w:val="000000" w:themeColor="text1"/>
                <w:highlight w:val="none"/>
                <w:lang w:val="en-US" w:eastAsia="zh-CN"/>
                <w14:textFill>
                  <w14:solidFill>
                    <w14:schemeClr w14:val="tx1"/>
                  </w14:solidFill>
                </w14:textFill>
              </w:rPr>
              <w:t>—每种危险物质的最大存在总量，t；</w:t>
            </w:r>
          </w:p>
          <w:p>
            <w:pPr>
              <w:pStyle w:val="100"/>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 xml:space="preserve">      Q</w:t>
            </w:r>
            <w:r>
              <w:rPr>
                <w:rFonts w:hint="default" w:ascii="Times New Roman" w:hAnsi="Times New Roman" w:eastAsia="宋体" w:cs="Times New Roman"/>
                <w:color w:val="000000" w:themeColor="text1"/>
                <w:highlight w:val="none"/>
                <w:vertAlign w:val="subscript"/>
                <w:lang w:val="en-US" w:eastAsia="zh-CN"/>
                <w14:textFill>
                  <w14:solidFill>
                    <w14:schemeClr w14:val="tx1"/>
                  </w14:solidFill>
                </w14:textFill>
              </w:rPr>
              <w:t>1</w:t>
            </w:r>
            <w:r>
              <w:rPr>
                <w:rFonts w:hint="default" w:ascii="Times New Roman" w:hAnsi="Times New Roman" w:eastAsia="宋体" w:cs="Times New Roman"/>
                <w:color w:val="000000" w:themeColor="text1"/>
                <w:highlight w:val="none"/>
                <w:lang w:val="en-US" w:eastAsia="zh-CN"/>
                <w14:textFill>
                  <w14:solidFill>
                    <w14:schemeClr w14:val="tx1"/>
                  </w14:solidFill>
                </w14:textFill>
              </w:rPr>
              <w:t>，Q</w:t>
            </w:r>
            <w:r>
              <w:rPr>
                <w:rFonts w:hint="default" w:ascii="Times New Roman" w:hAnsi="Times New Roman" w:eastAsia="宋体" w:cs="Times New Roman"/>
                <w:color w:val="000000" w:themeColor="text1"/>
                <w:highlight w:val="none"/>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highlight w:val="none"/>
                <w:lang w:val="en-US" w:eastAsia="zh-CN"/>
                <w14:textFill>
                  <w14:solidFill>
                    <w14:schemeClr w14:val="tx1"/>
                  </w14:solidFill>
                </w14:textFill>
              </w:rPr>
              <w:t>，……，Q</w:t>
            </w:r>
            <w:r>
              <w:rPr>
                <w:rFonts w:hint="default" w:ascii="Times New Roman" w:hAnsi="Times New Roman" w:eastAsia="宋体" w:cs="Times New Roman"/>
                <w:color w:val="000000" w:themeColor="text1"/>
                <w:highlight w:val="none"/>
                <w:vertAlign w:val="subscript"/>
                <w:lang w:val="en-US" w:eastAsia="zh-CN"/>
                <w14:textFill>
                  <w14:solidFill>
                    <w14:schemeClr w14:val="tx1"/>
                  </w14:solidFill>
                </w14:textFill>
              </w:rPr>
              <w:t>n</w:t>
            </w:r>
            <w:r>
              <w:rPr>
                <w:rFonts w:hint="default" w:ascii="Times New Roman" w:hAnsi="Times New Roman" w:eastAsia="宋体" w:cs="Times New Roman"/>
                <w:color w:val="000000" w:themeColor="text1"/>
                <w:highlight w:val="none"/>
                <w:lang w:val="en-US" w:eastAsia="zh-CN"/>
                <w14:textFill>
                  <w14:solidFill>
                    <w14:schemeClr w14:val="tx1"/>
                  </w14:solidFill>
                </w14:textFill>
              </w:rPr>
              <w:t>—每种危险物质的临界量，t；</w:t>
            </w:r>
          </w:p>
          <w:p>
            <w:pPr>
              <w:pStyle w:val="100"/>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当Q＜1时，该项目环境风险潜势为I。</w:t>
            </w:r>
          </w:p>
          <w:p>
            <w:pPr>
              <w:pStyle w:val="100"/>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当Q≥1时，将Q值划分为：（1）1≤Q＜10；（2）10≤Q＜100；（3）Q≥100</w:t>
            </w:r>
          </w:p>
          <w:p>
            <w:pPr>
              <w:pStyle w:val="140"/>
              <w:pageBreakBefore w:val="0"/>
              <w:kinsoku/>
              <w:bidi w:val="0"/>
              <w:spacing w:beforeAutospacing="0" w:afterAutospacing="0" w:line="240" w:lineRule="auto"/>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表4.</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11-1</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危险物质数量与临界量比值计算</w:t>
            </w:r>
          </w:p>
          <w:tbl>
            <w:tblPr>
              <w:tblStyle w:val="33"/>
              <w:tblW w:w="845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409"/>
              <w:gridCol w:w="1265"/>
              <w:gridCol w:w="1688"/>
              <w:gridCol w:w="1414"/>
              <w:gridCol w:w="19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4" w:type="dxa"/>
                  <w:tcBorders>
                    <w:bottom w:val="single" w:color="auto" w:sz="4" w:space="0"/>
                  </w:tcBorders>
                  <w:vAlign w:val="center"/>
                </w:tcPr>
                <w:p>
                  <w:pPr>
                    <w:pageBreakBefore w:val="0"/>
                    <w:kinsoku/>
                    <w:bidi w:val="0"/>
                    <w:spacing w:beforeAutospacing="0" w:afterAutospacing="0" w:line="240" w:lineRule="auto"/>
                    <w:jc w:val="center"/>
                    <w:rPr>
                      <w:rFonts w:hint="default" w:ascii="Times New Roman" w:hAnsi="Times New Roman" w:eastAsia="宋体" w:cs="Times New Roman"/>
                      <w:b w:val="0"/>
                      <w:bCs w:val="0"/>
                      <w:color w:val="000000" w:themeColor="text1"/>
                      <w:sz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highlight w:val="none"/>
                      <w:lang w:val="en-US" w:eastAsia="zh-CN"/>
                      <w14:textFill>
                        <w14:solidFill>
                          <w14:schemeClr w14:val="tx1"/>
                        </w14:solidFill>
                      </w14:textFill>
                    </w:rPr>
                    <w:t>序号</w:t>
                  </w:r>
                </w:p>
              </w:tc>
              <w:tc>
                <w:tcPr>
                  <w:tcW w:w="1409" w:type="dxa"/>
                  <w:tcBorders>
                    <w:bottom w:val="single" w:color="auto" w:sz="4" w:space="0"/>
                  </w:tcBorders>
                  <w:vAlign w:val="center"/>
                </w:tcPr>
                <w:p>
                  <w:pPr>
                    <w:pageBreakBefore w:val="0"/>
                    <w:kinsoku/>
                    <w:bidi w:val="0"/>
                    <w:spacing w:beforeAutospacing="0" w:afterAutospacing="0" w:line="240" w:lineRule="auto"/>
                    <w:jc w:val="center"/>
                    <w:rPr>
                      <w:rFonts w:hint="default" w:ascii="Times New Roman" w:hAnsi="Times New Roman" w:eastAsia="宋体" w:cs="Times New Roman"/>
                      <w:b w:val="0"/>
                      <w:bCs w:val="0"/>
                      <w:color w:val="000000" w:themeColor="text1"/>
                      <w:sz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highlight w:val="none"/>
                      <w:lang w:val="en-US" w:eastAsia="zh-CN"/>
                      <w14:textFill>
                        <w14:solidFill>
                          <w14:schemeClr w14:val="tx1"/>
                        </w14:solidFill>
                      </w14:textFill>
                    </w:rPr>
                    <w:t>物质名称</w:t>
                  </w:r>
                </w:p>
              </w:tc>
              <w:tc>
                <w:tcPr>
                  <w:tcW w:w="1265" w:type="dxa"/>
                  <w:tcBorders>
                    <w:bottom w:val="single" w:color="auto" w:sz="4" w:space="0"/>
                  </w:tcBorders>
                  <w:vAlign w:val="center"/>
                </w:tcPr>
                <w:p>
                  <w:pPr>
                    <w:pageBreakBefore w:val="0"/>
                    <w:kinsoku/>
                    <w:bidi w:val="0"/>
                    <w:spacing w:beforeAutospacing="0" w:afterAutospacing="0" w:line="240" w:lineRule="auto"/>
                    <w:jc w:val="center"/>
                    <w:rPr>
                      <w:rFonts w:hint="default" w:ascii="Times New Roman" w:hAnsi="Times New Roman" w:eastAsia="宋体" w:cs="Times New Roman"/>
                      <w:b w:val="0"/>
                      <w:bCs w:val="0"/>
                      <w:color w:val="000000" w:themeColor="text1"/>
                      <w:sz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highlight w:val="none"/>
                      <w:lang w:val="en-US" w:eastAsia="zh-CN"/>
                      <w14:textFill>
                        <w14:solidFill>
                          <w14:schemeClr w14:val="tx1"/>
                        </w14:solidFill>
                      </w14:textFill>
                    </w:rPr>
                    <w:t>CAS号</w:t>
                  </w:r>
                </w:p>
              </w:tc>
              <w:tc>
                <w:tcPr>
                  <w:tcW w:w="1688" w:type="dxa"/>
                  <w:tcBorders>
                    <w:bottom w:val="single" w:color="auto" w:sz="4" w:space="0"/>
                  </w:tcBorders>
                  <w:vAlign w:val="center"/>
                </w:tcPr>
                <w:p>
                  <w:pPr>
                    <w:pageBreakBefore w:val="0"/>
                    <w:kinsoku/>
                    <w:bidi w:val="0"/>
                    <w:spacing w:beforeAutospacing="0" w:afterAutospacing="0" w:line="240" w:lineRule="auto"/>
                    <w:jc w:val="center"/>
                    <w:rPr>
                      <w:rFonts w:hint="default" w:ascii="Times New Roman" w:hAnsi="Times New Roman" w:eastAsia="宋体" w:cs="Times New Roman"/>
                      <w:b w:val="0"/>
                      <w:bCs w:val="0"/>
                      <w:color w:val="000000" w:themeColor="text1"/>
                      <w:sz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highlight w:val="none"/>
                      <w:lang w:val="en-US" w:eastAsia="zh-CN"/>
                      <w14:textFill>
                        <w14:solidFill>
                          <w14:schemeClr w14:val="tx1"/>
                        </w14:solidFill>
                      </w14:textFill>
                    </w:rPr>
                    <w:t>最大存在量q</w:t>
                  </w:r>
                  <w:r>
                    <w:rPr>
                      <w:rFonts w:hint="default" w:ascii="Times New Roman" w:hAnsi="Times New Roman" w:eastAsia="宋体" w:cs="Times New Roman"/>
                      <w:b w:val="0"/>
                      <w:bCs w:val="0"/>
                      <w:color w:val="000000" w:themeColor="text1"/>
                      <w:sz w:val="21"/>
                      <w:highlight w:val="none"/>
                      <w:vertAlign w:val="subscript"/>
                      <w:lang w:val="en-US" w:eastAsia="zh-CN"/>
                      <w14:textFill>
                        <w14:solidFill>
                          <w14:schemeClr w14:val="tx1"/>
                        </w14:solidFill>
                      </w14:textFill>
                    </w:rPr>
                    <w:t>n</w:t>
                  </w:r>
                  <w:r>
                    <w:rPr>
                      <w:rFonts w:hint="default" w:ascii="Times New Roman" w:hAnsi="Times New Roman" w:eastAsia="宋体" w:cs="Times New Roman"/>
                      <w:b w:val="0"/>
                      <w:bCs w:val="0"/>
                      <w:color w:val="000000" w:themeColor="text1"/>
                      <w:sz w:val="21"/>
                      <w:highlight w:val="none"/>
                      <w:lang w:val="en-US" w:eastAsia="zh-CN"/>
                      <w14:textFill>
                        <w14:solidFill>
                          <w14:schemeClr w14:val="tx1"/>
                        </w14:solidFill>
                      </w14:textFill>
                    </w:rPr>
                    <w:t>/t</w:t>
                  </w:r>
                </w:p>
              </w:tc>
              <w:tc>
                <w:tcPr>
                  <w:tcW w:w="1414" w:type="dxa"/>
                  <w:tcBorders>
                    <w:bottom w:val="single" w:color="auto" w:sz="4" w:space="0"/>
                  </w:tcBorders>
                  <w:vAlign w:val="center"/>
                </w:tcPr>
                <w:p>
                  <w:pPr>
                    <w:pageBreakBefore w:val="0"/>
                    <w:kinsoku/>
                    <w:bidi w:val="0"/>
                    <w:spacing w:beforeAutospacing="0" w:afterAutospacing="0" w:line="240" w:lineRule="auto"/>
                    <w:jc w:val="center"/>
                    <w:rPr>
                      <w:rFonts w:hint="default" w:ascii="Times New Roman" w:hAnsi="Times New Roman" w:eastAsia="宋体" w:cs="Times New Roman"/>
                      <w:b w:val="0"/>
                      <w:bCs w:val="0"/>
                      <w:color w:val="000000" w:themeColor="text1"/>
                      <w:sz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highlight w:val="none"/>
                      <w:lang w:val="en-US" w:eastAsia="zh-CN"/>
                      <w14:textFill>
                        <w14:solidFill>
                          <w14:schemeClr w14:val="tx1"/>
                        </w14:solidFill>
                      </w14:textFill>
                    </w:rPr>
                    <w:t>临界量Q</w:t>
                  </w:r>
                  <w:r>
                    <w:rPr>
                      <w:rFonts w:hint="default" w:ascii="Times New Roman" w:hAnsi="Times New Roman" w:eastAsia="宋体" w:cs="Times New Roman"/>
                      <w:b w:val="0"/>
                      <w:bCs w:val="0"/>
                      <w:color w:val="000000" w:themeColor="text1"/>
                      <w:sz w:val="21"/>
                      <w:highlight w:val="none"/>
                      <w:vertAlign w:val="subscript"/>
                      <w:lang w:val="en-US" w:eastAsia="zh-CN"/>
                      <w14:textFill>
                        <w14:solidFill>
                          <w14:schemeClr w14:val="tx1"/>
                        </w14:solidFill>
                      </w14:textFill>
                    </w:rPr>
                    <w:t>n</w:t>
                  </w:r>
                  <w:r>
                    <w:rPr>
                      <w:rFonts w:hint="default" w:ascii="Times New Roman" w:hAnsi="Times New Roman" w:eastAsia="宋体" w:cs="Times New Roman"/>
                      <w:b w:val="0"/>
                      <w:bCs w:val="0"/>
                      <w:color w:val="000000" w:themeColor="text1"/>
                      <w:sz w:val="21"/>
                      <w:highlight w:val="none"/>
                      <w:lang w:val="en-US" w:eastAsia="zh-CN"/>
                      <w14:textFill>
                        <w14:solidFill>
                          <w14:schemeClr w14:val="tx1"/>
                        </w14:solidFill>
                      </w14:textFill>
                    </w:rPr>
                    <w:t>/t</w:t>
                  </w:r>
                </w:p>
              </w:tc>
              <w:tc>
                <w:tcPr>
                  <w:tcW w:w="1973" w:type="dxa"/>
                  <w:tcBorders>
                    <w:bottom w:val="single" w:color="auto" w:sz="4" w:space="0"/>
                  </w:tcBorders>
                  <w:vAlign w:val="center"/>
                </w:tcPr>
                <w:p>
                  <w:pPr>
                    <w:pageBreakBefore w:val="0"/>
                    <w:kinsoku/>
                    <w:bidi w:val="0"/>
                    <w:spacing w:beforeAutospacing="0" w:afterAutospacing="0" w:line="240" w:lineRule="auto"/>
                    <w:jc w:val="center"/>
                    <w:rPr>
                      <w:rFonts w:hint="default" w:ascii="Times New Roman" w:hAnsi="Times New Roman" w:eastAsia="宋体" w:cs="Times New Roman"/>
                      <w:b w:val="0"/>
                      <w:bCs w:val="0"/>
                      <w:color w:val="000000" w:themeColor="text1"/>
                      <w:sz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highlight w:val="none"/>
                      <w:lang w:val="en-US" w:eastAsia="zh-CN"/>
                      <w14:textFill>
                        <w14:solidFill>
                          <w14:schemeClr w14:val="tx1"/>
                        </w14:solidFill>
                      </w14:textFill>
                    </w:rPr>
                    <w:t>该种危险物质Q值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04" w:type="dxa"/>
                  <w:tcBorders>
                    <w:top w:val="single" w:color="auto" w:sz="4" w:space="0"/>
                    <w:bottom w:val="single" w:color="auto" w:sz="4" w:space="0"/>
                  </w:tcBorders>
                  <w:vAlign w:val="center"/>
                </w:tcPr>
                <w:p>
                  <w:pPr>
                    <w:pageBreakBefore w:val="0"/>
                    <w:kinsoku/>
                    <w:bidi w:val="0"/>
                    <w:spacing w:beforeAutospacing="0" w:afterAutospacing="0"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1</w:t>
                  </w:r>
                </w:p>
              </w:tc>
              <w:tc>
                <w:tcPr>
                  <w:tcW w:w="1409" w:type="dxa"/>
                  <w:tcBorders>
                    <w:top w:val="single" w:color="auto" w:sz="4" w:space="0"/>
                    <w:bottom w:val="single" w:color="auto" w:sz="4" w:space="0"/>
                  </w:tcBorders>
                  <w:vAlign w:val="center"/>
                </w:tcPr>
                <w:p>
                  <w:pPr>
                    <w:pageBreakBefore w:val="0"/>
                    <w:kinsoku/>
                    <w:bidi w:val="0"/>
                    <w:spacing w:beforeAutospacing="0" w:afterAutospacing="0"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废矿物油</w:t>
                  </w:r>
                </w:p>
              </w:tc>
              <w:tc>
                <w:tcPr>
                  <w:tcW w:w="1265" w:type="dxa"/>
                  <w:tcBorders>
                    <w:top w:val="single" w:color="auto" w:sz="4" w:space="0"/>
                    <w:bottom w:val="single" w:color="auto" w:sz="4" w:space="0"/>
                  </w:tcBorders>
                  <w:vAlign w:val="center"/>
                </w:tcPr>
                <w:p>
                  <w:pPr>
                    <w:pageBreakBefore w:val="0"/>
                    <w:kinsoku/>
                    <w:bidi w:val="0"/>
                    <w:spacing w:beforeAutospacing="0" w:afterAutospacing="0"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w:t>
                  </w:r>
                </w:p>
              </w:tc>
              <w:tc>
                <w:tcPr>
                  <w:tcW w:w="1688" w:type="dxa"/>
                  <w:tcBorders>
                    <w:top w:val="single" w:color="auto" w:sz="4" w:space="0"/>
                    <w:bottom w:val="single" w:color="auto" w:sz="4" w:space="0"/>
                    <w:right w:val="single" w:color="auto" w:sz="4" w:space="0"/>
                  </w:tcBorders>
                  <w:vAlign w:val="center"/>
                </w:tcPr>
                <w:p>
                  <w:pPr>
                    <w:pageBreakBefore w:val="0"/>
                    <w:kinsoku/>
                    <w:bidi w:val="0"/>
                    <w:spacing w:beforeAutospacing="0" w:afterAutospacing="0"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12</w:t>
                  </w:r>
                </w:p>
              </w:tc>
              <w:tc>
                <w:tcPr>
                  <w:tcW w:w="1414" w:type="dxa"/>
                  <w:tcBorders>
                    <w:top w:val="single" w:color="auto" w:sz="4" w:space="0"/>
                    <w:bottom w:val="single" w:color="auto" w:sz="4" w:space="0"/>
                  </w:tcBorders>
                  <w:vAlign w:val="center"/>
                </w:tcPr>
                <w:p>
                  <w:pPr>
                    <w:pageBreakBefore w:val="0"/>
                    <w:kinsoku/>
                    <w:bidi w:val="0"/>
                    <w:spacing w:beforeAutospacing="0" w:afterAutospacing="0"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2500</w:t>
                  </w:r>
                </w:p>
              </w:tc>
              <w:tc>
                <w:tcPr>
                  <w:tcW w:w="1973" w:type="dxa"/>
                  <w:tcBorders>
                    <w:top w:val="single" w:color="auto" w:sz="4" w:space="0"/>
                    <w:bottom w:val="single" w:color="auto" w:sz="4" w:space="0"/>
                  </w:tcBorders>
                  <w:vAlign w:val="center"/>
                </w:tcPr>
                <w:p>
                  <w:pPr>
                    <w:pageBreakBefore w:val="0"/>
                    <w:kinsoku/>
                    <w:bidi w:val="0"/>
                    <w:spacing w:beforeAutospacing="0" w:afterAutospacing="0"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0.0</w:t>
                  </w: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480" w:type="dxa"/>
                  <w:gridSpan w:val="5"/>
                  <w:tcBorders>
                    <w:top w:val="single" w:color="auto" w:sz="4" w:space="0"/>
                    <w:bottom w:val="single" w:color="auto" w:sz="12" w:space="0"/>
                  </w:tcBorders>
                  <w:vAlign w:val="top"/>
                </w:tcPr>
                <w:p>
                  <w:pPr>
                    <w:pageBreakBefore w:val="0"/>
                    <w:kinsoku/>
                    <w:bidi w:val="0"/>
                    <w:spacing w:beforeAutospacing="0" w:afterAutospacing="0"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项目 Q 值∑</w:t>
                  </w:r>
                </w:p>
              </w:tc>
              <w:tc>
                <w:tcPr>
                  <w:tcW w:w="1973" w:type="dxa"/>
                  <w:tcBorders>
                    <w:top w:val="single" w:color="auto" w:sz="4" w:space="0"/>
                    <w:bottom w:val="single" w:color="auto" w:sz="12" w:space="0"/>
                  </w:tcBorders>
                  <w:vAlign w:val="center"/>
                </w:tcPr>
                <w:p>
                  <w:pPr>
                    <w:pageBreakBefore w:val="0"/>
                    <w:kinsoku/>
                    <w:bidi w:val="0"/>
                    <w:spacing w:beforeAutospacing="0" w:afterAutospacing="0" w:line="240" w:lineRule="auto"/>
                    <w:jc w:val="cente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highlight w:val="none"/>
                      <w:lang w:val="en-US" w:eastAsia="zh-CN"/>
                      <w14:textFill>
                        <w14:solidFill>
                          <w14:schemeClr w14:val="tx1"/>
                        </w14:solidFill>
                      </w14:textFill>
                    </w:rPr>
                    <w:t>0.0</w:t>
                  </w:r>
                  <w:r>
                    <w:rPr>
                      <w:rFonts w:hint="eastAsia" w:ascii="Times New Roman" w:hAnsi="Times New Roman" w:eastAsia="宋体" w:cs="Times New Roman"/>
                      <w:color w:val="000000" w:themeColor="text1"/>
                      <w:sz w:val="21"/>
                      <w:highlight w:val="none"/>
                      <w:lang w:val="en-US" w:eastAsia="zh-CN"/>
                      <w14:textFill>
                        <w14:solidFill>
                          <w14:schemeClr w14:val="tx1"/>
                        </w14:solidFill>
                      </w14:textFill>
                    </w:rPr>
                    <w:t>05</w:t>
                  </w:r>
                </w:p>
              </w:tc>
            </w:tr>
          </w:tbl>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经计算，本项目Q值为</w:t>
            </w: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0.005</w:t>
            </w: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＜1，该项目风险潜势为I。</w:t>
            </w:r>
          </w:p>
          <w:p>
            <w:pPr>
              <w:pStyle w:val="100"/>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lang w:val="en-US" w:eastAsia="zh-CN"/>
                <w14:textFill>
                  <w14:solidFill>
                    <w14:schemeClr w14:val="tx1"/>
                  </w14:solidFill>
                </w14:textFill>
              </w:rPr>
              <w:t>（2）评价等级</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根据建设项目涉及的物质工艺系统危险性和所在地的环境敏感性确定</w:t>
            </w: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环境</w:t>
            </w: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风险潜势，按照表4.</w:t>
            </w: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11-2</w:t>
            </w: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确定评价工作等级。风险潜势为Ⅳ及以上，进行一级评价；风险潜势为Ⅲ，进行二级评价；风险潜势为Ⅱ，进行三级评价；风险潜势为Ⅰ，可开展简单分析。</w:t>
            </w:r>
          </w:p>
          <w:p>
            <w:pPr>
              <w:pStyle w:val="140"/>
              <w:pageBreakBefore w:val="0"/>
              <w:kinsoku/>
              <w:bidi w:val="0"/>
              <w:spacing w:beforeAutospacing="0" w:afterAutospacing="0" w:line="240" w:lineRule="auto"/>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表4.</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11-2 </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风险评价等级判定表</w:t>
            </w:r>
          </w:p>
          <w:tbl>
            <w:tblPr>
              <w:tblStyle w:val="33"/>
              <w:tblW w:w="84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600"/>
              <w:gridCol w:w="1828"/>
              <w:gridCol w:w="1828"/>
              <w:gridCol w:w="1373"/>
              <w:gridCol w:w="18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00"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b w:val="0"/>
                      <w:bCs w:val="0"/>
                      <w:color w:val="000000" w:themeColor="text1"/>
                      <w:highlight w:val="none"/>
                      <w14:textFill>
                        <w14:solidFill>
                          <w14:schemeClr w14:val="tx1"/>
                        </w14:solidFill>
                      </w14:textFill>
                    </w:rPr>
                  </w:pPr>
                  <w:r>
                    <w:rPr>
                      <w:rFonts w:hint="default" w:ascii="Times New Roman" w:hAnsi="Times New Roman" w:eastAsia="宋体" w:cs="Times New Roman"/>
                      <w:b w:val="0"/>
                      <w:bCs w:val="0"/>
                      <w:color w:val="000000" w:themeColor="text1"/>
                      <w:highlight w:val="none"/>
                      <w14:textFill>
                        <w14:solidFill>
                          <w14:schemeClr w14:val="tx1"/>
                        </w14:solidFill>
                      </w14:textFill>
                    </w:rPr>
                    <w:t>环境风险潜势</w:t>
                  </w:r>
                </w:p>
              </w:tc>
              <w:tc>
                <w:tcPr>
                  <w:tcW w:w="1828"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b w:val="0"/>
                      <w:bCs w:val="0"/>
                      <w:color w:val="000000" w:themeColor="text1"/>
                      <w:highlight w:val="none"/>
                      <w14:textFill>
                        <w14:solidFill>
                          <w14:schemeClr w14:val="tx1"/>
                        </w14:solidFill>
                      </w14:textFill>
                    </w:rPr>
                  </w:pPr>
                  <w:r>
                    <w:rPr>
                      <w:rFonts w:hint="default" w:ascii="Times New Roman" w:hAnsi="Times New Roman" w:eastAsia="宋体" w:cs="Times New Roman"/>
                      <w:b w:val="0"/>
                      <w:bCs w:val="0"/>
                      <w:color w:val="000000" w:themeColor="text1"/>
                      <w:highlight w:val="none"/>
                      <w14:textFill>
                        <w14:solidFill>
                          <w14:schemeClr w14:val="tx1"/>
                        </w14:solidFill>
                      </w14:textFill>
                    </w:rPr>
                    <w:t>IV、IV+</w:t>
                  </w:r>
                </w:p>
              </w:tc>
              <w:tc>
                <w:tcPr>
                  <w:tcW w:w="1828"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b w:val="0"/>
                      <w:bCs w:val="0"/>
                      <w:color w:val="000000" w:themeColor="text1"/>
                      <w:highlight w:val="none"/>
                      <w14:textFill>
                        <w14:solidFill>
                          <w14:schemeClr w14:val="tx1"/>
                        </w14:solidFill>
                      </w14:textFill>
                    </w:rPr>
                  </w:pPr>
                  <w:r>
                    <w:rPr>
                      <w:rFonts w:hint="default" w:ascii="Times New Roman" w:hAnsi="Times New Roman" w:eastAsia="宋体" w:cs="Times New Roman"/>
                      <w:b w:val="0"/>
                      <w:bCs w:val="0"/>
                      <w:color w:val="000000" w:themeColor="text1"/>
                      <w:highlight w:val="none"/>
                      <w14:textFill>
                        <w14:solidFill>
                          <w14:schemeClr w14:val="tx1"/>
                        </w14:solidFill>
                      </w14:textFill>
                    </w:rPr>
                    <w:t>III</w:t>
                  </w:r>
                </w:p>
              </w:tc>
              <w:tc>
                <w:tcPr>
                  <w:tcW w:w="1373"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b w:val="0"/>
                      <w:bCs w:val="0"/>
                      <w:color w:val="000000" w:themeColor="text1"/>
                      <w:highlight w:val="none"/>
                      <w14:textFill>
                        <w14:solidFill>
                          <w14:schemeClr w14:val="tx1"/>
                        </w14:solidFill>
                      </w14:textFill>
                    </w:rPr>
                  </w:pPr>
                  <w:r>
                    <w:rPr>
                      <w:rFonts w:hint="default" w:ascii="Times New Roman" w:hAnsi="Times New Roman" w:eastAsia="宋体" w:cs="Times New Roman"/>
                      <w:b w:val="0"/>
                      <w:bCs w:val="0"/>
                      <w:color w:val="000000" w:themeColor="text1"/>
                      <w:highlight w:val="none"/>
                      <w14:textFill>
                        <w14:solidFill>
                          <w14:schemeClr w14:val="tx1"/>
                        </w14:solidFill>
                      </w14:textFill>
                    </w:rPr>
                    <w:t>II</w:t>
                  </w:r>
                </w:p>
              </w:tc>
              <w:tc>
                <w:tcPr>
                  <w:tcW w:w="1827"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b w:val="0"/>
                      <w:bCs w:val="0"/>
                      <w:color w:val="000000" w:themeColor="text1"/>
                      <w:highlight w:val="none"/>
                      <w14:textFill>
                        <w14:solidFill>
                          <w14:schemeClr w14:val="tx1"/>
                        </w14:solidFill>
                      </w14:textFill>
                    </w:rPr>
                  </w:pPr>
                  <w:r>
                    <w:rPr>
                      <w:rFonts w:hint="default" w:ascii="Times New Roman" w:hAnsi="Times New Roman" w:eastAsia="宋体" w:cs="Times New Roman"/>
                      <w:b w:val="0"/>
                      <w:bCs w:val="0"/>
                      <w:color w:val="000000" w:themeColor="text1"/>
                      <w:highlight w:val="none"/>
                      <w14:textFill>
                        <w14:solidFill>
                          <w14:schemeClr w14:val="tx1"/>
                        </w14:solidFill>
                      </w14:textFill>
                    </w:rPr>
                    <w: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00" w:type="dxa"/>
                  <w:tcBorders>
                    <w:tl2br w:val="nil"/>
                    <w:tr2bl w:val="nil"/>
                  </w:tcBorders>
                  <w:shd w:val="clear" w:color="auto" w:fill="auto"/>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评价工作等级</w:t>
                  </w:r>
                </w:p>
              </w:tc>
              <w:tc>
                <w:tcPr>
                  <w:tcW w:w="1828" w:type="dxa"/>
                  <w:tcBorders>
                    <w:tl2br w:val="nil"/>
                    <w:tr2bl w:val="nil"/>
                  </w:tcBorders>
                  <w:shd w:val="clear" w:color="auto" w:fill="auto"/>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一</w:t>
                  </w:r>
                </w:p>
              </w:tc>
              <w:tc>
                <w:tcPr>
                  <w:tcW w:w="1828" w:type="dxa"/>
                  <w:tcBorders>
                    <w:tl2br w:val="nil"/>
                    <w:tr2bl w:val="nil"/>
                  </w:tcBorders>
                  <w:shd w:val="clear" w:color="auto" w:fill="auto"/>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二</w:t>
                  </w:r>
                </w:p>
              </w:tc>
              <w:tc>
                <w:tcPr>
                  <w:tcW w:w="1373" w:type="dxa"/>
                  <w:tcBorders>
                    <w:tl2br w:val="nil"/>
                    <w:tr2bl w:val="nil"/>
                  </w:tcBorders>
                  <w:shd w:val="clear" w:color="auto" w:fill="FFFFFF"/>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三</w:t>
                  </w:r>
                </w:p>
              </w:tc>
              <w:tc>
                <w:tcPr>
                  <w:tcW w:w="1827" w:type="dxa"/>
                  <w:tcBorders>
                    <w:tl2br w:val="nil"/>
                    <w:tr2bl w:val="nil"/>
                  </w:tcBorders>
                  <w:shd w:val="clear" w:color="auto" w:fill="D9D9D9"/>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简单分析</w:t>
                  </w:r>
                </w:p>
              </w:tc>
            </w:tr>
          </w:tbl>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由此可知，项目环境风险评价只需参照《建设项目环境风险评价技术导则》（HJ169-2018）附录A进行简单分析。</w:t>
            </w:r>
          </w:p>
          <w:p>
            <w:pPr>
              <w:pStyle w:val="11"/>
              <w:pageBreakBefore w:val="0"/>
              <w:kinsoku/>
              <w:bidi w:val="0"/>
              <w:spacing w:beforeAutospacing="0" w:afterAutospacing="0"/>
              <w:rPr>
                <w:rFonts w:hint="default" w:ascii="Times New Roman" w:hAnsi="Times New Roman" w:eastAsia="宋体"/>
                <w:color w:val="000000" w:themeColor="text1"/>
                <w:sz w:val="28"/>
                <w:szCs w:val="28"/>
                <w:lang w:val="en-US" w:eastAsia="zh-CN"/>
                <w14:textFill>
                  <w14:solidFill>
                    <w14:schemeClr w14:val="tx1"/>
                  </w14:solidFill>
                </w14:textFill>
              </w:rPr>
            </w:pPr>
            <w:r>
              <w:rPr>
                <w:rFonts w:hint="eastAsia" w:ascii="Times New Roman" w:hAnsi="Times New Roman" w:eastAsia="宋体"/>
                <w:color w:val="000000" w:themeColor="text1"/>
                <w:sz w:val="28"/>
                <w:szCs w:val="28"/>
                <w:lang w:val="en-US" w:eastAsia="zh-CN"/>
                <w14:textFill>
                  <w14:solidFill>
                    <w14:schemeClr w14:val="tx1"/>
                  </w14:solidFill>
                </w14:textFill>
              </w:rPr>
              <w:t>4.11.3</w:t>
            </w:r>
            <w:r>
              <w:rPr>
                <w:rFonts w:hint="default" w:ascii="Times New Roman" w:hAnsi="Times New Roman" w:eastAsia="宋体"/>
                <w:color w:val="000000" w:themeColor="text1"/>
                <w:sz w:val="28"/>
                <w:szCs w:val="28"/>
                <w:lang w:val="en-US" w:eastAsia="zh-CN"/>
                <w14:textFill>
                  <w14:solidFill>
                    <w14:schemeClr w14:val="tx1"/>
                  </w14:solidFill>
                </w14:textFill>
              </w:rPr>
              <w:t xml:space="preserve"> 危险物质事故环境风险分析</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在危险废物储存容易因储存不当或磕碰造成容器破损，储存的危险废物溢流至地面，未经有效控制，将会造成危险物质</w:t>
            </w: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渗入</w:t>
            </w: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地面，对土壤、地表水和地下水造成影响。</w:t>
            </w:r>
          </w:p>
          <w:p>
            <w:pPr>
              <w:pStyle w:val="11"/>
              <w:pageBreakBefore w:val="0"/>
              <w:kinsoku/>
              <w:bidi w:val="0"/>
              <w:spacing w:beforeAutospacing="0" w:afterAutospacing="0"/>
              <w:rPr>
                <w:rFonts w:hint="default" w:ascii="Times New Roman" w:hAnsi="Times New Roman" w:eastAsia="宋体"/>
                <w:color w:val="000000" w:themeColor="text1"/>
                <w:sz w:val="28"/>
                <w:szCs w:val="28"/>
                <w:lang w:val="en-US" w:eastAsia="zh-CN"/>
                <w14:textFill>
                  <w14:solidFill>
                    <w14:schemeClr w14:val="tx1"/>
                  </w14:solidFill>
                </w14:textFill>
              </w:rPr>
            </w:pPr>
            <w:r>
              <w:rPr>
                <w:rFonts w:hint="eastAsia" w:ascii="Times New Roman" w:hAnsi="Times New Roman" w:eastAsia="宋体"/>
                <w:color w:val="000000" w:themeColor="text1"/>
                <w:sz w:val="28"/>
                <w:szCs w:val="28"/>
                <w:lang w:val="en-US" w:eastAsia="zh-CN"/>
                <w14:textFill>
                  <w14:solidFill>
                    <w14:schemeClr w14:val="tx1"/>
                  </w14:solidFill>
                </w14:textFill>
              </w:rPr>
              <w:t>4.11.4</w:t>
            </w:r>
            <w:r>
              <w:rPr>
                <w:rFonts w:hint="default" w:ascii="Times New Roman" w:hAnsi="Times New Roman" w:eastAsia="宋体"/>
                <w:color w:val="000000" w:themeColor="text1"/>
                <w:sz w:val="28"/>
                <w:szCs w:val="28"/>
                <w:lang w:val="en-US" w:eastAsia="zh-CN"/>
                <w14:textFill>
                  <w14:solidFill>
                    <w14:schemeClr w14:val="tx1"/>
                  </w14:solidFill>
                </w14:textFill>
              </w:rPr>
              <w:t xml:space="preserve"> 危废仓库风险防范措施</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危险废物临时贮存场所应按仓库式设计，其在设计建造过程中应按以下原则进行：</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（1）地面与裙脚要用坚固、防渗的材料建造，建筑材料必须与危险废物相容。</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（2）必须有耐腐蚀的硬化地面，且表面无裂隙。</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（3）应有隔离设施、报警装置和防风、防雨、防渗设施。其中基础防渗，防渗层为至少1米厚</w:t>
            </w: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黏土</w:t>
            </w: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层（渗透系数≤10</w:t>
            </w: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w:t>
            </w:r>
            <w:r>
              <w:rPr>
                <w:rFonts w:hint="default" w:ascii="Times New Roman" w:hAnsi="Times New Roman" w:eastAsia="宋体" w:cs="Times New Roman"/>
                <w:snapToGrid/>
                <w:color w:val="000000" w:themeColor="text1"/>
                <w:kern w:val="0"/>
                <w:sz w:val="24"/>
                <w:szCs w:val="24"/>
                <w:highlight w:val="none"/>
                <w:u w:val="none" w:color="auto"/>
                <w:shd w:val="clear" w:color="auto" w:fill="auto"/>
                <w:vertAlign w:val="superscript"/>
                <w:lang w:val="en-US" w:eastAsia="zh-CN" w:bidi="ar"/>
                <w14:textFill>
                  <w14:solidFill>
                    <w14:schemeClr w14:val="tx1"/>
                  </w14:solidFill>
                </w14:textFill>
              </w:rPr>
              <w:t>7</w:t>
            </w: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cm/s，或2mm厚高密度聚乙烯，或至少2mm厚</w:t>
            </w: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的其他</w:t>
            </w: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人工材料，渗透系数≤10</w:t>
            </w:r>
            <w:r>
              <w:rPr>
                <w:rFonts w:hint="default" w:ascii="Times New Roman" w:hAnsi="Times New Roman" w:eastAsia="宋体" w:cs="Times New Roman"/>
                <w:snapToGrid/>
                <w:color w:val="000000" w:themeColor="text1"/>
                <w:kern w:val="0"/>
                <w:sz w:val="24"/>
                <w:szCs w:val="24"/>
                <w:highlight w:val="none"/>
                <w:u w:val="none" w:color="auto"/>
                <w:shd w:val="clear" w:color="auto" w:fill="auto"/>
                <w:vertAlign w:val="superscript"/>
                <w:lang w:val="en-US" w:eastAsia="zh-CN" w:bidi="ar"/>
                <w14:textFill>
                  <w14:solidFill>
                    <w14:schemeClr w14:val="tx1"/>
                  </w14:solidFill>
                </w14:textFill>
              </w:rPr>
              <w:t>-10</w:t>
            </w: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cm/s）。</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本项目产生的危险废物有废机油、废油桶，其中废机油为液态，储存过程中可能存在泄漏可能性，合计产生量为</w:t>
            </w: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12</w:t>
            </w: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t/a，本项目油类物质密度以0.91kg/m</w:t>
            </w:r>
            <w:r>
              <w:rPr>
                <w:rFonts w:hint="eastAsia" w:ascii="Times New Roman" w:hAnsi="Times New Roman" w:eastAsia="宋体" w:cs="Times New Roman"/>
                <w:snapToGrid/>
                <w:color w:val="000000" w:themeColor="text1"/>
                <w:kern w:val="0"/>
                <w:sz w:val="24"/>
                <w:szCs w:val="24"/>
                <w:highlight w:val="none"/>
                <w:u w:val="none" w:color="auto"/>
                <w:shd w:val="clear" w:color="auto" w:fill="auto"/>
                <w:vertAlign w:val="superscript"/>
                <w:lang w:val="en-US" w:eastAsia="zh-CN" w:bidi="ar"/>
                <w14:textFill>
                  <w14:solidFill>
                    <w14:schemeClr w14:val="tx1"/>
                  </w14:solidFill>
                </w14:textFill>
              </w:rPr>
              <w:t>3</w:t>
            </w: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，危险废物一年清运一次计，即液态危险废物年产生的体积为</w:t>
            </w: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13.2</w:t>
            </w: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m</w:t>
            </w:r>
            <w:r>
              <w:rPr>
                <w:rFonts w:hint="default" w:ascii="Times New Roman" w:hAnsi="Times New Roman" w:eastAsia="宋体" w:cs="Times New Roman"/>
                <w:snapToGrid/>
                <w:color w:val="000000" w:themeColor="text1"/>
                <w:kern w:val="0"/>
                <w:sz w:val="24"/>
                <w:szCs w:val="24"/>
                <w:highlight w:val="none"/>
                <w:u w:val="none" w:color="auto"/>
                <w:shd w:val="clear" w:color="auto" w:fill="auto"/>
                <w:vertAlign w:val="superscript"/>
                <w:lang w:val="en-US" w:eastAsia="zh-CN" w:bidi="ar"/>
                <w14:textFill>
                  <w14:solidFill>
                    <w14:schemeClr w14:val="tx1"/>
                  </w14:solidFill>
                </w14:textFill>
              </w:rPr>
              <w:t>3</w:t>
            </w: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。因此本评价要求危废暂存间内配套建设不小于</w:t>
            </w: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15</w:t>
            </w: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m</w:t>
            </w:r>
            <w:r>
              <w:rPr>
                <w:rFonts w:hint="default" w:ascii="Times New Roman" w:hAnsi="Times New Roman" w:eastAsia="宋体" w:cs="Times New Roman"/>
                <w:snapToGrid/>
                <w:color w:val="000000" w:themeColor="text1"/>
                <w:kern w:val="0"/>
                <w:sz w:val="24"/>
                <w:szCs w:val="24"/>
                <w:highlight w:val="none"/>
                <w:u w:val="none" w:color="auto"/>
                <w:shd w:val="clear" w:color="auto" w:fill="auto"/>
                <w:vertAlign w:val="superscript"/>
                <w:lang w:val="en-US" w:eastAsia="zh-CN" w:bidi="ar"/>
                <w14:textFill>
                  <w14:solidFill>
                    <w14:schemeClr w14:val="tx1"/>
                  </w14:solidFill>
                </w14:textFill>
              </w:rPr>
              <w:t>3</w:t>
            </w: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的应急事故池</w:t>
            </w: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w:t>
            </w:r>
          </w:p>
          <w:p>
            <w:pPr>
              <w:pStyle w:val="11"/>
              <w:pageBreakBefore w:val="0"/>
              <w:kinsoku/>
              <w:bidi w:val="0"/>
              <w:spacing w:beforeAutospacing="0" w:afterAutospacing="0"/>
              <w:rPr>
                <w:rFonts w:hint="default" w:ascii="Times New Roman" w:hAnsi="Times New Roman" w:eastAsia="宋体"/>
                <w:color w:val="000000" w:themeColor="text1"/>
                <w:sz w:val="28"/>
                <w:szCs w:val="28"/>
                <w:lang w:val="en-US" w:eastAsia="zh-CN"/>
                <w14:textFill>
                  <w14:solidFill>
                    <w14:schemeClr w14:val="tx1"/>
                  </w14:solidFill>
                </w14:textFill>
              </w:rPr>
            </w:pPr>
            <w:r>
              <w:rPr>
                <w:rFonts w:hint="eastAsia" w:ascii="Times New Roman" w:hAnsi="Times New Roman" w:eastAsia="宋体"/>
                <w:color w:val="000000" w:themeColor="text1"/>
                <w:sz w:val="28"/>
                <w:szCs w:val="28"/>
                <w:lang w:val="en-US" w:eastAsia="zh-CN"/>
                <w14:textFill>
                  <w14:solidFill>
                    <w14:schemeClr w14:val="tx1"/>
                  </w14:solidFill>
                </w14:textFill>
              </w:rPr>
              <w:t>4.11.5</w:t>
            </w:r>
            <w:r>
              <w:rPr>
                <w:rFonts w:hint="default" w:ascii="Times New Roman" w:hAnsi="Times New Roman" w:eastAsia="宋体"/>
                <w:color w:val="000000" w:themeColor="text1"/>
                <w:sz w:val="28"/>
                <w:szCs w:val="28"/>
                <w:lang w:val="en-US" w:eastAsia="zh-CN"/>
                <w14:textFill>
                  <w14:solidFill>
                    <w14:schemeClr w14:val="tx1"/>
                  </w14:solidFill>
                </w14:textFill>
              </w:rPr>
              <w:t xml:space="preserve"> 水上溢油环境风险</w:t>
            </w:r>
            <w:r>
              <w:rPr>
                <w:rFonts w:hint="eastAsia" w:ascii="Times New Roman" w:hAnsi="Times New Roman" w:eastAsia="宋体"/>
                <w:color w:val="000000" w:themeColor="text1"/>
                <w:sz w:val="28"/>
                <w:szCs w:val="28"/>
                <w:lang w:val="en-US" w:eastAsia="zh-CN"/>
                <w14:textFill>
                  <w14:solidFill>
                    <w14:schemeClr w14:val="tx1"/>
                  </w14:solidFill>
                </w14:textFill>
              </w:rPr>
              <w:t>影响分析</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2" w:firstLineChars="200"/>
              <w:jc w:val="both"/>
              <w:rPr>
                <w:rFonts w:hint="default" w:ascii="Times New Roman" w:hAnsi="Times New Roman" w:eastAsia="宋体" w:cs="Times New Roman"/>
                <w:b/>
                <w:bCs/>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b/>
                <w:bCs/>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（1）评价工作等级</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对建设项目的评价等级按《建设项目环境风险评价技术导则》(HJ169-2018)规定，本项目风险物质为船舶燃料油，本项目主要船型为3000吨散货船级散货船和杂货船，根据《水上溢油环境风险评估技术导则》（JT/T 1143-2017），本项目5000吨杂货船载油总量约</w:t>
            </w: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214.3</w:t>
            </w: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t，远小于油类物质2500t的临界量，项目环境风险潜势为I，可开展简单分析；参照《船舶污染海洋环境风险评价技术规范》，本项目属于为沿海港口单个泊位1万吨以下、年客流量20万人以下且不涉及环境敏感区的码头工程，对区域性的船舶污染海洋环境风险评价按照二级评价开展。具体见表</w:t>
            </w: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4.11-3</w:t>
            </w: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w:t>
            </w:r>
          </w:p>
          <w:p>
            <w:pPr>
              <w:pStyle w:val="140"/>
              <w:pageBreakBefore w:val="0"/>
              <w:kinsoku/>
              <w:bidi w:val="0"/>
              <w:spacing w:beforeAutospacing="0" w:afterAutospacing="0" w:line="240" w:lineRule="auto"/>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p>
          <w:p>
            <w:pPr>
              <w:pStyle w:val="140"/>
              <w:pageBreakBefore w:val="0"/>
              <w:kinsoku/>
              <w:bidi w:val="0"/>
              <w:spacing w:beforeAutospacing="0" w:afterAutospacing="0" w:line="240" w:lineRule="auto"/>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p>
          <w:p>
            <w:pPr>
              <w:pStyle w:val="140"/>
              <w:pageBreakBefore w:val="0"/>
              <w:kinsoku/>
              <w:bidi w:val="0"/>
              <w:spacing w:beforeAutospacing="0" w:afterAutospacing="0" w:line="240" w:lineRule="auto"/>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表4</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.11</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3</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海洋环境风险评价登记表</w:t>
            </w:r>
          </w:p>
          <w:p>
            <w:pPr>
              <w:keepNext w:val="0"/>
              <w:keepLines w:val="0"/>
              <w:pageBreakBefore w:val="0"/>
              <w:widowControl w:val="0"/>
              <w:suppressLineNumbers w:val="0"/>
              <w:kinsoku/>
              <w:bidi w:val="0"/>
              <w:adjustRightInd w:val="0"/>
              <w:snapToGrid w:val="0"/>
              <w:spacing w:beforeAutospacing="0" w:afterAutospacing="0" w:line="360" w:lineRule="auto"/>
              <w:ind w:right="0"/>
              <w:jc w:val="both"/>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drawing>
                <wp:inline distT="0" distB="0" distL="114300" distR="114300">
                  <wp:extent cx="5452110" cy="1877060"/>
                  <wp:effectExtent l="0" t="0" r="15240" b="8890"/>
                  <wp:docPr id="22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11"/>
                          <pic:cNvPicPr>
                            <a:picLocks noChangeAspect="1"/>
                          </pic:cNvPicPr>
                        </pic:nvPicPr>
                        <pic:blipFill>
                          <a:blip r:embed="rId32"/>
                          <a:stretch>
                            <a:fillRect/>
                          </a:stretch>
                        </pic:blipFill>
                        <pic:spPr>
                          <a:xfrm>
                            <a:off x="0" y="0"/>
                            <a:ext cx="5452110" cy="1877060"/>
                          </a:xfrm>
                          <a:prstGeom prst="rect">
                            <a:avLst/>
                          </a:prstGeom>
                          <a:noFill/>
                          <a:ln>
                            <a:noFill/>
                          </a:ln>
                        </pic:spPr>
                      </pic:pic>
                    </a:graphicData>
                  </a:graphic>
                </wp:inline>
              </w:drawing>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2" w:firstLineChars="200"/>
              <w:jc w:val="both"/>
              <w:rPr>
                <w:rFonts w:hint="default" w:ascii="Times New Roman" w:hAnsi="Times New Roman" w:eastAsia="宋体" w:cs="Times New Roman"/>
                <w:b/>
                <w:bCs/>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b/>
                <w:bCs/>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（2）风险识别</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本项目货种主要为</w:t>
            </w: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河砂</w:t>
            </w: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和建筑材料等件杂货，不涉及危险化学品。</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营运过程中主要风险源为船舶溢油，风险事故为进出码头船舶的燃料油</w:t>
            </w: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泄漏</w:t>
            </w: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事故，燃料油的理化性质见下表</w:t>
            </w: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4.11-4</w:t>
            </w: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w:t>
            </w:r>
          </w:p>
          <w:p>
            <w:pPr>
              <w:pStyle w:val="140"/>
              <w:pageBreakBefore w:val="0"/>
              <w:kinsoku/>
              <w:bidi w:val="0"/>
              <w:spacing w:beforeAutospacing="0" w:afterAutospacing="0" w:line="240" w:lineRule="auto"/>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4.11-4</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燃料油理化性质一览表</w:t>
            </w:r>
          </w:p>
          <w:tbl>
            <w:tblPr>
              <w:tblStyle w:val="34"/>
              <w:tblW w:w="845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35"/>
              <w:gridCol w:w="1020"/>
              <w:gridCol w:w="1830"/>
              <w:gridCol w:w="38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7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名称</w:t>
                  </w:r>
                </w:p>
              </w:tc>
              <w:tc>
                <w:tcPr>
                  <w:tcW w:w="10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分子式</w:t>
                  </w:r>
                </w:p>
              </w:tc>
              <w:tc>
                <w:tcPr>
                  <w:tcW w:w="18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风险类型</w:t>
                  </w:r>
                </w:p>
              </w:tc>
              <w:tc>
                <w:tcPr>
                  <w:tcW w:w="38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理化性质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73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燃料油</w:t>
                  </w:r>
                </w:p>
              </w:tc>
              <w:tc>
                <w:tcPr>
                  <w:tcW w:w="102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w:t>
                  </w:r>
                </w:p>
              </w:tc>
              <w:tc>
                <w:tcPr>
                  <w:tcW w:w="183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易燃液体</w:t>
                  </w:r>
                </w:p>
              </w:tc>
              <w:tc>
                <w:tcPr>
                  <w:tcW w:w="38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暗黑色液体，较粘稠，难挥发。蒸汽密度为4；沸点180~370℃；相对密度(水)为0.96~1.02；饱和蒸汽压为4.0kPa；比热10000~11000kcal/kg，溶解性不溶于水。</w:t>
                  </w:r>
                </w:p>
              </w:tc>
            </w:tr>
          </w:tbl>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燃料油的危害毒理如下表所示：</w:t>
            </w:r>
          </w:p>
          <w:p>
            <w:pPr>
              <w:pStyle w:val="140"/>
              <w:pageBreakBefore w:val="0"/>
              <w:kinsoku/>
              <w:bidi w:val="0"/>
              <w:spacing w:beforeAutospacing="0" w:afterAutospacing="0" w:line="240" w:lineRule="auto"/>
              <w:jc w:val="cente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表</w:t>
            </w:r>
            <w:r>
              <w:rPr>
                <w:rFonts w:hint="eastAsia"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4.11-5</w:t>
            </w:r>
            <w:r>
              <w:rPr>
                <w:rFonts w:hint="default" w:ascii="Times New Roman" w:hAnsi="Times New Roman" w:eastAsia="宋体" w:cs="Times New Roman"/>
                <w:b/>
                <w:bCs/>
                <w:color w:val="000000" w:themeColor="text1"/>
                <w:kern w:val="2"/>
                <w:sz w:val="24"/>
                <w:szCs w:val="24"/>
                <w:highlight w:val="none"/>
                <w:lang w:val="en-US" w:eastAsia="zh-CN" w:bidi="ar-SA"/>
                <w14:textFill>
                  <w14:solidFill>
                    <w14:schemeClr w14:val="tx1"/>
                  </w14:solidFill>
                </w14:textFill>
              </w:rPr>
              <w:t xml:space="preserve"> 燃料油毒理性质一览表</w:t>
            </w:r>
          </w:p>
          <w:tbl>
            <w:tblPr>
              <w:tblStyle w:val="34"/>
              <w:tblW w:w="8452"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8"/>
              <w:gridCol w:w="720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4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名称</w:t>
                  </w:r>
                </w:p>
              </w:tc>
              <w:tc>
                <w:tcPr>
                  <w:tcW w:w="7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理化性质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248"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燃料油</w:t>
                  </w:r>
                </w:p>
              </w:tc>
              <w:tc>
                <w:tcPr>
                  <w:tcW w:w="7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一、健康危害：</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侵入途径：呼吸道、皮肤、眼睛；消化道吸收；</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健康危害：对皮肤、粘膜有刺激性。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8"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p>
              </w:tc>
              <w:tc>
                <w:tcPr>
                  <w:tcW w:w="720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二、毒理学资料及环境行为：</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毒性：LC</w:t>
                  </w:r>
                  <w:r>
                    <w:rPr>
                      <w:rFonts w:hint="default" w:ascii="Times New Roman" w:hAnsi="Times New Roman" w:eastAsia="宋体" w:cs="Times New Roman"/>
                      <w:color w:val="000000" w:themeColor="text1"/>
                      <w:kern w:val="0"/>
                      <w:sz w:val="21"/>
                      <w:szCs w:val="21"/>
                      <w:vertAlign w:val="subscript"/>
                      <w:lang w:val="en-US" w:eastAsia="zh-CN"/>
                      <w14:textFill>
                        <w14:solidFill>
                          <w14:schemeClr w14:val="tx1"/>
                        </w14:solidFill>
                      </w14:textFill>
                    </w:rPr>
                    <w:t>50</w:t>
                  </w: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：4300mg/kg(大鼠经口)，兔经皮LD50：＞2mg/m</w:t>
                  </w:r>
                  <w:r>
                    <w:rPr>
                      <w:rFonts w:hint="default" w:ascii="Times New Roman" w:hAnsi="Times New Roman" w:eastAsia="宋体" w:cs="Times New Roman"/>
                      <w:color w:val="000000" w:themeColor="text1"/>
                      <w:kern w:val="0"/>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14:textFill>
                        <w14:solidFill>
                          <w14:schemeClr w14:val="tx1"/>
                        </w14:solidFill>
                      </w14:textFill>
                    </w:rPr>
                    <w:t>危险特性：其蒸气与空气可形成爆炸性混合物，遇明火、高热极易燃烧爆炸。与氧化剂能发生强烈反应。蒸气比空气重，能在较低处扩散到相当远的地方，遇火源会着火回燃。燃烧(分解)产物：一氧化碳、二氧化碳。</w:t>
                  </w:r>
                </w:p>
              </w:tc>
            </w:tr>
          </w:tbl>
          <w:p>
            <w:pPr>
              <w:keepNext w:val="0"/>
              <w:keepLines w:val="0"/>
              <w:pageBreakBefore w:val="0"/>
              <w:widowControl w:val="0"/>
              <w:suppressLineNumbers w:val="0"/>
              <w:kinsoku/>
              <w:bidi w:val="0"/>
              <w:adjustRightInd w:val="0"/>
              <w:snapToGrid w:val="0"/>
              <w:spacing w:beforeAutospacing="0" w:afterAutospacing="0" w:line="360" w:lineRule="auto"/>
              <w:ind w:left="0" w:right="0" w:firstLine="482" w:firstLineChars="200"/>
              <w:jc w:val="both"/>
              <w:rPr>
                <w:rFonts w:hint="default" w:ascii="Times New Roman" w:hAnsi="Times New Roman" w:eastAsia="宋体" w:cs="Times New Roman"/>
                <w:b/>
                <w:bCs/>
                <w:i w:val="0"/>
                <w:iCs w:val="0"/>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b/>
                <w:bCs/>
                <w:i w:val="0"/>
                <w:iCs w:val="0"/>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（3）源项分析</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1）最大可信事故</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本项目主要风险源为船舶溢油，据统计，溢油事故原因可大致分为操作性事故、海难事故和其他/未知三大类，其中操作性事故包括装卸油、加燃油和其他作业，是造成码头船舶溢油事故的主要原因，海难事故包括碰撞、搁浅、船体损坏、火灾等，是码头船舶溢油的次要原因。本项目拟建码头位于沙埕港，邻近沙埕港航道。运营期间，考虑到码头上下游有一些泊位，潜在船舶碰撞风险因素，均有可能造成溢油事故发生。</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综上分析，本工程最大可信事故为进出港船舶在航道、锚地由于误操作、船舶碰撞或船舶故障等原因，发生泄漏事故，造成燃料油泄漏，污染海域，破坏海洋生态环境。类比同类型码头项目，溢油事故发生概率约0.0067次/年。</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2）事故源强</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重大溢油事故一般发生运油船舶的油品泄漏，溢油量较大，一般货轮燃料油泄漏量较小。对于本码头而言，事故相对易于察觉与控制，溢油量一般不会很大。本码头不涉及油品运输，因此溢油事故是到港船舶的燃料油泄漏。</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船舶在码头装卸作业、停泊期间发生的溢油事故，相对来说易于察觉和控制，事故发生后，采取一定的措施，可以防止继续溢油。根据《船舶污染海洋环境风险评价技术规范（试行）》中溢油量计算方法“最可能发生操作性船舶污染事故的溢油量：10吨，或船舶在装卸作业过程中所装载货油数量的1%，取二者中较小值”，本项目最可能发生溢油量为2.1t。</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2" w:firstLineChars="200"/>
              <w:jc w:val="both"/>
              <w:rPr>
                <w:rFonts w:hint="default" w:ascii="Times New Roman" w:hAnsi="Times New Roman" w:eastAsia="宋体" w:cs="Times New Roman"/>
                <w:b/>
                <w:bCs/>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b/>
                <w:bCs/>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（4）事故溢油影响分析</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由于天气原因、船舶原因和船员操作等原因造成船舶的灾害性事故具有很大的偶然性、不可预测性和难防范性。事故可能造成大量船舶燃料油溢漏入海，将对周边海域的水质及海洋生态环境造成严重的影响。拟建项目区涉及敏感目标包括周边养殖户、红树林等。</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1）溢油事故对水域生物的影响</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①石油污染对浮游植物的影响</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实验证明，石油会破坏浮游植物细胞，损坏叶绿素及干扰气体交换，从而妨碍浮游植物的光合作用。这种破坏作用程度取决于石油的类型、浓度及浮游植物的种类。根据国内外许多毒性实验结果表明，海洋浮游植物石油急性中毒致死浓度较低，范围为0.1～10mg/L，一般为1mg/L。但其致死浓度常随着种类、油的类型和浓度而变化，据Mironov 和Lanskaya报道，裸甲藻对石油类耐受阈值为0.1～10mg/L，致死浓度为5mg/L(阈值为1mg/L)，原甲藻 C．Kovalevskii阈值为0.1～1mg/L。而对于更敏感的种类，石油浓度低于0.1mg/L时，也会妨碍细胞的分裂和生长的速率。据陈亚瞿、荣佩对20号燃料油对新月菱形藻毒性实验结果表明，低浓度（0.032mg/L）的20号燃料油能刺激其生长繁殖，而高浓度的燃料油(320mg/L)却能抑制其繁殖生长及其叶绿素含量。研究结果表明浮游植物的数量分布与海中石油量常成反比关系，在高浓度石油污染下，浮游植物的生长受到严重的抑制。</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②石油污染对浮游动物的影响</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浮游动物是海洋中次级生产力，浮游动物通过摄食或直接吸收等形式由海水中富集碳氢化合物。浮游动物石油急性中毒致死浓度范围一般为0.1～15mg/L，Mironov等曾将黑海某些桡足类和枝角类暴露于0.1mg/L的石油海水中，当天浮游动物全部死亡。当石油含量降至0.05mg/L，小型拟哲水蚤的半致死时间为4天，而胸刺镖蚤Centropages、乌缘尖头蚤和长腹剑水蚤Oithona的半致死天数依次为3天、2天和1天。另外，Mironov对不同浓度对桡足类幼体的影响实验表明，永久性(终生性)浮游动物幼体的敏感性大于阶段性(临时性)的底栖生物幼体，而它们各自的幼体的敏感性又大于成体。</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③石油污染对底栖生物的影响</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底栖生物是海洋生态系统中十分重要的生态类群。其种类数量多分布广并且有重要的经济价值。其中大部分种类虽然在大部分时间内在海底生活，但其中一部分种类的幼体也有临时性浮游生活。底栖生物随种类的不同而产生对石油浓度适应的差异。多数底栖生物石油急性中毒致死浓度范围在2.0～15mg/L，其幼体的致死浓度范围更小些。软体动物双壳能吸收水中含量很低的石油，如 0.0lmg/L的石油会使牡蛎有明显的油味，严重的油味可持续达半年之久。处于半死浓度的牡蛎会引起因纤毛鳃上皮细胞麻痹而破坏其摄食机制并进而死亡。许多贝类、甲壳类如牡蛎、蛤和蟹等，虽然对污染都有较强的耐受力，但海胆、寄居蟹、海盘车等底栖生物耐油污性很差，即使海水中石油含量只有0.0lppm，也可使其死亡。当海水中石油浓度在0.1～0.01mg/L时，对藤壶幼体和蟹幼体有明显的毒效。许多底栖生物不仅是经济鱼，虾类的重要饵料，其本身也是主要的经济种类，有着重要的经济价值，因此一旦遭受污染，就会蒙受巨大损失。棘皮动物对低浓度石油十分敏感，即使在遇到船舶航行油迹后，也会降低海胆的受精率，此外某些蠕虫，也为耐受性动物，如多毛类中小头 Capitalla是严重污染区内可能存在的少数种类之一，因此有人可能利用其作为严重污染区的指标生物。因此，严重的泄漏事故可改变底栖生物的群落结构，而底栖生物的变化又将引起一些底栖鱼类的生态变化，最终导致资源量的减少或局部消失。</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④石油污染对鱼类的影响</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石油污染对鱼类的影响，尤其是鱼卵和仔幼鱼的危害极为严重。国内外许多的研究均表明高浓度的石油会使鱼卵、仔幼鱼短时间内中毒死亡，低浓度的长期亚急性毒性可干扰鱼类摄食和繁殖，其毒性随石油组分的不同而有差异。根据东海水产研究近年来对几种不同油类对锱鱼仔鱼Mugil caphalus的毒性试验结果表明，20号燃料油对黑鲷Sparus macrocephaius的96h-LC50值为2.34mg/L，而对黑鲷的20天生长试验结果，其最低影响浓度(LOEC)和无影响浓度分别为0.096mg/L和0.032mg/L。</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⑤石油对水产动、植物的油臭影响</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海洋中一旦发生油污染，扩散的油分子会迅速随风及水的流动而扩散，水产动、植物一旦与其接触，即会在短时间内发生油臭，从而影响食用价值，以20号燃料油为例，当油浓度为0.004mg/L时，5天就能使对虾产生油味，14天和21天分别使文蛤和葛氏长臂虾产生异味。</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2）溢油事故对敏感目标的影响</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溢油事故对敏感目标的影响主要是对养殖区的影响。本项目500m范围外存在浅海养殖。若发生溢油，则应及时启动应急预案，否则将对养殖区带来重大不利影响，溢油的油污浓度大于0.1mg/L范围内，对水产养殖的影响基本上是毁灭性的。</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2" w:firstLineChars="200"/>
              <w:jc w:val="both"/>
              <w:rPr>
                <w:rFonts w:hint="default" w:ascii="Times New Roman" w:hAnsi="Times New Roman" w:eastAsia="宋体" w:cs="Times New Roman"/>
                <w:b/>
                <w:bCs/>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b/>
                <w:bCs/>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（5）船舶溢油防范措施</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1）企业应建立溢油应急体系和制定溢油应急预案。若出现溢油事故，首先应利用本项目配套的溢油应急器材，在事故发生谁有及时投放吸油材料进行人工回收，少量残油通过喷晒溢油分散剂进行乳化处理。同时，应迅速报宁德市海事局溢油应急指挥中心，由中心统一指挥，进入溢油应急计划的运行。</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2）船舶进出港应实施引航员制度。并规定引航员的培训与考核制度，引航员的职责、以及引航员对航道、浅滩、礁石、港口水文气象条件熟悉的培训。</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3）船舶驾驶员的业务技术应符合要求。按《中华人民共和国防止船舶污染海域管理条例》(1983年12月29同国务院发布)，港区对所用船舶及其人员应提出严格的书面管理要求及所应承担的防止船舶溢油责任和义务，并落实本条例规定的防治污染有关措施。船员对可能出现事故溢油的人为原因与自然因素应学习、了解，提高溢油危害的认识及安全运输的责任感和责任心。</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4）在港轮船应实施值班、瞭望制度。尽管产生船舶事故的原因及不确定因素较复杂，但人为因素、尤其失去警惕是造成船舶事故的主要原因。因此，加强值班、瞭望工作是减少船舶事故发生可能性的重要措施。</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5）根据《中华人民共和国防止船舶污染海域管理条例》、《港口码头溢油应急设备配备要求》（JT/451-2009），该要求主要对油码头的溢油应急设备配备提出明确要求，对其它功能的码头溢油应急设备的配备并未提出明确要求。为保证本项目的溢油应急计划的正常有效，本项目属于陆岛交通码头（非油码头），建议应配备如下基本设施和器材：</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①设备与器材配备：纤维类吸油材料0.2吨，浓缩类消油剂0.5吨。</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②配备报警系统及必要的通信器材，以便及时与溢油应急指挥中心、港监、环境管理部门等有关单位建立联系，及时采取应急措施。</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③在管理房里面设置存放溢油应急器材的专用库房。</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2" w:firstLineChars="200"/>
              <w:jc w:val="both"/>
              <w:rPr>
                <w:rFonts w:hint="default" w:ascii="Times New Roman" w:hAnsi="Times New Roman" w:eastAsia="宋体" w:cs="Times New Roman"/>
                <w:b/>
                <w:bCs/>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b/>
                <w:bCs/>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（6）码头风险防范措施</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1）严格码头装卸作业流程，在装卸作业中，严格执行操作规程，掌握作业进度，防止事故的发生。如遇雷电和暴风雨天气以及附近有火情时停止装卸作业。</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2）码头泊位应装备符合工程要求的系船设施和防撞靠泊设施；应按照设计船型参数，对船舶进港航道、港池及调头区实施必要清淤工作；并注意航标设置及日常维护工作。</w:t>
            </w:r>
          </w:p>
          <w:p>
            <w:pPr>
              <w:keepNext w:val="0"/>
              <w:keepLines w:val="0"/>
              <w:pageBreakBefore w:val="0"/>
              <w:widowControl w:val="0"/>
              <w:suppressLineNumbers w:val="0"/>
              <w:kinsoku/>
              <w:bidi w:val="0"/>
              <w:adjustRightInd w:val="0"/>
              <w:snapToGrid w:val="0"/>
              <w:spacing w:beforeAutospacing="0" w:afterAutospacing="0" w:line="360" w:lineRule="auto"/>
              <w:ind w:left="0" w:right="0" w:firstLine="480" w:firstLineChars="200"/>
              <w:jc w:val="both"/>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3）对码头操作员队伍进行培训，持证上岗。主要培训内容包括港口、码头安全防污管理规定、国际防污公约、《国际油轮和油码头安全指南》、防火防爆知识、船舶靠泊、接管、装卸、扫气、报警、应急、急救等方面的基础知识和技术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54" w:hRule="atLeast"/>
          <w:jc w:val="center"/>
        </w:trPr>
        <w:tc>
          <w:tcPr>
            <w:tcW w:w="311" w:type="dxa"/>
            <w:tcMar>
              <w:left w:w="28" w:type="dxa"/>
              <w:right w:w="28" w:type="dxa"/>
            </w:tcMar>
            <w:vAlign w:val="center"/>
          </w:tcPr>
          <w:p>
            <w:pPr>
              <w:pStyle w:val="30"/>
              <w:keepNext w:val="0"/>
              <w:keepLines w:val="0"/>
              <w:pageBreakBefore w:val="0"/>
              <w:kinsoku/>
              <w:wordWrap/>
              <w:overflowPunct/>
              <w:topLinePunct w:val="0"/>
              <w:bidi w:val="0"/>
              <w:adjustRightInd w:val="0"/>
              <w:snapToGrid w:val="0"/>
              <w:spacing w:before="0" w:beforeAutospacing="0" w:after="0" w:afterAutospacing="0"/>
              <w:jc w:val="center"/>
              <w:textAlignment w:val="auto"/>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14:textFill>
                  <w14:solidFill>
                    <w14:schemeClr w14:val="tx1"/>
                  </w14:solidFill>
                </w14:textFill>
              </w:rPr>
              <w:t>选址选线环境合理性分析</w:t>
            </w:r>
          </w:p>
        </w:tc>
        <w:tc>
          <w:tcPr>
            <w:tcW w:w="8670" w:type="dxa"/>
            <w:vAlign w:val="top"/>
          </w:tcPr>
          <w:p>
            <w:pPr>
              <w:pStyle w:val="11"/>
              <w:pageBreakBefore w:val="0"/>
              <w:kinsoku/>
              <w:bidi w:val="0"/>
              <w:spacing w:beforeAutospacing="0" w:afterAutospacing="0"/>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4.</w:t>
            </w:r>
            <w:r>
              <w:rPr>
                <w:rFonts w:hint="eastAsia" w:ascii="Times New Roman" w:hAnsi="Times New Roman" w:eastAsia="宋体" w:cs="Times New Roman"/>
                <w:color w:val="000000" w:themeColor="text1"/>
                <w:sz w:val="32"/>
                <w:szCs w:val="32"/>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选址合理性分析</w:t>
            </w:r>
          </w:p>
          <w:p>
            <w:pPr>
              <w:pStyle w:val="22"/>
              <w:pageBreakBefore w:val="0"/>
              <w:kinsoku/>
              <w:bidi w:val="0"/>
              <w:spacing w:beforeAutospacing="0" w:after="0" w:afterAutospacing="0" w:line="360" w:lineRule="auto"/>
              <w:ind w:left="0" w:leftChars="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本项目为新建项目，选址为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福建省宁德市福鼎市白琳镇沿州村</w:t>
            </w:r>
            <w:r>
              <w:rPr>
                <w:rFonts w:hint="default" w:ascii="Times New Roman" w:hAnsi="Times New Roman" w:eastAsia="宋体" w:cs="Times New Roman"/>
                <w:color w:val="000000" w:themeColor="text1"/>
                <w:sz w:val="24"/>
                <w:szCs w:val="24"/>
                <w:highlight w:val="none"/>
                <w14:textFill>
                  <w14:solidFill>
                    <w14:schemeClr w14:val="tx1"/>
                  </w14:solidFill>
                </w14:textFill>
              </w:rPr>
              <w:t>。根据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福鼎市国土资源局</w:t>
            </w:r>
            <w:r>
              <w:rPr>
                <w:rFonts w:hint="default" w:ascii="Times New Roman" w:hAnsi="Times New Roman" w:eastAsia="宋体" w:cs="Times New Roman"/>
                <w:color w:val="000000" w:themeColor="text1"/>
                <w:sz w:val="24"/>
                <w:szCs w:val="24"/>
                <w:highlight w:val="none"/>
                <w14:textFill>
                  <w14:solidFill>
                    <w14:schemeClr w14:val="tx1"/>
                  </w14:solidFill>
                </w14:textFill>
              </w:rPr>
              <w:t>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2014年12月15日出让白琳镇沿洲村、白岩村4号地块国有建设用地使用权于</w:t>
            </w:r>
            <w:r>
              <w:rPr>
                <w:rFonts w:hint="default" w:ascii="Times New Roman" w:hAnsi="Times New Roman" w:eastAsia="宋体" w:cs="Times New Roman"/>
                <w:color w:val="000000" w:themeColor="text1"/>
                <w:sz w:val="24"/>
                <w:szCs w:val="24"/>
                <w:highlight w:val="none"/>
                <w14:textFill>
                  <w14:solidFill>
                    <w14:schemeClr w14:val="tx1"/>
                  </w14:solidFill>
                </w14:textFill>
              </w:rPr>
              <w:t>福建万成港口开发有限公司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并签订《国有建设用地使用权出让合同（35098220130609G052）》。并于2014年12月17日出具《建设用地规划许可证（地字第350982201420077号）》，规划万成物流仓储及配套码头项目用地性质为工业仓储用地。</w:t>
            </w:r>
          </w:p>
          <w:p>
            <w:pPr>
              <w:pStyle w:val="22"/>
              <w:pageBreakBefore w:val="0"/>
              <w:kinsoku/>
              <w:bidi w:val="0"/>
              <w:spacing w:beforeAutospacing="0" w:after="0" w:afterAutospacing="0" w:line="360" w:lineRule="auto"/>
              <w:ind w:left="0" w:leftChars="0"/>
              <w:jc w:val="left"/>
              <w:rPr>
                <w:rFonts w:hint="default" w:ascii="Times New Roman" w:hAnsi="Times New Roman" w:eastAsia="宋体" w:cs="Times New Roman"/>
                <w:bCs/>
                <w:color w:val="000000" w:themeColor="text1"/>
                <w:spacing w:val="-10"/>
                <w:szCs w:val="21"/>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该选址不在饮用水源保护区、自然保护区等生态敏感区域，不涉及占用永久基本农田，本项目在采取必要的环保措施后，其建设</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施工</w:t>
            </w:r>
            <w:r>
              <w:rPr>
                <w:rFonts w:hint="default" w:ascii="Times New Roman" w:hAnsi="Times New Roman" w:eastAsia="宋体" w:cs="Times New Roman"/>
                <w:color w:val="000000" w:themeColor="text1"/>
                <w:sz w:val="24"/>
                <w:szCs w:val="24"/>
                <w:highlight w:val="none"/>
                <w14:textFill>
                  <w14:solidFill>
                    <w14:schemeClr w14:val="tx1"/>
                  </w14:solidFill>
                </w14:textFill>
              </w:rPr>
              <w:t>对周边环境影响不大，本项目选址从环境保护角度分析是合理的</w:t>
            </w:r>
          </w:p>
        </w:tc>
      </w:tr>
    </w:tbl>
    <w:p>
      <w:pPr>
        <w:pageBreakBefore w:val="0"/>
        <w:kinsoku/>
        <w:bidi w:val="0"/>
        <w:adjustRightInd w:val="0"/>
        <w:snapToGrid w:val="0"/>
        <w:spacing w:beforeAutospacing="0" w:afterAutospacing="0" w:line="360" w:lineRule="auto"/>
        <w:rPr>
          <w:rFonts w:hint="default" w:ascii="Times New Roman" w:hAnsi="Times New Roman" w:eastAsia="宋体" w:cs="Times New Roman"/>
          <w:b/>
          <w:color w:val="000000" w:themeColor="text1"/>
          <w:kern w:val="0"/>
          <w:sz w:val="28"/>
          <w:szCs w:val="28"/>
          <w:highlight w:val="none"/>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0"/>
        <w:pageBreakBefore w:val="0"/>
        <w:numPr>
          <w:ilvl w:val="0"/>
          <w:numId w:val="5"/>
        </w:numPr>
        <w:kinsoku/>
        <w:bidi w:val="0"/>
        <w:spacing w:before="0" w:beforeAutospacing="0" w:after="0" w:afterAutospacing="0"/>
        <w:ind w:left="420" w:leftChars="0" w:firstLineChars="0"/>
        <w:jc w:val="center"/>
        <w:outlineLvl w:val="0"/>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pPr>
      <w:bookmarkStart w:id="72" w:name="_Toc5250"/>
      <w:r>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t>主要生态环境保护措施</w:t>
      </w:r>
      <w:bookmarkEnd w:id="43"/>
      <w:bookmarkEnd w:id="72"/>
    </w:p>
    <w:tbl>
      <w:tblPr>
        <w:tblStyle w:val="33"/>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7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456"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firstLineChars="0"/>
              <w:jc w:val="center"/>
              <w:textAlignment w:val="auto"/>
              <w:rPr>
                <w:rFonts w:hint="default" w:ascii="Times New Roman" w:hAnsi="Times New Roman" w:eastAsia="宋体" w:cs="Times New Roman"/>
                <w:bCs/>
                <w:color w:val="000000" w:themeColor="text1"/>
                <w:szCs w:val="21"/>
                <w:highlight w:val="none"/>
                <w14:textFill>
                  <w14:solidFill>
                    <w14:schemeClr w14:val="tx1"/>
                  </w14:solidFill>
                </w14:textFill>
              </w:rPr>
            </w:pP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施工期生态环境保护措施</w:t>
            </w:r>
          </w:p>
        </w:tc>
        <w:tc>
          <w:tcPr>
            <w:tcW w:w="8754" w:type="dxa"/>
            <w:vAlign w:val="top"/>
          </w:tcPr>
          <w:p>
            <w:pPr>
              <w:pStyle w:val="11"/>
              <w:pageBreakBefore w:val="0"/>
              <w:kinsoku/>
              <w:bidi w:val="0"/>
              <w:spacing w:beforeAutospacing="0" w:afterAutospacing="0"/>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32"/>
                <w:szCs w:val="32"/>
                <w:highlight w:val="none"/>
                <w:lang w:val="en-US" w:eastAsia="zh-CN"/>
                <w14:textFill>
                  <w14:solidFill>
                    <w14:schemeClr w14:val="tx1"/>
                  </w14:solidFill>
                </w14:textFill>
              </w:rPr>
              <w:t>1施工期</w:t>
            </w:r>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水污染防治措施</w:t>
            </w:r>
          </w:p>
          <w:p>
            <w:pPr>
              <w:pStyle w:val="11"/>
              <w:pageBreakBefore w:val="0"/>
              <w:kinsoku/>
              <w:bidi w:val="0"/>
              <w:spacing w:beforeAutospacing="0" w:afterAutospacing="0"/>
              <w:rPr>
                <w:rFonts w:hint="default" w:ascii="Times New Roman" w:hAnsi="Times New Roman" w:eastAsia="宋体"/>
                <w:color w:val="000000" w:themeColor="text1"/>
                <w:sz w:val="28"/>
                <w:szCs w:val="28"/>
                <w:lang w:val="en-US" w:eastAsia="zh-CN"/>
                <w14:textFill>
                  <w14:solidFill>
                    <w14:schemeClr w14:val="tx1"/>
                  </w14:solidFill>
                </w14:textFill>
              </w:rPr>
            </w:pPr>
            <w:r>
              <w:rPr>
                <w:rFonts w:hint="default" w:ascii="Times New Roman" w:hAnsi="Times New Roman" w:eastAsia="宋体"/>
                <w:color w:val="000000" w:themeColor="text1"/>
                <w:sz w:val="28"/>
                <w:szCs w:val="28"/>
                <w:lang w:val="en-US" w:eastAsia="zh-CN"/>
                <w14:textFill>
                  <w14:solidFill>
                    <w14:schemeClr w14:val="tx1"/>
                  </w14:solidFill>
                </w14:textFill>
              </w:rPr>
              <w:t>5.</w:t>
            </w:r>
            <w:r>
              <w:rPr>
                <w:rFonts w:hint="eastAsia" w:ascii="Times New Roman" w:hAnsi="Times New Roman" w:eastAsia="宋体"/>
                <w:color w:val="000000" w:themeColor="text1"/>
                <w:sz w:val="28"/>
                <w:szCs w:val="28"/>
                <w:lang w:val="en-US" w:eastAsia="zh-CN"/>
                <w14:textFill>
                  <w14:solidFill>
                    <w14:schemeClr w14:val="tx1"/>
                  </w14:solidFill>
                </w14:textFill>
              </w:rPr>
              <w:t>1</w:t>
            </w:r>
            <w:r>
              <w:rPr>
                <w:rFonts w:hint="default" w:ascii="Times New Roman" w:hAnsi="Times New Roman" w:eastAsia="宋体"/>
                <w:color w:val="000000" w:themeColor="text1"/>
                <w:sz w:val="28"/>
                <w:szCs w:val="28"/>
                <w:lang w:val="en-US" w:eastAsia="zh-CN"/>
                <w14:textFill>
                  <w14:solidFill>
                    <w14:schemeClr w14:val="tx1"/>
                  </w14:solidFill>
                </w14:textFill>
              </w:rPr>
              <w:t>.1</w:t>
            </w:r>
            <w:r>
              <w:rPr>
                <w:rFonts w:hint="eastAsia" w:ascii="Times New Roman" w:hAnsi="Times New Roman" w:eastAsia="宋体"/>
                <w:color w:val="000000" w:themeColor="text1"/>
                <w:sz w:val="28"/>
                <w:szCs w:val="28"/>
                <w:lang w:val="en-US" w:eastAsia="zh-CN"/>
                <w14:textFill>
                  <w14:solidFill>
                    <w14:schemeClr w14:val="tx1"/>
                  </w14:solidFill>
                </w14:textFill>
              </w:rPr>
              <w:t>施工期</w:t>
            </w:r>
            <w:r>
              <w:rPr>
                <w:rFonts w:hint="default" w:ascii="Times New Roman" w:hAnsi="Times New Roman" w:eastAsia="宋体"/>
                <w:color w:val="000000" w:themeColor="text1"/>
                <w:sz w:val="28"/>
                <w:szCs w:val="28"/>
                <w:lang w:val="en-US" w:eastAsia="zh-CN"/>
                <w14:textFill>
                  <w14:solidFill>
                    <w14:schemeClr w14:val="tx1"/>
                  </w14:solidFill>
                </w14:textFill>
              </w:rPr>
              <w:t>水污染防治措施及其可行性分析</w:t>
            </w:r>
          </w:p>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outlineLvl w:val="9"/>
              <w:rPr>
                <w:rFonts w:hint="default" w:ascii="Times New Roman" w:hAnsi="Times New Roman" w:eastAsia="宋体" w:cs="Times New Roman"/>
                <w:bCs/>
                <w:color w:val="000000" w:themeColor="text1"/>
                <w:kern w:val="2"/>
                <w:sz w:val="24"/>
                <w:szCs w:val="24"/>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shd w:val="clear" w:color="auto" w:fill="auto"/>
                <w:lang w:val="en-US" w:eastAsia="zh-CN" w:bidi="ar-SA"/>
                <w14:textFill>
                  <w14:solidFill>
                    <w14:schemeClr w14:val="tx1"/>
                  </w14:solidFill>
                </w14:textFill>
              </w:rPr>
              <w:t>（1）废水防治措施</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outlineLvl w:val="9"/>
              <w:rPr>
                <w:rFonts w:hint="eastAsia" w:ascii="Times New Roman" w:hAnsi="Times New Roman" w:eastAsia="宋体" w:cs="Times New Roman"/>
                <w:bCs/>
                <w:color w:val="000000" w:themeColor="text1"/>
                <w:kern w:val="2"/>
                <w:sz w:val="24"/>
                <w:szCs w:val="24"/>
                <w:highlight w:val="none"/>
                <w:shd w:val="clear" w:color="auto" w:fill="auto"/>
                <w:lang w:val="en-US" w:eastAsia="zh-CN" w:bidi="ar-SA"/>
                <w14:textFill>
                  <w14:solidFill>
                    <w14:schemeClr w14:val="tx1"/>
                  </w14:solidFill>
                </w14:textFill>
              </w:rPr>
            </w:pPr>
            <w:r>
              <w:rPr>
                <w:rFonts w:hint="eastAsia" w:ascii="Times New Roman" w:hAnsi="Times New Roman" w:eastAsia="宋体" w:cs="Times New Roman"/>
                <w:bCs/>
                <w:color w:val="000000" w:themeColor="text1"/>
                <w:kern w:val="2"/>
                <w:sz w:val="24"/>
                <w:szCs w:val="24"/>
                <w:highlight w:val="none"/>
                <w:shd w:val="clear" w:color="auto" w:fill="auto"/>
                <w:lang w:val="en-US" w:eastAsia="zh-CN" w:bidi="ar-SA"/>
                <w14:textFill>
                  <w14:solidFill>
                    <w14:schemeClr w14:val="tx1"/>
                  </w14:solidFill>
                </w14:textFill>
              </w:rPr>
              <w:t>本项目施工期废水主要包括生产废水和生活污水，其中</w:t>
            </w:r>
            <w:r>
              <w:rPr>
                <w:rFonts w:hint="default" w:ascii="Times New Roman" w:hAnsi="Times New Roman" w:eastAsia="宋体" w:cs="Times New Roman"/>
                <w:color w:val="000000" w:themeColor="text1"/>
                <w:sz w:val="24"/>
                <w:szCs w:val="24"/>
                <w:highlight w:val="none"/>
                <w14:textFill>
                  <w14:solidFill>
                    <w14:schemeClr w14:val="tx1"/>
                  </w14:solidFill>
                </w14:textFill>
              </w:rPr>
              <w:t>生活污水通过化粪池处理后</w:t>
            </w:r>
            <w:r>
              <w:rPr>
                <w:rFonts w:hint="default" w:ascii="Times New Roman" w:hAnsi="Times New Roman" w:eastAsia="宋体" w:cs="Times New Roman"/>
                <w:b w:val="0"/>
                <w:bCs/>
                <w:iCs/>
                <w:color w:val="000000" w:themeColor="text1"/>
                <w:kern w:val="2"/>
                <w:sz w:val="24"/>
                <w:szCs w:val="24"/>
                <w:highlight w:val="none"/>
                <w:lang w:val="en-US" w:eastAsia="zh-CN"/>
                <w14:textFill>
                  <w14:solidFill>
                    <w14:schemeClr w14:val="tx1"/>
                  </w14:solidFill>
                </w14:textFill>
              </w:rPr>
              <w:t>用槽罐车运往</w:t>
            </w:r>
            <w:r>
              <w:rPr>
                <w:rFonts w:hint="eastAsia" w:ascii="Times New Roman" w:hAnsi="Times New Roman" w:eastAsia="宋体" w:cs="Times New Roman"/>
                <w:b w:val="0"/>
                <w:bCs/>
                <w:iCs/>
                <w:color w:val="000000" w:themeColor="text1"/>
                <w:kern w:val="2"/>
                <w:sz w:val="24"/>
                <w:szCs w:val="24"/>
                <w:highlight w:val="none"/>
                <w:lang w:val="en-US" w:eastAsia="zh-CN"/>
                <w14:textFill>
                  <w14:solidFill>
                    <w14:schemeClr w14:val="tx1"/>
                  </w14:solidFill>
                </w14:textFill>
              </w:rPr>
              <w:t>福鼎市白琳镇污水处理站</w:t>
            </w:r>
            <w:r>
              <w:rPr>
                <w:rFonts w:hint="default" w:ascii="Times New Roman" w:hAnsi="Times New Roman" w:eastAsia="宋体" w:cs="Times New Roman"/>
                <w:b w:val="0"/>
                <w:bCs/>
                <w:iCs/>
                <w:color w:val="000000" w:themeColor="text1"/>
                <w:kern w:val="2"/>
                <w:sz w:val="24"/>
                <w:szCs w:val="24"/>
                <w:highlight w:val="none"/>
                <w:lang w:val="en-US" w:eastAsia="zh-CN"/>
                <w14:textFill>
                  <w14:solidFill>
                    <w14:schemeClr w14:val="tx1"/>
                  </w14:solidFill>
                </w14:textFill>
              </w:rPr>
              <w:t>深度处理</w:t>
            </w:r>
            <w:r>
              <w:rPr>
                <w:rFonts w:hint="eastAsia" w:ascii="Times New Roman" w:hAnsi="Times New Roman" w:eastAsia="宋体" w:cs="Times New Roman"/>
                <w:bCs/>
                <w:color w:val="000000" w:themeColor="text1"/>
                <w:kern w:val="2"/>
                <w:sz w:val="24"/>
                <w:szCs w:val="24"/>
                <w:highlight w:val="none"/>
                <w:shd w:val="clear" w:color="auto" w:fill="auto"/>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outlineLvl w:val="9"/>
              <w:rPr>
                <w:rFonts w:hint="eastAsia" w:ascii="Times New Roman" w:hAnsi="Times New Roman" w:eastAsia="宋体" w:cs="宋体"/>
                <w:b w:val="0"/>
                <w:bCs w:val="0"/>
                <w:color w:val="000000" w:themeColor="text1"/>
                <w:sz w:val="24"/>
                <w:szCs w:val="24"/>
                <w:highlight w:val="none"/>
                <w:u w:val="none" w:color="auto"/>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shd w:val="clear" w:color="auto" w:fill="auto"/>
                <w14:textFill>
                  <w14:solidFill>
                    <w14:schemeClr w14:val="tx1"/>
                  </w14:solidFill>
                </w14:textFill>
              </w:rPr>
              <w:t>项目生产过程中表</w:t>
            </w:r>
            <w:r>
              <w:rPr>
                <w:rFonts w:hint="default" w:ascii="Times New Roman" w:hAnsi="Times New Roman" w:eastAsia="宋体" w:cs="Times New Roman"/>
                <w:color w:val="000000" w:themeColor="text1"/>
                <w:sz w:val="24"/>
                <w:szCs w:val="24"/>
                <w:highlight w:val="none"/>
                <w:u w:val="none" w:color="auto"/>
                <w:shd w:val="clear" w:color="auto" w:fill="auto"/>
                <w:lang w:val="en-US" w:eastAsia="zh-CN"/>
                <w14:textFill>
                  <w14:solidFill>
                    <w14:schemeClr w14:val="tx1"/>
                  </w14:solidFill>
                </w14:textFill>
              </w:rPr>
              <w:t>层</w:t>
            </w:r>
            <w:r>
              <w:rPr>
                <w:rFonts w:hint="default" w:ascii="Times New Roman" w:hAnsi="Times New Roman" w:eastAsia="宋体" w:cs="Times New Roman"/>
                <w:color w:val="000000" w:themeColor="text1"/>
                <w:sz w:val="24"/>
                <w:szCs w:val="24"/>
                <w:highlight w:val="none"/>
                <w:u w:val="none" w:color="auto"/>
                <w:shd w:val="clear" w:color="auto" w:fill="auto"/>
                <w14:textFill>
                  <w14:solidFill>
                    <w14:schemeClr w14:val="tx1"/>
                  </w14:solidFill>
                </w14:textFill>
              </w:rPr>
              <w:t>土剥离、钻孔、传送、装卸等各个环节中均需洒水抑尘，该部分水大部分蒸发。车辆冲洗废水产生量为5m</w:t>
            </w:r>
            <w:r>
              <w:rPr>
                <w:rFonts w:hint="default" w:ascii="Times New Roman" w:hAnsi="Times New Roman" w:eastAsia="宋体" w:cs="Times New Roman"/>
                <w:color w:val="000000" w:themeColor="text1"/>
                <w:sz w:val="24"/>
                <w:szCs w:val="24"/>
                <w:highlight w:val="none"/>
                <w:u w:val="none" w:color="auto"/>
                <w:shd w:val="clear" w:color="auto" w:fill="auto"/>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u w:val="none" w:color="auto"/>
                <w:shd w:val="clear" w:color="auto" w:fill="auto"/>
                <w14:textFill>
                  <w14:solidFill>
                    <w14:schemeClr w14:val="tx1"/>
                  </w14:solidFill>
                </w14:textFill>
              </w:rPr>
              <w:t>/d，</w:t>
            </w:r>
            <w:r>
              <w:rPr>
                <w:rFonts w:hint="default" w:ascii="Times New Roman" w:hAnsi="Times New Roman" w:eastAsia="宋体" w:cs="Times New Roman"/>
                <w:snapToGrid w:val="0"/>
                <w:color w:val="000000" w:themeColor="text1"/>
                <w:kern w:val="0"/>
                <w:sz w:val="24"/>
                <w:highlight w:val="none"/>
                <w:u w:val="none" w:color="auto"/>
                <w:shd w:val="clear" w:color="auto" w:fill="auto"/>
                <w14:textFill>
                  <w14:solidFill>
                    <w14:schemeClr w14:val="tx1"/>
                  </w14:solidFill>
                </w14:textFill>
              </w:rPr>
              <w:t>经</w:t>
            </w:r>
            <w:r>
              <w:rPr>
                <w:rFonts w:hint="default" w:ascii="Times New Roman" w:hAnsi="Times New Roman" w:eastAsia="宋体" w:cs="Times New Roman"/>
                <w:snapToGrid w:val="0"/>
                <w:color w:val="000000" w:themeColor="text1"/>
                <w:kern w:val="0"/>
                <w:sz w:val="24"/>
                <w:highlight w:val="none"/>
                <w:u w:val="none" w:color="auto"/>
                <w:shd w:val="clear" w:color="auto" w:fill="auto"/>
                <w:lang w:eastAsia="zh-CN"/>
                <w14:textFill>
                  <w14:solidFill>
                    <w14:schemeClr w14:val="tx1"/>
                  </w14:solidFill>
                </w14:textFill>
              </w:rPr>
              <w:t>隔油</w:t>
            </w:r>
            <w:r>
              <w:rPr>
                <w:rFonts w:hint="default" w:ascii="Times New Roman" w:hAnsi="Times New Roman" w:eastAsia="宋体" w:cs="Times New Roman"/>
                <w:snapToGrid w:val="0"/>
                <w:color w:val="000000" w:themeColor="text1"/>
                <w:kern w:val="0"/>
                <w:sz w:val="24"/>
                <w:highlight w:val="none"/>
                <w:u w:val="none" w:color="auto"/>
                <w:shd w:val="clear" w:color="auto" w:fill="auto"/>
                <w14:textFill>
                  <w14:solidFill>
                    <w14:schemeClr w14:val="tx1"/>
                  </w14:solidFill>
                </w14:textFill>
              </w:rPr>
              <w:t>沉淀池处理后</w:t>
            </w:r>
            <w:r>
              <w:rPr>
                <w:rFonts w:hint="default" w:ascii="Times New Roman" w:hAnsi="Times New Roman" w:eastAsia="宋体" w:cs="Times New Roman"/>
                <w:snapToGrid w:val="0"/>
                <w:color w:val="000000" w:themeColor="text1"/>
                <w:kern w:val="0"/>
                <w:sz w:val="24"/>
                <w:highlight w:val="none"/>
                <w:u w:val="none" w:color="auto"/>
                <w:shd w:val="clear" w:color="auto" w:fill="auto"/>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highlight w:val="none"/>
                <w:u w:val="none" w:color="auto"/>
                <w:shd w:val="clear" w:color="auto" w:fill="auto"/>
                <w:lang w:val="en-US" w:eastAsia="zh-CN"/>
                <w14:textFill>
                  <w14:solidFill>
                    <w14:schemeClr w14:val="tx1"/>
                  </w14:solidFill>
                </w14:textFill>
              </w:rPr>
              <w:t>定期补充蒸发水量</w:t>
            </w:r>
            <w:r>
              <w:rPr>
                <w:rFonts w:hint="default" w:ascii="Times New Roman" w:hAnsi="Times New Roman" w:eastAsia="宋体" w:cs="Times New Roman"/>
                <w:snapToGrid w:val="0"/>
                <w:color w:val="000000" w:themeColor="text1"/>
                <w:kern w:val="0"/>
                <w:sz w:val="24"/>
                <w:highlight w:val="none"/>
                <w:u w:val="none" w:color="auto"/>
                <w:shd w:val="clear" w:color="auto" w:fill="auto"/>
                <w14:textFill>
                  <w14:solidFill>
                    <w14:schemeClr w14:val="tx1"/>
                  </w14:solidFill>
                </w14:textFill>
              </w:rPr>
              <w:t>循环使用</w:t>
            </w:r>
            <w:r>
              <w:rPr>
                <w:rFonts w:hint="default" w:ascii="Times New Roman" w:hAnsi="Times New Roman" w:eastAsia="宋体" w:cs="Times New Roman"/>
                <w:b w:val="0"/>
                <w:bCs w:val="0"/>
                <w:snapToGrid w:val="0"/>
                <w:color w:val="000000" w:themeColor="text1"/>
                <w:kern w:val="0"/>
                <w:sz w:val="24"/>
                <w:highlight w:val="none"/>
                <w:u w:val="none" w:color="auto"/>
                <w:shd w:val="clear" w:color="auto" w:fill="auto"/>
                <w14:textFill>
                  <w14:solidFill>
                    <w14:schemeClr w14:val="tx1"/>
                  </w14:solidFill>
                </w14:textFill>
              </w:rPr>
              <w:t>，不外排。</w:t>
            </w:r>
          </w:p>
          <w:p>
            <w:pPr>
              <w:keepLines w:val="0"/>
              <w:pageBreakBefore w:val="0"/>
              <w:widowControl w:val="0"/>
              <w:kinsoku/>
              <w:wordWrap/>
              <w:topLinePunct w:val="0"/>
              <w:autoSpaceDE/>
              <w:autoSpaceDN/>
              <w:bidi w:val="0"/>
              <w:adjustRightInd w:val="0"/>
              <w:snapToGrid w:val="0"/>
              <w:spacing w:beforeAutospacing="0" w:afterAutospacing="0" w:line="360" w:lineRule="auto"/>
              <w:ind w:left="0" w:firstLine="480" w:firstLineChars="200"/>
              <w:textAlignment w:val="auto"/>
              <w:outlineLvl w:val="9"/>
              <w:rPr>
                <w:rFonts w:hint="eastAsia" w:ascii="Times New Roman" w:hAnsi="Times New Roman" w:eastAsia="宋体" w:cs="宋体"/>
                <w:b w:val="0"/>
                <w:bCs w:val="0"/>
                <w:color w:val="000000" w:themeColor="text1"/>
                <w:sz w:val="24"/>
                <w:szCs w:val="24"/>
                <w:highlight w:val="none"/>
                <w:u w:val="none" w:color="auto"/>
                <w:shd w:val="clear" w:color="auto" w:fill="auto"/>
                <w:lang w:val="en-US" w:eastAsia="zh-CN"/>
                <w14:textFill>
                  <w14:solidFill>
                    <w14:schemeClr w14:val="tx1"/>
                  </w14:solidFill>
                </w14:textFill>
              </w:rPr>
            </w:pPr>
            <w:r>
              <w:rPr>
                <w:rFonts w:hint="eastAsia" w:ascii="Times New Roman" w:hAnsi="Times New Roman" w:eastAsia="宋体" w:cs="宋体"/>
                <w:b w:val="0"/>
                <w:bCs w:val="0"/>
                <w:color w:val="000000" w:themeColor="text1"/>
                <w:sz w:val="24"/>
                <w:szCs w:val="24"/>
                <w:highlight w:val="none"/>
                <w:u w:val="none" w:color="auto"/>
                <w:shd w:val="clear" w:color="auto" w:fill="auto"/>
                <w:lang w:val="en-US" w:eastAsia="zh-CN"/>
                <w14:textFill>
                  <w14:solidFill>
                    <w14:schemeClr w14:val="tx1"/>
                  </w14:solidFill>
                </w14:textFill>
              </w:rPr>
              <w:t>配套加工废水主要为冲洗废水和污泥压滤废水，该废水一部分被蒸发和产品带走，一部分应收集进入沉淀池处理。废水主要为泥浆水，外观呈土黄色，水中污染物主要为SS，主要为细小泥沙颗粒。污泥压滤废水处理不当会污染环境、造成大量水土流失、淤塞河道、影响水质、破坏市政设施。因此，环评要求本项目对生产废水进行处理后循环利用，不得随意外排。</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outlineLvl w:val="9"/>
              <w:rPr>
                <w:rFonts w:hint="default" w:ascii="Times New Roman" w:hAnsi="Times New Roman" w:eastAsia="宋体" w:cs="Times New Roman"/>
                <w:bCs/>
                <w:color w:val="000000" w:themeColor="text1"/>
                <w:kern w:val="2"/>
                <w:sz w:val="24"/>
                <w:szCs w:val="24"/>
                <w:highlight w:val="none"/>
                <w:shd w:val="clear" w:color="auto" w:fill="auto"/>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4"/>
                <w:szCs w:val="24"/>
                <w:highlight w:val="none"/>
                <w:shd w:val="clear" w:color="auto" w:fill="auto"/>
                <w:lang w:val="en-US" w:eastAsia="zh-CN" w:bidi="ar-SA"/>
                <w14:textFill>
                  <w14:solidFill>
                    <w14:schemeClr w14:val="tx1"/>
                  </w14:solidFill>
                </w14:textFill>
              </w:rPr>
              <w:t>以下为本项目拟采取的废水治理设施信息表：</w:t>
            </w:r>
          </w:p>
          <w:p>
            <w:pPr>
              <w:pStyle w:val="22"/>
              <w:pageBreakBefore w:val="0"/>
              <w:kinsoku/>
              <w:bidi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表</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1  </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废水治理设施信息表</w:t>
            </w:r>
          </w:p>
          <w:tbl>
            <w:tblPr>
              <w:tblStyle w:val="34"/>
              <w:tblW w:w="853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5"/>
              <w:gridCol w:w="1228"/>
              <w:gridCol w:w="992"/>
              <w:gridCol w:w="760"/>
              <w:gridCol w:w="1337"/>
              <w:gridCol w:w="1052"/>
              <w:gridCol w:w="772"/>
              <w:gridCol w:w="598"/>
              <w:gridCol w:w="9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8" w:hRule="atLeast"/>
                <w:jc w:val="center"/>
              </w:trPr>
              <w:tc>
                <w:tcPr>
                  <w:tcW w:w="835" w:type="dxa"/>
                  <w:vMerge w:val="restart"/>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废水类别</w:t>
                  </w:r>
                </w:p>
              </w:tc>
              <w:tc>
                <w:tcPr>
                  <w:tcW w:w="1228" w:type="dxa"/>
                  <w:vMerge w:val="restart"/>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污染物种类</w:t>
                  </w:r>
                </w:p>
              </w:tc>
              <w:tc>
                <w:tcPr>
                  <w:tcW w:w="4141" w:type="dxa"/>
                  <w:gridSpan w:val="4"/>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废水治理设施</w:t>
                  </w:r>
                </w:p>
              </w:tc>
              <w:tc>
                <w:tcPr>
                  <w:tcW w:w="772" w:type="dxa"/>
                  <w:vMerge w:val="restart"/>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是否为可行技术</w:t>
                  </w:r>
                </w:p>
              </w:tc>
              <w:tc>
                <w:tcPr>
                  <w:tcW w:w="598" w:type="dxa"/>
                  <w:vMerge w:val="restart"/>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排放方式</w:t>
                  </w:r>
                </w:p>
              </w:tc>
              <w:tc>
                <w:tcPr>
                  <w:tcW w:w="961" w:type="dxa"/>
                  <w:vMerge w:val="restart"/>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排放去向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5" w:type="dxa"/>
                  <w:vMerge w:val="continue"/>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228" w:type="dxa"/>
                  <w:vMerge w:val="continue"/>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92" w:type="dxa"/>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设施名称</w:t>
                  </w:r>
                </w:p>
              </w:tc>
              <w:tc>
                <w:tcPr>
                  <w:tcW w:w="760" w:type="dxa"/>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处理工艺</w:t>
                  </w:r>
                </w:p>
              </w:tc>
              <w:tc>
                <w:tcPr>
                  <w:tcW w:w="1337" w:type="dxa"/>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治理效率</w:t>
                  </w:r>
                </w:p>
              </w:tc>
              <w:tc>
                <w:tcPr>
                  <w:tcW w:w="1052" w:type="dxa"/>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设计处理能力</w:t>
                  </w:r>
                </w:p>
              </w:tc>
              <w:tc>
                <w:tcPr>
                  <w:tcW w:w="772" w:type="dxa"/>
                  <w:vMerge w:val="continue"/>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98" w:type="dxa"/>
                  <w:vMerge w:val="continue"/>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61" w:type="dxa"/>
                  <w:vMerge w:val="continue"/>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5" w:type="dxa"/>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生活</w:t>
                  </w:r>
                </w:p>
                <w:p>
                  <w:pPr>
                    <w:pStyle w:val="22"/>
                    <w:pageBreakBefore w:val="0"/>
                    <w:kinsoku/>
                    <w:bidi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污水</w:t>
                  </w:r>
                </w:p>
              </w:tc>
              <w:tc>
                <w:tcPr>
                  <w:tcW w:w="1228" w:type="dxa"/>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pH、COD、BOD</w:t>
                  </w:r>
                  <w:r>
                    <w:rPr>
                      <w:rFonts w:hint="eastAsia" w:ascii="Times New Roman" w:hAnsi="Times New Roman" w:eastAsia="宋体" w:cs="Times New Roman"/>
                      <w:color w:val="000000" w:themeColor="text1"/>
                      <w:kern w:val="2"/>
                      <w:sz w:val="21"/>
                      <w:szCs w:val="21"/>
                      <w:highlight w:val="none"/>
                      <w:vertAlign w:val="subscript"/>
                      <w:lang w:val="en-US" w:eastAsia="zh-CN"/>
                      <w14:textFill>
                        <w14:solidFill>
                          <w14:schemeClr w14:val="tx1"/>
                        </w14:solidFill>
                      </w14:textFill>
                    </w:rPr>
                    <w:t>5</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、SS、</w:t>
                  </w:r>
                  <w:r>
                    <w:rPr>
                      <w:rFonts w:hint="default" w:ascii="Times New Roman" w:hAnsi="Times New Roman" w:eastAsia="宋体" w:cs="Times New Roman"/>
                      <w:color w:val="000000" w:themeColor="text1"/>
                      <w:sz w:val="21"/>
                      <w:szCs w:val="21"/>
                      <w:highlight w:val="none"/>
                      <w14:textFill>
                        <w14:solidFill>
                          <w14:schemeClr w14:val="tx1"/>
                        </w14:solidFill>
                      </w14:textFill>
                    </w:rPr>
                    <w:t>NH</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-N</w:t>
                  </w:r>
                </w:p>
              </w:tc>
              <w:tc>
                <w:tcPr>
                  <w:tcW w:w="992" w:type="dxa"/>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三级化粪池</w:t>
                  </w:r>
                </w:p>
              </w:tc>
              <w:tc>
                <w:tcPr>
                  <w:tcW w:w="760" w:type="dxa"/>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沉淀厌氧</w:t>
                  </w:r>
                </w:p>
              </w:tc>
              <w:tc>
                <w:tcPr>
                  <w:tcW w:w="1337" w:type="dxa"/>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COD</w:t>
                  </w:r>
                  <w:r>
                    <w:rPr>
                      <w:rFonts w:hint="default" w:ascii="Times New Roman" w:hAnsi="Times New Roman" w:eastAsia="宋体" w:cs="Times New Roman"/>
                      <w:color w:val="000000" w:themeColor="text1"/>
                      <w:kern w:val="2"/>
                      <w:sz w:val="21"/>
                      <w:szCs w:val="21"/>
                      <w:highlight w:val="none"/>
                      <w:vertAlign w:val="subscript"/>
                      <w14:textFill>
                        <w14:solidFill>
                          <w14:schemeClr w14:val="tx1"/>
                        </w14:solidFill>
                      </w14:textFill>
                    </w:rPr>
                    <w:t>Cr</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30</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%；BOD</w:t>
                  </w:r>
                  <w:r>
                    <w:rPr>
                      <w:rFonts w:hint="default" w:ascii="Times New Roman" w:hAnsi="Times New Roman" w:eastAsia="宋体" w:cs="Times New Roman"/>
                      <w:color w:val="000000" w:themeColor="text1"/>
                      <w:kern w:val="2"/>
                      <w:sz w:val="21"/>
                      <w:szCs w:val="21"/>
                      <w:highlight w:val="none"/>
                      <w:vertAlign w:val="subscript"/>
                      <w14:textFill>
                        <w14:solidFill>
                          <w14:schemeClr w14:val="tx1"/>
                        </w14:solidFill>
                      </w14:textFill>
                    </w:rPr>
                    <w:t>5</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%；SS：</w:t>
                  </w: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40</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w:t>
                  </w:r>
                </w:p>
              </w:tc>
              <w:tc>
                <w:tcPr>
                  <w:tcW w:w="1052" w:type="dxa"/>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t/</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d</w:t>
                  </w:r>
                </w:p>
              </w:tc>
              <w:tc>
                <w:tcPr>
                  <w:tcW w:w="772" w:type="dxa"/>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是</w:t>
                  </w:r>
                </w:p>
              </w:tc>
              <w:tc>
                <w:tcPr>
                  <w:tcW w:w="598" w:type="dxa"/>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间接排放</w:t>
                  </w:r>
                </w:p>
              </w:tc>
              <w:tc>
                <w:tcPr>
                  <w:tcW w:w="961" w:type="dxa"/>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通过槽罐车运往福鼎市白琳镇污水处理站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5" w:type="dxa"/>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洗车废水</w:t>
                  </w:r>
                </w:p>
              </w:tc>
              <w:tc>
                <w:tcPr>
                  <w:tcW w:w="1228" w:type="dxa"/>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SS、石油类</w:t>
                  </w:r>
                </w:p>
              </w:tc>
              <w:tc>
                <w:tcPr>
                  <w:tcW w:w="992" w:type="dxa"/>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隔油池+沉淀池</w:t>
                  </w:r>
                </w:p>
              </w:tc>
              <w:tc>
                <w:tcPr>
                  <w:tcW w:w="760" w:type="dxa"/>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隔油沉淀</w:t>
                  </w:r>
                </w:p>
              </w:tc>
              <w:tc>
                <w:tcPr>
                  <w:tcW w:w="1337" w:type="dxa"/>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default" w:ascii="Times New Roman" w:hAnsi="Times New Roman" w:eastAsia="宋体" w:cs="Times New Roman"/>
                      <w:color w:val="000000" w:themeColor="text1"/>
                      <w:kern w:val="2"/>
                      <w:sz w:val="21"/>
                      <w:szCs w:val="21"/>
                      <w:highlight w:val="none"/>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SS：70%、石油类：60%</w:t>
                  </w:r>
                </w:p>
              </w:tc>
              <w:tc>
                <w:tcPr>
                  <w:tcW w:w="1052" w:type="dxa"/>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kern w:val="2"/>
                      <w:sz w:val="21"/>
                      <w:szCs w:val="21"/>
                      <w:highlight w:val="none"/>
                      <w14:textFill>
                        <w14:solidFill>
                          <w14:schemeClr w14:val="tx1"/>
                        </w14:solidFill>
                      </w14:textFill>
                    </w:rPr>
                    <w:t>t/</w:t>
                  </w:r>
                  <w:r>
                    <w:rPr>
                      <w:rFonts w:hint="default" w:ascii="Times New Roman" w:hAnsi="Times New Roman" w:eastAsia="宋体" w:cs="Times New Roman"/>
                      <w:color w:val="000000" w:themeColor="text1"/>
                      <w:kern w:val="2"/>
                      <w:sz w:val="21"/>
                      <w:szCs w:val="21"/>
                      <w:highlight w:val="none"/>
                      <w:lang w:val="en-US" w:eastAsia="zh-CN"/>
                      <w14:textFill>
                        <w14:solidFill>
                          <w14:schemeClr w14:val="tx1"/>
                        </w14:solidFill>
                      </w14:textFill>
                    </w:rPr>
                    <w:t>d</w:t>
                  </w:r>
                </w:p>
              </w:tc>
              <w:tc>
                <w:tcPr>
                  <w:tcW w:w="772" w:type="dxa"/>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是</w:t>
                  </w:r>
                </w:p>
              </w:tc>
              <w:tc>
                <w:tcPr>
                  <w:tcW w:w="598" w:type="dxa"/>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default"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不外排</w:t>
                  </w:r>
                </w:p>
              </w:tc>
              <w:tc>
                <w:tcPr>
                  <w:tcW w:w="961" w:type="dxa"/>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35" w:type="dxa"/>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碎石冲洗废水</w:t>
                  </w:r>
                </w:p>
              </w:tc>
              <w:tc>
                <w:tcPr>
                  <w:tcW w:w="1228" w:type="dxa"/>
                  <w:vMerge w:val="restart"/>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SS</w:t>
                  </w:r>
                </w:p>
              </w:tc>
              <w:tc>
                <w:tcPr>
                  <w:tcW w:w="992" w:type="dxa"/>
                  <w:vMerge w:val="restart"/>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沉淀池</w:t>
                  </w:r>
                </w:p>
              </w:tc>
              <w:tc>
                <w:tcPr>
                  <w:tcW w:w="760" w:type="dxa"/>
                  <w:vMerge w:val="restart"/>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絮凝沉淀</w:t>
                  </w:r>
                </w:p>
              </w:tc>
              <w:tc>
                <w:tcPr>
                  <w:tcW w:w="1337" w:type="dxa"/>
                  <w:vMerge w:val="restart"/>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14:textFill>
                        <w14:solidFill>
                          <w14:schemeClr w14:val="tx1"/>
                        </w14:solidFill>
                      </w14:textFill>
                    </w:rPr>
                    <w:t>SS：90%</w:t>
                  </w:r>
                </w:p>
              </w:tc>
              <w:tc>
                <w:tcPr>
                  <w:tcW w:w="1052" w:type="dxa"/>
                  <w:vMerge w:val="restart"/>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00</w:t>
                  </w:r>
                  <w:r>
                    <w:rPr>
                      <w:rFonts w:hint="default" w:ascii="Times New Roman" w:hAnsi="Times New Roman" w:eastAsia="宋体" w:cs="Times New Roman"/>
                      <w:color w:val="000000" w:themeColor="text1"/>
                      <w:kern w:val="2"/>
                      <w:sz w:val="21"/>
                      <w:szCs w:val="21"/>
                      <w14:textFill>
                        <w14:solidFill>
                          <w14:schemeClr w14:val="tx1"/>
                        </w14:solidFill>
                      </w14:textFill>
                    </w:rPr>
                    <w:t>t/</w:t>
                  </w:r>
                  <w:r>
                    <w:rPr>
                      <w:rFonts w:hint="default" w:ascii="Times New Roman" w:hAnsi="Times New Roman" w:eastAsia="宋体" w:cs="Times New Roman"/>
                      <w:color w:val="000000" w:themeColor="text1"/>
                      <w:kern w:val="2"/>
                      <w:sz w:val="21"/>
                      <w:szCs w:val="21"/>
                      <w:lang w:val="en-US" w:eastAsia="zh-CN"/>
                      <w14:textFill>
                        <w14:solidFill>
                          <w14:schemeClr w14:val="tx1"/>
                        </w14:solidFill>
                      </w14:textFill>
                    </w:rPr>
                    <w:t>h</w:t>
                  </w:r>
                </w:p>
              </w:tc>
              <w:tc>
                <w:tcPr>
                  <w:tcW w:w="772" w:type="dxa"/>
                  <w:vMerge w:val="restart"/>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是</w:t>
                  </w:r>
                </w:p>
              </w:tc>
              <w:tc>
                <w:tcPr>
                  <w:tcW w:w="598" w:type="dxa"/>
                  <w:vMerge w:val="restart"/>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不外排</w:t>
                  </w:r>
                </w:p>
              </w:tc>
              <w:tc>
                <w:tcPr>
                  <w:tcW w:w="961" w:type="dxa"/>
                  <w:vMerge w:val="restart"/>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处理后用于生产用水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835" w:type="dxa"/>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污泥压滤废水</w:t>
                  </w:r>
                </w:p>
              </w:tc>
              <w:tc>
                <w:tcPr>
                  <w:tcW w:w="1228" w:type="dxa"/>
                  <w:vMerge w:val="continue"/>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992" w:type="dxa"/>
                  <w:vMerge w:val="continue"/>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760" w:type="dxa"/>
                  <w:vMerge w:val="continue"/>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337" w:type="dxa"/>
                  <w:vMerge w:val="continue"/>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1052" w:type="dxa"/>
                  <w:vMerge w:val="continue"/>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772" w:type="dxa"/>
                  <w:vMerge w:val="continue"/>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598" w:type="dxa"/>
                  <w:vMerge w:val="continue"/>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c>
                <w:tcPr>
                  <w:tcW w:w="961" w:type="dxa"/>
                  <w:vMerge w:val="continue"/>
                  <w:tcBorders>
                    <w:tl2br w:val="nil"/>
                    <w:tr2bl w:val="nil"/>
                  </w:tcBorders>
                  <w:vAlign w:val="center"/>
                </w:tcPr>
                <w:p>
                  <w:pPr>
                    <w:pStyle w:val="22"/>
                    <w:pageBreakBefore w:val="0"/>
                    <w:kinsoku/>
                    <w:bidi w:val="0"/>
                    <w:spacing w:beforeAutospacing="0" w:after="0" w:afterAutospacing="0"/>
                    <w:ind w:left="0" w:leftChars="0" w:firstLine="0" w:firstLineChars="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p>
              </w:tc>
            </w:tr>
          </w:tbl>
          <w:p>
            <w:pPr>
              <w:keepNext w:val="0"/>
              <w:keepLines w:val="0"/>
              <w:pageBreakBefore w:val="0"/>
              <w:kinsoku/>
              <w:wordWrap/>
              <w:overflowPunct/>
              <w:topLinePunct w:val="0"/>
              <w:autoSpaceDE/>
              <w:autoSpaceDN/>
              <w:bidi w:val="0"/>
              <w:adjustRightInd/>
              <w:snapToGrid/>
              <w:spacing w:beforeAutospacing="0" w:afterAutospacing="0" w:line="360" w:lineRule="auto"/>
              <w:ind w:firstLine="480" w:firstLineChars="200"/>
              <w:textAlignment w:val="auto"/>
              <w:outlineLvl w:val="9"/>
              <w:rPr>
                <w:rFonts w:hint="default" w:ascii="Times New Roman" w:hAnsi="Times New Roman" w:eastAsia="宋体" w:cs="Times New Roman"/>
                <w:b w:val="0"/>
                <w:bCs/>
                <w:color w:val="000000" w:themeColor="text1"/>
                <w:kern w:val="2"/>
                <w:sz w:val="24"/>
                <w:szCs w:val="24"/>
                <w:highlight w:val="none"/>
                <w:shd w:val="clear" w:color="auto" w:fill="auto"/>
                <w:lang w:val="en-US" w:eastAsia="zh-CN" w:bidi="ar-SA"/>
                <w14:textFill>
                  <w14:solidFill>
                    <w14:schemeClr w14:val="tx1"/>
                  </w14:solidFill>
                </w14:textFill>
              </w:rPr>
            </w:pPr>
            <w:r>
              <w:rPr>
                <w:rFonts w:hint="eastAsia" w:ascii="Times New Roman" w:hAnsi="Times New Roman" w:eastAsia="宋体" w:cs="Times New Roman"/>
                <w:b w:val="0"/>
                <w:bCs/>
                <w:color w:val="000000" w:themeColor="text1"/>
                <w:kern w:val="2"/>
                <w:sz w:val="24"/>
                <w:szCs w:val="24"/>
                <w:highlight w:val="none"/>
                <w:shd w:val="clear" w:color="auto" w:fill="auto"/>
                <w:lang w:val="en-US" w:eastAsia="zh-CN" w:bidi="ar-SA"/>
                <w14:textFill>
                  <w14:solidFill>
                    <w14:schemeClr w14:val="tx1"/>
                  </w14:solidFill>
                </w14:textFill>
              </w:rPr>
              <w:t>（2）</w:t>
            </w:r>
            <w:r>
              <w:rPr>
                <w:rFonts w:hint="default" w:ascii="Times New Roman" w:hAnsi="Times New Roman" w:eastAsia="宋体" w:cs="Times New Roman"/>
                <w:b w:val="0"/>
                <w:bCs/>
                <w:color w:val="000000" w:themeColor="text1"/>
                <w:kern w:val="2"/>
                <w:sz w:val="24"/>
                <w:szCs w:val="24"/>
                <w:highlight w:val="none"/>
                <w:shd w:val="clear" w:color="auto" w:fill="auto"/>
                <w:lang w:val="en-US" w:eastAsia="zh-CN" w:bidi="ar-SA"/>
                <w14:textFill>
                  <w14:solidFill>
                    <w14:schemeClr w14:val="tx1"/>
                  </w14:solidFill>
                </w14:textFill>
              </w:rPr>
              <w:t>措施可行性分析</w:t>
            </w:r>
          </w:p>
          <w:p>
            <w:pPr>
              <w:keepNext w:val="0"/>
              <w:keepLines w:val="0"/>
              <w:pageBreakBefore w:val="0"/>
              <w:widowControl w:val="0"/>
              <w:numPr>
                <w:ilvl w:val="0"/>
                <w:numId w:val="0"/>
              </w:numPr>
              <w:kinsoku/>
              <w:wordWrap/>
              <w:overflowPunct w:val="0"/>
              <w:topLinePunct w:val="0"/>
              <w:autoSpaceDE w:val="0"/>
              <w:autoSpaceDN w:val="0"/>
              <w:bidi w:val="0"/>
              <w:adjustRightInd w:val="0"/>
              <w:spacing w:beforeAutospacing="0" w:afterAutospacing="0" w:line="360" w:lineRule="auto"/>
              <w:ind w:left="420" w:leftChars="0"/>
              <w:jc w:val="left"/>
              <w:textAlignment w:val="baseline"/>
              <w:outlineLvl w:val="9"/>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pPr>
            <w:r>
              <w:rPr>
                <w:rFonts w:hint="eastAsia"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t>①</w:t>
            </w:r>
            <w:r>
              <w:rPr>
                <w:rFonts w:hint="default" w:ascii="Times New Roman" w:hAnsi="Times New Roman" w:eastAsia="宋体" w:cs="Times New Roman"/>
                <w:snapToGrid w:val="0"/>
                <w:color w:val="000000" w:themeColor="text1"/>
                <w:sz w:val="24"/>
                <w:szCs w:val="24"/>
                <w:highlight w:val="none"/>
                <w14:textFill>
                  <w14:solidFill>
                    <w14:schemeClr w14:val="tx1"/>
                  </w14:solidFill>
                </w14:textFill>
              </w:rPr>
              <w:t>生活污水处理措施</w:t>
            </w:r>
          </w:p>
          <w:p>
            <w:pPr>
              <w:keepNext w:val="0"/>
              <w:keepLines w:val="0"/>
              <w:pageBreakBefore w:val="0"/>
              <w:widowControl w:val="0"/>
              <w:kinsoku/>
              <w:wordWrap/>
              <w:topLinePunct w:val="0"/>
              <w:bidi w:val="0"/>
              <w:spacing w:beforeAutospacing="0" w:afterAutospacing="0" w:line="360" w:lineRule="auto"/>
              <w:ind w:firstLine="480" w:firstLineChars="200"/>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14:textFill>
                  <w14:solidFill>
                    <w14:schemeClr w14:val="tx1"/>
                  </w14:solidFill>
                </w14:textFill>
              </w:rPr>
              <w:t>生活污水</w:t>
            </w:r>
            <w:r>
              <w:rPr>
                <w:rFonts w:hint="default" w:ascii="Times New Roman" w:hAnsi="Times New Roman" w:eastAsia="宋体" w:cs="Times New Roman"/>
                <w:color w:val="000000" w:themeColor="text1"/>
                <w:sz w:val="24"/>
                <w:szCs w:val="24"/>
                <w:highlight w:val="none"/>
                <w14:textFill>
                  <w14:solidFill>
                    <w14:schemeClr w14:val="tx1"/>
                  </w14:solidFill>
                </w14:textFill>
              </w:rPr>
              <w:t>经化粪池处理后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用槽罐车运往福鼎市白琳镇污水处理站</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集中处理</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keepNext w:val="0"/>
              <w:keepLines w:val="0"/>
              <w:pageBreakBefore w:val="0"/>
              <w:widowControl w:val="0"/>
              <w:kinsoku/>
              <w:wordWrap/>
              <w:topLinePunct w:val="0"/>
              <w:bidi w:val="0"/>
              <w:spacing w:beforeAutospacing="0" w:afterAutospacing="0" w:line="360" w:lineRule="auto"/>
              <w:ind w:firstLine="480" w:firstLineChars="200"/>
              <w:outlineLvl w:val="9"/>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化粪池是一种利用沉淀和厌氧发酵的原理，去除生活污水中悬浮性有机物的处理设施，属于初级的过渡性生活处理构筑物。</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类比同类型企业，生活污水经化粪池处理后可达到</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《污水综合排放标准》(GB8978-1996)表4中的三级标准</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（其中氨氮符合</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《污水排入城镇下水道水质标准》（GB/T31962-2015）B等级标准</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），可进入</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福鼎市白琳镇污水处理站</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进行处置。</w:t>
            </w:r>
          </w:p>
          <w:p>
            <w:pPr>
              <w:keepNext w:val="0"/>
              <w:keepLines w:val="0"/>
              <w:pageBreakBefore w:val="0"/>
              <w:widowControl w:val="0"/>
              <w:kinsoku/>
              <w:wordWrap/>
              <w:topLinePunct w:val="0"/>
              <w:bidi w:val="0"/>
              <w:adjustRightInd w:val="0"/>
              <w:snapToGrid w:val="0"/>
              <w:spacing w:beforeAutospacing="0" w:afterAutospacing="0" w:line="360" w:lineRule="auto"/>
              <w:ind w:firstLine="480" w:firstLineChars="200"/>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综上所述，项目</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生活污水</w:t>
            </w:r>
            <w:r>
              <w:rPr>
                <w:rFonts w:hint="default" w:ascii="Times New Roman" w:hAnsi="Times New Roman" w:eastAsia="宋体" w:cs="Times New Roman"/>
                <w:color w:val="000000" w:themeColor="text1"/>
                <w:sz w:val="24"/>
                <w:szCs w:val="24"/>
                <w:highlight w:val="none"/>
                <w14:textFill>
                  <w14:solidFill>
                    <w14:schemeClr w14:val="tx1"/>
                  </w14:solidFill>
                </w14:textFill>
              </w:rPr>
              <w:t>处理措施可行。</w:t>
            </w:r>
          </w:p>
          <w:p>
            <w:pPr>
              <w:keepNext w:val="0"/>
              <w:keepLines w:val="0"/>
              <w:pageBreakBefore w:val="0"/>
              <w:widowControl w:val="0"/>
              <w:kinsoku/>
              <w:wordWrap/>
              <w:overflowPunct w:val="0"/>
              <w:topLinePunct w:val="0"/>
              <w:autoSpaceDE w:val="0"/>
              <w:autoSpaceDN w:val="0"/>
              <w:bidi w:val="0"/>
              <w:adjustRightInd w:val="0"/>
              <w:spacing w:beforeAutospacing="0" w:afterAutospacing="0" w:line="360" w:lineRule="auto"/>
              <w:ind w:firstLine="480" w:firstLineChars="200"/>
              <w:jc w:val="left"/>
              <w:textAlignment w:val="baseline"/>
              <w:outlineLvl w:val="9"/>
              <w:rPr>
                <w:rFonts w:hint="eastAsia"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sz w:val="24"/>
                <w:szCs w:val="24"/>
                <w:highlight w:val="none"/>
                <w:lang w:val="en-US" w:eastAsia="zh-CN"/>
                <w14:textFill>
                  <w14:solidFill>
                    <w14:schemeClr w14:val="tx1"/>
                  </w14:solidFill>
                </w14:textFill>
              </w:rPr>
              <w:t>②隔油沉淀池</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highlight w:val="none"/>
                <w:u w:val="none" w:color="auto"/>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shd w:val="clear" w:color="auto" w:fill="auto"/>
                <w:lang w:val="en-US" w:eastAsia="zh-CN"/>
                <w14:textFill>
                  <w14:solidFill>
                    <w14:schemeClr w14:val="tx1"/>
                  </w14:solidFill>
                </w14:textFill>
              </w:rPr>
              <w:t>隔油沉淀池是先利用油滴与水的密度差产生上浮作用来去除含油废水中可浮性油类物质。在池中的受重力影响重油及悬浮物沉淀下来，积聚到池底，上清液通过排水渠排出池外，以去除水中油类及不溶性悬浮物，参考《废水处理工程技术手册2010》，隔油池除油效率可达60%。</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highlight w:val="none"/>
                <w:u w:val="none" w:color="auto"/>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shd w:val="clear" w:color="auto" w:fill="auto"/>
                <w:lang w:val="en-US" w:eastAsia="zh-CN"/>
                <w14:textFill>
                  <w14:solidFill>
                    <w14:schemeClr w14:val="tx1"/>
                  </w14:solidFill>
                </w14:textFill>
              </w:rPr>
              <w:t>项目车辆冲洗废水主要污染物来源于车辆沾染的油污以及车辆运输过程中</w:t>
            </w:r>
            <w:r>
              <w:rPr>
                <w:rFonts w:hint="eastAsia" w:ascii="Times New Roman" w:hAnsi="Times New Roman" w:eastAsia="宋体" w:cs="Times New Roman"/>
                <w:color w:val="000000" w:themeColor="text1"/>
                <w:sz w:val="24"/>
                <w:szCs w:val="24"/>
                <w:highlight w:val="none"/>
                <w:u w:val="none" w:color="auto"/>
                <w:shd w:val="clear" w:color="auto" w:fill="auto"/>
                <w:lang w:val="en-US" w:eastAsia="zh-CN"/>
                <w14:textFill>
                  <w14:solidFill>
                    <w14:schemeClr w14:val="tx1"/>
                  </w14:solidFill>
                </w14:textFill>
              </w:rPr>
              <w:t>黏附</w:t>
            </w:r>
            <w:r>
              <w:rPr>
                <w:rFonts w:hint="default" w:ascii="Times New Roman" w:hAnsi="Times New Roman" w:eastAsia="宋体" w:cs="Times New Roman"/>
                <w:color w:val="000000" w:themeColor="text1"/>
                <w:sz w:val="24"/>
                <w:szCs w:val="24"/>
                <w:highlight w:val="none"/>
                <w:u w:val="none" w:color="auto"/>
                <w:shd w:val="clear" w:color="auto" w:fill="auto"/>
                <w:lang w:val="en-US" w:eastAsia="zh-CN"/>
                <w14:textFill>
                  <w14:solidFill>
                    <w14:schemeClr w14:val="tx1"/>
                  </w14:solidFill>
                </w14:textFill>
              </w:rPr>
              <w:t>在车辆上的土壤颗粒，均属于不溶性物质，车辆冲洗时，沾染的油污和土壤颗粒进入冲洗水中，可通过隔油沉淀池进行处理，将车辆冲洗废水中石油类和颗粒物去除，取上清液循环使用，定期补充隔油沉淀池蒸发水量，可减少车辆冲洗废水对环境的影响。</w:t>
            </w:r>
          </w:p>
          <w:p>
            <w:pPr>
              <w:pStyle w:val="22"/>
              <w:keepNext w:val="0"/>
              <w:keepLines w:val="0"/>
              <w:pageBreakBefore w:val="0"/>
              <w:widowControl w:val="0"/>
              <w:kinsoku/>
              <w:wordWrap/>
              <w:topLinePunct w:val="0"/>
              <w:bidi w:val="0"/>
              <w:spacing w:beforeAutospacing="0" w:after="0" w:afterAutospacing="0" w:line="360" w:lineRule="auto"/>
              <w:ind w:left="0" w:leftChars="0"/>
              <w:outlineLvl w:val="9"/>
              <w:rPr>
                <w:rFonts w:hint="default"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③配套加工区</w:t>
            </w:r>
          </w:p>
          <w:p>
            <w:pPr>
              <w:pStyle w:val="22"/>
              <w:keepNext w:val="0"/>
              <w:keepLines w:val="0"/>
              <w:pageBreakBefore w:val="0"/>
              <w:widowControl w:val="0"/>
              <w:kinsoku/>
              <w:wordWrap/>
              <w:topLinePunct w:val="0"/>
              <w:bidi w:val="0"/>
              <w:spacing w:beforeAutospacing="0" w:after="0" w:afterAutospacing="0" w:line="360" w:lineRule="auto"/>
              <w:ind w:left="0" w:leftChars="0"/>
              <w:outlineLvl w:val="9"/>
              <w:rPr>
                <w:rFonts w:hint="default" w:ascii="Times New Roman" w:hAnsi="Times New Roman" w:eastAsia="宋体" w:cs="Times New Roman"/>
                <w:color w:val="000000" w:themeColor="text1"/>
                <w:sz w:val="24"/>
                <w:szCs w:val="24"/>
                <w:highlight w:val="none"/>
                <w:u w:val="none" w:color="auto"/>
                <w:shd w:val="clear" w:color="auto" w:fill="auto"/>
                <w:lang w:val="zh-CN"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shd w:val="clear" w:color="auto" w:fill="auto"/>
                <w:lang w:val="en-US" w:eastAsia="zh-CN"/>
                <w14:textFill>
                  <w14:solidFill>
                    <w14:schemeClr w14:val="tx1"/>
                  </w14:solidFill>
                </w14:textFill>
              </w:rPr>
              <w:t>生产废水主要包括</w:t>
            </w:r>
            <w:r>
              <w:rPr>
                <w:rFonts w:hint="eastAsia" w:ascii="Times New Roman" w:hAnsi="Times New Roman" w:eastAsia="宋体" w:cs="Times New Roman"/>
                <w:color w:val="000000" w:themeColor="text1"/>
                <w:sz w:val="24"/>
                <w:szCs w:val="24"/>
                <w:highlight w:val="none"/>
                <w:u w:val="none" w:color="auto"/>
                <w:shd w:val="clear" w:color="auto" w:fill="auto"/>
                <w:lang w:val="en-US" w:eastAsia="zh-CN"/>
                <w14:textFill>
                  <w14:solidFill>
                    <w14:schemeClr w14:val="tx1"/>
                  </w14:solidFill>
                </w14:textFill>
              </w:rPr>
              <w:t>碎石冲洗</w:t>
            </w:r>
            <w:r>
              <w:rPr>
                <w:rFonts w:hint="default" w:ascii="Times New Roman" w:hAnsi="Times New Roman" w:eastAsia="宋体" w:cs="Times New Roman"/>
                <w:color w:val="000000" w:themeColor="text1"/>
                <w:sz w:val="24"/>
                <w:szCs w:val="24"/>
                <w:highlight w:val="none"/>
                <w:u w:val="none" w:color="auto"/>
                <w:shd w:val="clear" w:color="auto" w:fill="auto"/>
                <w:lang w:val="zh-CN" w:eastAsia="zh-CN"/>
                <w14:textFill>
                  <w14:solidFill>
                    <w14:schemeClr w14:val="tx1"/>
                  </w14:solidFill>
                </w14:textFill>
              </w:rPr>
              <w:t>废水</w:t>
            </w:r>
            <w:r>
              <w:rPr>
                <w:rFonts w:hint="default" w:ascii="Times New Roman" w:hAnsi="Times New Roman" w:eastAsia="宋体" w:cs="Times New Roman"/>
                <w:color w:val="000000" w:themeColor="text1"/>
                <w:sz w:val="24"/>
                <w:szCs w:val="24"/>
                <w:highlight w:val="none"/>
                <w:u w:val="none" w:color="auto"/>
                <w:shd w:val="clear" w:color="auto" w:fill="auto"/>
                <w:lang w:val="en-US" w:eastAsia="zh-CN"/>
                <w14:textFill>
                  <w14:solidFill>
                    <w14:schemeClr w14:val="tx1"/>
                  </w14:solidFill>
                </w14:textFill>
              </w:rPr>
              <w:t>和污泥压滤废水</w:t>
            </w:r>
            <w:r>
              <w:rPr>
                <w:rFonts w:hint="default" w:ascii="Times New Roman" w:hAnsi="Times New Roman" w:eastAsia="宋体" w:cs="Times New Roman"/>
                <w:color w:val="000000" w:themeColor="text1"/>
                <w:sz w:val="24"/>
                <w:szCs w:val="24"/>
                <w:highlight w:val="none"/>
                <w:u w:val="none" w:color="auto"/>
                <w:shd w:val="clear" w:color="auto" w:fill="auto"/>
                <w:lang w:val="zh-CN" w:eastAsia="zh-CN"/>
                <w14:textFill>
                  <w14:solidFill>
                    <w14:schemeClr w14:val="tx1"/>
                  </w14:solidFill>
                </w14:textFill>
              </w:rPr>
              <w:t>，废水中含有大量的泥沙，悬浮物含量极高</w:t>
            </w:r>
            <w:r>
              <w:rPr>
                <w:rFonts w:hint="default" w:ascii="Times New Roman" w:hAnsi="Times New Roman" w:eastAsia="宋体" w:cs="Times New Roman"/>
                <w:color w:val="000000" w:themeColor="text1"/>
                <w:sz w:val="24"/>
                <w:szCs w:val="24"/>
                <w:highlight w:val="none"/>
                <w:u w:val="none" w:color="auto"/>
                <w:shd w:val="clear" w:color="auto" w:fill="auto"/>
                <w:lang w:val="en-US" w:eastAsia="zh-CN"/>
                <w14:textFill>
                  <w14:solidFill>
                    <w14:schemeClr w14:val="tx1"/>
                  </w14:solidFill>
                </w14:textFill>
              </w:rPr>
              <w:t>，本项目采用沉淀池处理生产废水。其工作原理为：沉淀池是利用水流中悬浮杂质颗粒向下沉淀速度大于水流向下流动速度或向下沉淀时间小于水流流出沉淀池的时间时能与水流分离的原理实现水的净化。利用水的自然沉淀或混凝沉淀的作用来除去水中的悬浮物。采用加入聚丙烯酰胺、聚合氯化铝，加速悬浮物沉降。</w:t>
            </w:r>
          </w:p>
          <w:p>
            <w:pPr>
              <w:pStyle w:val="22"/>
              <w:keepNext w:val="0"/>
              <w:keepLines w:val="0"/>
              <w:pageBreakBefore w:val="0"/>
              <w:widowControl w:val="0"/>
              <w:kinsoku/>
              <w:wordWrap/>
              <w:topLinePunct w:val="0"/>
              <w:bidi w:val="0"/>
              <w:spacing w:beforeAutospacing="0" w:after="0" w:afterAutospacing="0" w:line="360" w:lineRule="auto"/>
              <w:ind w:left="0" w:leftChars="0"/>
              <w:outlineLvl w:val="9"/>
              <w:rPr>
                <w:rFonts w:hint="default" w:ascii="Times New Roman" w:hAnsi="Times New Roman" w:eastAsia="宋体" w:cs="Times New Roman"/>
                <w:color w:val="000000" w:themeColor="text1"/>
                <w:sz w:val="24"/>
                <w:szCs w:val="24"/>
                <w:highlight w:val="none"/>
                <w:u w:val="none" w:color="auto"/>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u w:val="none" w:color="auto"/>
                <w:shd w:val="clear" w:color="auto" w:fill="auto"/>
                <w:lang w:val="en-US" w:eastAsia="zh-CN"/>
                <w14:textFill>
                  <w14:solidFill>
                    <w14:schemeClr w14:val="tx1"/>
                  </w14:solidFill>
                </w14:textFill>
              </w:rPr>
              <w:t>本项目筛分</w:t>
            </w:r>
            <w:r>
              <w:rPr>
                <w:rFonts w:hint="eastAsia" w:ascii="Times New Roman" w:hAnsi="Times New Roman" w:eastAsia="宋体" w:cs="Times New Roman"/>
                <w:color w:val="000000" w:themeColor="text1"/>
                <w:sz w:val="24"/>
                <w:szCs w:val="24"/>
                <w:highlight w:val="none"/>
                <w:u w:val="none" w:color="auto"/>
                <w:shd w:val="clear" w:color="auto" w:fill="auto"/>
                <w:lang w:val="en-US" w:eastAsia="zh-CN"/>
                <w14:textFill>
                  <w14:solidFill>
                    <w14:schemeClr w14:val="tx1"/>
                  </w14:solidFill>
                </w14:textFill>
              </w:rPr>
              <w:t>清洗</w:t>
            </w:r>
            <w:r>
              <w:rPr>
                <w:rFonts w:hint="default" w:ascii="Times New Roman" w:hAnsi="Times New Roman" w:eastAsia="宋体" w:cs="Times New Roman"/>
                <w:color w:val="000000" w:themeColor="text1"/>
                <w:sz w:val="24"/>
                <w:szCs w:val="24"/>
                <w:highlight w:val="none"/>
                <w:u w:val="none" w:color="auto"/>
                <w:shd w:val="clear" w:color="auto" w:fill="auto"/>
                <w:lang w:val="en-US" w:eastAsia="zh-CN"/>
                <w14:textFill>
                  <w14:solidFill>
                    <w14:schemeClr w14:val="tx1"/>
                  </w14:solidFill>
                </w14:textFill>
              </w:rPr>
              <w:t>用水对水质要求不高，故生产废水经沉淀池处理后回用于生产，可满足</w:t>
            </w:r>
            <w:r>
              <w:rPr>
                <w:rFonts w:hint="eastAsia" w:ascii="Times New Roman" w:hAnsi="Times New Roman" w:eastAsia="宋体" w:cs="Times New Roman"/>
                <w:color w:val="000000" w:themeColor="text1"/>
                <w:sz w:val="24"/>
                <w:szCs w:val="24"/>
                <w:highlight w:val="none"/>
                <w:u w:val="none" w:color="auto"/>
                <w:shd w:val="clear" w:color="auto" w:fill="auto"/>
                <w:lang w:val="en-US" w:eastAsia="zh-CN"/>
                <w14:textFill>
                  <w14:solidFill>
                    <w14:schemeClr w14:val="tx1"/>
                  </w14:solidFill>
                </w14:textFill>
              </w:rPr>
              <w:t>清洗</w:t>
            </w:r>
            <w:r>
              <w:rPr>
                <w:rFonts w:hint="default" w:ascii="Times New Roman" w:hAnsi="Times New Roman" w:eastAsia="宋体" w:cs="Times New Roman"/>
                <w:color w:val="000000" w:themeColor="text1"/>
                <w:sz w:val="24"/>
                <w:szCs w:val="24"/>
                <w:highlight w:val="none"/>
                <w:u w:val="none" w:color="auto"/>
                <w:shd w:val="clear" w:color="auto" w:fill="auto"/>
                <w:lang w:val="en-US" w:eastAsia="zh-CN"/>
                <w14:textFill>
                  <w14:solidFill>
                    <w14:schemeClr w14:val="tx1"/>
                  </w14:solidFill>
                </w14:textFill>
              </w:rPr>
              <w:t>用水的要求，故以上措施可行。</w:t>
            </w:r>
          </w:p>
          <w:p>
            <w:pPr>
              <w:pStyle w:val="11"/>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32"/>
                <w:szCs w:val="32"/>
                <w:highlight w:val="none"/>
                <w:lang w:val="en-US" w:eastAsia="zh-CN"/>
                <w14:textFill>
                  <w14:solidFill>
                    <w14:schemeClr w14:val="tx1"/>
                  </w14:solidFill>
                </w14:textFill>
              </w:rPr>
              <w:t>2施工</w:t>
            </w:r>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期大气污染防治措施及其可行性分析</w:t>
            </w:r>
          </w:p>
          <w:p>
            <w:pPr>
              <w:pStyle w:val="11"/>
              <w:pageBreakBefore w:val="0"/>
              <w:kinsoku/>
              <w:bidi w:val="0"/>
              <w:spacing w:beforeAutospacing="0" w:afterAutospacing="0"/>
              <w:rPr>
                <w:rFonts w:hint="default" w:ascii="Times New Roman" w:hAnsi="Times New Roman" w:eastAsia="宋体"/>
                <w:color w:val="000000" w:themeColor="text1"/>
                <w:sz w:val="28"/>
                <w:szCs w:val="28"/>
                <w:lang w:val="en-US" w:eastAsia="zh-CN"/>
                <w14:textFill>
                  <w14:solidFill>
                    <w14:schemeClr w14:val="tx1"/>
                  </w14:solidFill>
                </w14:textFill>
              </w:rPr>
            </w:pPr>
            <w:r>
              <w:rPr>
                <w:rFonts w:hint="default" w:ascii="Times New Roman" w:hAnsi="Times New Roman" w:eastAsia="宋体"/>
                <w:color w:val="000000" w:themeColor="text1"/>
                <w:sz w:val="28"/>
                <w:szCs w:val="28"/>
                <w:lang w:val="en-US" w:eastAsia="zh-CN"/>
                <w14:textFill>
                  <w14:solidFill>
                    <w14:schemeClr w14:val="tx1"/>
                  </w14:solidFill>
                </w14:textFill>
              </w:rPr>
              <w:t>5.</w:t>
            </w:r>
            <w:r>
              <w:rPr>
                <w:rFonts w:hint="eastAsia" w:ascii="Times New Roman" w:hAnsi="Times New Roman" w:eastAsia="宋体"/>
                <w:color w:val="000000" w:themeColor="text1"/>
                <w:sz w:val="28"/>
                <w:szCs w:val="28"/>
                <w:lang w:val="en-US" w:eastAsia="zh-CN"/>
                <w14:textFill>
                  <w14:solidFill>
                    <w14:schemeClr w14:val="tx1"/>
                  </w14:solidFill>
                </w14:textFill>
              </w:rPr>
              <w:t>2</w:t>
            </w:r>
            <w:r>
              <w:rPr>
                <w:rFonts w:hint="default" w:ascii="Times New Roman" w:hAnsi="Times New Roman" w:eastAsia="宋体"/>
                <w:color w:val="000000" w:themeColor="text1"/>
                <w:sz w:val="28"/>
                <w:szCs w:val="28"/>
                <w:lang w:val="en-US" w:eastAsia="zh-CN"/>
                <w14:textFill>
                  <w14:solidFill>
                    <w14:schemeClr w14:val="tx1"/>
                  </w14:solidFill>
                </w14:textFill>
              </w:rPr>
              <w:t>.1</w:t>
            </w:r>
            <w:r>
              <w:rPr>
                <w:rFonts w:hint="eastAsia" w:ascii="Times New Roman" w:hAnsi="Times New Roman" w:eastAsia="宋体"/>
                <w:color w:val="000000" w:themeColor="text1"/>
                <w:sz w:val="28"/>
                <w:szCs w:val="28"/>
                <w:lang w:val="en-US" w:eastAsia="zh-CN"/>
                <w14:textFill>
                  <w14:solidFill>
                    <w14:schemeClr w14:val="tx1"/>
                  </w14:solidFill>
                </w14:textFill>
              </w:rPr>
              <w:t>施工</w:t>
            </w:r>
            <w:r>
              <w:rPr>
                <w:rFonts w:hint="default" w:ascii="Times New Roman" w:hAnsi="Times New Roman" w:eastAsia="宋体"/>
                <w:color w:val="000000" w:themeColor="text1"/>
                <w:sz w:val="28"/>
                <w:szCs w:val="28"/>
                <w:lang w:val="en-US" w:eastAsia="zh-CN"/>
                <w14:textFill>
                  <w14:solidFill>
                    <w14:schemeClr w14:val="tx1"/>
                  </w14:solidFill>
                </w14:textFill>
              </w:rPr>
              <w:t>期大气污染防治措施</w:t>
            </w:r>
          </w:p>
          <w:p>
            <w:pPr>
              <w:pStyle w:val="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0" w:firstLine="480" w:firstLineChars="200"/>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下为本项目拟采取的</w:t>
            </w:r>
            <w:r>
              <w:rPr>
                <w:rFonts w:hint="default" w:ascii="Times New Roman" w:hAnsi="Times New Roman" w:eastAsia="宋体" w:cs="Times New Roman"/>
                <w:color w:val="000000" w:themeColor="text1"/>
                <w:kern w:val="2"/>
                <w:sz w:val="24"/>
                <w:szCs w:val="24"/>
                <w:highlight w:val="none"/>
                <w:lang w:eastAsia="zh-CN"/>
                <w14:textFill>
                  <w14:solidFill>
                    <w14:schemeClr w14:val="tx1"/>
                  </w14:solidFill>
                </w14:textFill>
              </w:rPr>
              <w:t>废气</w:t>
            </w:r>
            <w:r>
              <w:rPr>
                <w:rFonts w:hint="default" w:ascii="Times New Roman" w:hAnsi="Times New Roman" w:eastAsia="宋体" w:cs="Times New Roman"/>
                <w:color w:val="000000" w:themeColor="text1"/>
                <w:kern w:val="2"/>
                <w:sz w:val="24"/>
                <w:szCs w:val="24"/>
                <w:highlight w:val="none"/>
                <w14:textFill>
                  <w14:solidFill>
                    <w14:schemeClr w14:val="tx1"/>
                  </w14:solidFill>
                </w14:textFill>
              </w:rPr>
              <w:t>治理设施信息表</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pPr>
              <w:pageBreakBefore w:val="0"/>
              <w:kinsoku/>
              <w:bidi w:val="0"/>
              <w:spacing w:beforeAutospacing="0" w:afterAutospacing="0"/>
              <w:jc w:val="center"/>
              <w:rPr>
                <w:rFonts w:hint="default" w:ascii="Times New Roman" w:hAnsi="Times New Roman" w:eastAsia="宋体" w:cs="Times New Roman"/>
                <w:b/>
                <w:color w:val="000000" w:themeColor="text1"/>
                <w:spacing w:val="6"/>
                <w:sz w:val="24"/>
                <w:szCs w:val="24"/>
                <w:highlight w:val="none"/>
                <w14:textFill>
                  <w14:solidFill>
                    <w14:schemeClr w14:val="tx1"/>
                  </w14:solidFill>
                </w14:textFill>
              </w:rPr>
            </w:pPr>
            <w:r>
              <w:rPr>
                <w:rFonts w:hint="default" w:ascii="Times New Roman" w:hAnsi="Times New Roman" w:eastAsia="宋体" w:cs="Times New Roman"/>
                <w:b/>
                <w:color w:val="000000" w:themeColor="text1"/>
                <w:spacing w:val="6"/>
                <w:sz w:val="24"/>
                <w:szCs w:val="24"/>
                <w:highlight w:val="none"/>
                <w14:textFill>
                  <w14:solidFill>
                    <w14:schemeClr w14:val="tx1"/>
                  </w14:solidFill>
                </w14:textFill>
              </w:rPr>
              <w:t>表</w:t>
            </w:r>
            <w:r>
              <w:rPr>
                <w:rFonts w:hint="default" w:ascii="Times New Roman" w:hAnsi="Times New Roman" w:eastAsia="宋体" w:cs="Times New Roman"/>
                <w:b/>
                <w:color w:val="000000" w:themeColor="text1"/>
                <w:spacing w:val="6"/>
                <w:sz w:val="24"/>
                <w:szCs w:val="24"/>
                <w:highlight w:val="none"/>
                <w:lang w:val="en-US" w:eastAsia="zh-CN"/>
                <w14:textFill>
                  <w14:solidFill>
                    <w14:schemeClr w14:val="tx1"/>
                  </w14:solidFill>
                </w14:textFill>
              </w:rPr>
              <w:t>5.</w:t>
            </w:r>
            <w:r>
              <w:rPr>
                <w:rFonts w:hint="eastAsia" w:ascii="Times New Roman" w:hAnsi="Times New Roman" w:eastAsia="宋体" w:cs="Times New Roman"/>
                <w:b/>
                <w:color w:val="000000" w:themeColor="text1"/>
                <w:spacing w:val="6"/>
                <w:sz w:val="24"/>
                <w:szCs w:val="24"/>
                <w:highlight w:val="none"/>
                <w:lang w:val="en-US" w:eastAsia="zh-CN"/>
                <w14:textFill>
                  <w14:solidFill>
                    <w14:schemeClr w14:val="tx1"/>
                  </w14:solidFill>
                </w14:textFill>
              </w:rPr>
              <w:t>2-</w:t>
            </w:r>
            <w:r>
              <w:rPr>
                <w:rFonts w:hint="default" w:ascii="Times New Roman" w:hAnsi="Times New Roman" w:eastAsia="宋体" w:cs="Times New Roman"/>
                <w:b/>
                <w:color w:val="000000" w:themeColor="text1"/>
                <w:spacing w:val="6"/>
                <w:sz w:val="24"/>
                <w:szCs w:val="24"/>
                <w:highlight w:val="none"/>
                <w:lang w:val="en-US" w:eastAsia="zh-CN"/>
                <w14:textFill>
                  <w14:solidFill>
                    <w14:schemeClr w14:val="tx1"/>
                  </w14:solidFill>
                </w14:textFill>
              </w:rPr>
              <w:t>1</w:t>
            </w:r>
            <w:r>
              <w:rPr>
                <w:rFonts w:hint="default" w:ascii="Times New Roman" w:hAnsi="Times New Roman" w:eastAsia="宋体" w:cs="Times New Roman"/>
                <w:b/>
                <w:color w:val="000000" w:themeColor="text1"/>
                <w:spacing w:val="6"/>
                <w:sz w:val="24"/>
                <w:szCs w:val="24"/>
                <w:highlight w:val="none"/>
                <w14:textFill>
                  <w14:solidFill>
                    <w14:schemeClr w14:val="tx1"/>
                  </w14:solidFill>
                </w14:textFill>
              </w:rPr>
              <w:t xml:space="preserve">  废气产排污节点、污染物及污染治理设施表</w:t>
            </w:r>
          </w:p>
          <w:tbl>
            <w:tblPr>
              <w:tblStyle w:val="33"/>
              <w:tblW w:w="853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857"/>
              <w:gridCol w:w="896"/>
              <w:gridCol w:w="2557"/>
              <w:gridCol w:w="1168"/>
              <w:gridCol w:w="963"/>
              <w:gridCol w:w="9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112" w:type="dxa"/>
                  <w:vMerge w:val="restart"/>
                  <w:tcBorders>
                    <w:tl2br w:val="nil"/>
                    <w:tr2bl w:val="nil"/>
                  </w:tcBorders>
                  <w:vAlign w:val="center"/>
                </w:tcPr>
                <w:p>
                  <w:pPr>
                    <w:pageBreakBefore w:val="0"/>
                    <w:kinsoku/>
                    <w:bidi w:val="0"/>
                    <w:spacing w:beforeAutospacing="0" w:afterAutospacing="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产污环节</w:t>
                  </w:r>
                </w:p>
              </w:tc>
              <w:tc>
                <w:tcPr>
                  <w:tcW w:w="857" w:type="dxa"/>
                  <w:vMerge w:val="restart"/>
                  <w:tcBorders>
                    <w:tl2br w:val="nil"/>
                    <w:tr2bl w:val="nil"/>
                  </w:tcBorders>
                  <w:vAlign w:val="center"/>
                </w:tcPr>
                <w:p>
                  <w:pPr>
                    <w:pageBreakBefore w:val="0"/>
                    <w:kinsoku/>
                    <w:bidi w:val="0"/>
                    <w:spacing w:beforeAutospacing="0" w:afterAutospacing="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污染物种类</w:t>
                  </w:r>
                </w:p>
              </w:tc>
              <w:tc>
                <w:tcPr>
                  <w:tcW w:w="896" w:type="dxa"/>
                  <w:vMerge w:val="restart"/>
                  <w:tcBorders>
                    <w:tl2br w:val="nil"/>
                    <w:tr2bl w:val="nil"/>
                  </w:tcBorders>
                  <w:vAlign w:val="center"/>
                </w:tcPr>
                <w:p>
                  <w:pPr>
                    <w:pageBreakBefore w:val="0"/>
                    <w:kinsoku/>
                    <w:bidi w:val="0"/>
                    <w:spacing w:beforeAutospacing="0" w:afterAutospacing="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排放形式</w:t>
                  </w:r>
                </w:p>
              </w:tc>
              <w:tc>
                <w:tcPr>
                  <w:tcW w:w="5668" w:type="dxa"/>
                  <w:gridSpan w:val="4"/>
                  <w:tcBorders>
                    <w:tl2br w:val="nil"/>
                    <w:tr2bl w:val="nil"/>
                  </w:tcBorders>
                  <w:vAlign w:val="center"/>
                </w:tcPr>
                <w:p>
                  <w:pPr>
                    <w:pageBreakBefore w:val="0"/>
                    <w:kinsoku/>
                    <w:bidi w:val="0"/>
                    <w:spacing w:beforeAutospacing="0" w:afterAutospacing="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治理设施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112" w:type="dxa"/>
                  <w:vMerge w:val="continue"/>
                  <w:tcBorders>
                    <w:tl2br w:val="nil"/>
                    <w:tr2bl w:val="nil"/>
                  </w:tcBorders>
                  <w:vAlign w:val="center"/>
                </w:tcPr>
                <w:p>
                  <w:pPr>
                    <w:pageBreakBefore w:val="0"/>
                    <w:kinsoku/>
                    <w:bidi w:val="0"/>
                    <w:spacing w:beforeAutospacing="0" w:afterAutospacing="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857" w:type="dxa"/>
                  <w:vMerge w:val="continue"/>
                  <w:tcBorders>
                    <w:tl2br w:val="nil"/>
                    <w:tr2bl w:val="nil"/>
                  </w:tcBorders>
                  <w:vAlign w:val="center"/>
                </w:tcPr>
                <w:p>
                  <w:pPr>
                    <w:pageBreakBefore w:val="0"/>
                    <w:kinsoku/>
                    <w:bidi w:val="0"/>
                    <w:spacing w:beforeAutospacing="0" w:afterAutospacing="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896" w:type="dxa"/>
                  <w:vMerge w:val="continue"/>
                  <w:tcBorders>
                    <w:tl2br w:val="nil"/>
                    <w:tr2bl w:val="nil"/>
                  </w:tcBorders>
                  <w:vAlign w:val="center"/>
                </w:tcPr>
                <w:p>
                  <w:pPr>
                    <w:pageBreakBefore w:val="0"/>
                    <w:kinsoku/>
                    <w:bidi w:val="0"/>
                    <w:spacing w:beforeAutospacing="0" w:afterAutospacing="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2557" w:type="dxa"/>
                  <w:tcBorders>
                    <w:tl2br w:val="nil"/>
                    <w:tr2bl w:val="nil"/>
                  </w:tcBorders>
                  <w:vAlign w:val="center"/>
                </w:tcPr>
                <w:p>
                  <w:pPr>
                    <w:pageBreakBefore w:val="0"/>
                    <w:kinsoku/>
                    <w:bidi w:val="0"/>
                    <w:spacing w:beforeAutospacing="0" w:afterAutospacing="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治理措施</w:t>
                  </w:r>
                </w:p>
              </w:tc>
              <w:tc>
                <w:tcPr>
                  <w:tcW w:w="1168" w:type="dxa"/>
                  <w:tcBorders>
                    <w:tl2br w:val="nil"/>
                    <w:tr2bl w:val="nil"/>
                  </w:tcBorders>
                  <w:vAlign w:val="center"/>
                </w:tcPr>
                <w:p>
                  <w:pPr>
                    <w:pageBreakBefore w:val="0"/>
                    <w:kinsoku/>
                    <w:bidi w:val="0"/>
                    <w:spacing w:beforeAutospacing="0" w:afterAutospacing="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处理能力（m</w:t>
                  </w:r>
                  <w:r>
                    <w:rPr>
                      <w:rFonts w:hint="default" w:ascii="Times New Roman" w:hAnsi="Times New Roman" w:eastAsia="宋体" w:cs="Times New Roman"/>
                      <w:b w:val="0"/>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/h）</w:t>
                  </w:r>
                </w:p>
              </w:tc>
              <w:tc>
                <w:tcPr>
                  <w:tcW w:w="963" w:type="dxa"/>
                  <w:tcBorders>
                    <w:tl2br w:val="nil"/>
                    <w:tr2bl w:val="nil"/>
                  </w:tcBorders>
                  <w:vAlign w:val="center"/>
                </w:tcPr>
                <w:p>
                  <w:pPr>
                    <w:pageBreakBefore w:val="0"/>
                    <w:kinsoku/>
                    <w:bidi w:val="0"/>
                    <w:spacing w:beforeAutospacing="0" w:afterAutospacing="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收集效率（%）</w:t>
                  </w:r>
                </w:p>
              </w:tc>
              <w:tc>
                <w:tcPr>
                  <w:tcW w:w="980" w:type="dxa"/>
                  <w:tcBorders>
                    <w:tl2br w:val="nil"/>
                    <w:tr2bl w:val="nil"/>
                  </w:tcBorders>
                  <w:vAlign w:val="center"/>
                </w:tcPr>
                <w:p>
                  <w:pPr>
                    <w:pageBreakBefore w:val="0"/>
                    <w:kinsoku/>
                    <w:bidi w:val="0"/>
                    <w:spacing w:beforeAutospacing="0" w:afterAutospacing="0"/>
                    <w:jc w:val="center"/>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去除效率（%）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2" w:type="dxa"/>
                  <w:tcBorders>
                    <w:tl2br w:val="nil"/>
                    <w:tr2bl w:val="nil"/>
                  </w:tcBorders>
                  <w:vAlign w:val="center"/>
                </w:tcPr>
                <w:p>
                  <w:pPr>
                    <w:pageBreakBefore w:val="0"/>
                    <w:kinsoku/>
                    <w:bidi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场地平整</w:t>
                  </w:r>
                </w:p>
              </w:tc>
              <w:tc>
                <w:tcPr>
                  <w:tcW w:w="857" w:type="dxa"/>
                  <w:tcBorders>
                    <w:tl2br w:val="nil"/>
                    <w:tr2bl w:val="nil"/>
                  </w:tcBorders>
                  <w:vAlign w:val="center"/>
                </w:tcPr>
                <w:p>
                  <w:pPr>
                    <w:pageBreakBefore w:val="0"/>
                    <w:kinsoku/>
                    <w:bidi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颗粒物</w:t>
                  </w:r>
                </w:p>
              </w:tc>
              <w:tc>
                <w:tcPr>
                  <w:tcW w:w="896" w:type="dxa"/>
                  <w:tcBorders>
                    <w:tl2br w:val="nil"/>
                    <w:tr2bl w:val="nil"/>
                  </w:tcBorders>
                  <w:vAlign w:val="center"/>
                </w:tcPr>
                <w:p>
                  <w:pPr>
                    <w:pageBreakBefore w:val="0"/>
                    <w:kinsoku/>
                    <w:bidi w:val="0"/>
                    <w:spacing w:beforeAutospacing="0" w:afterAutospacing="0"/>
                    <w:jc w:val="cente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无组织</w:t>
                  </w:r>
                </w:p>
              </w:tc>
              <w:tc>
                <w:tcPr>
                  <w:tcW w:w="2557" w:type="dxa"/>
                  <w:tcBorders>
                    <w:tl2br w:val="nil"/>
                    <w:tr2bl w:val="nil"/>
                  </w:tcBorders>
                  <w:vAlign w:val="center"/>
                </w:tcPr>
                <w:p>
                  <w:pPr>
                    <w:pStyle w:val="2"/>
                    <w:pageBreakBefore w:val="0"/>
                    <w:kinsoku/>
                    <w:bidi w:val="0"/>
                    <w:adjustRightInd/>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围挡、</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加盖防尘密目网</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钻机配套布袋除尘器收尘措施</w:t>
                  </w:r>
                </w:p>
              </w:tc>
              <w:tc>
                <w:tcPr>
                  <w:tcW w:w="1168" w:type="dxa"/>
                  <w:tcBorders>
                    <w:tl2br w:val="nil"/>
                    <w:tr2bl w:val="nil"/>
                  </w:tcBorders>
                  <w:vAlign w:val="center"/>
                </w:tcPr>
                <w:p>
                  <w:pPr>
                    <w:pageBreakBefore w:val="0"/>
                    <w:kinsoku/>
                    <w:bidi w:val="0"/>
                    <w:spacing w:beforeAutospacing="0" w:afterAutospacing="0"/>
                    <w:jc w:val="cente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963" w:type="dxa"/>
                  <w:tcBorders>
                    <w:tl2br w:val="nil"/>
                    <w:tr2bl w:val="nil"/>
                  </w:tcBorders>
                  <w:vAlign w:val="center"/>
                </w:tcPr>
                <w:p>
                  <w:pPr>
                    <w:pageBreakBefore w:val="0"/>
                    <w:kinsoku/>
                    <w:bidi w:val="0"/>
                    <w:spacing w:beforeAutospacing="0" w:afterAutospacing="0"/>
                    <w:jc w:val="cente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980" w:type="dxa"/>
                  <w:tcBorders>
                    <w:tl2br w:val="nil"/>
                    <w:tr2bl w:val="nil"/>
                  </w:tcBorders>
                  <w:vAlign w:val="center"/>
                </w:tcPr>
                <w:p>
                  <w:pPr>
                    <w:pageBreakBefore w:val="0"/>
                    <w:kinsoku/>
                    <w:bidi w:val="0"/>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112" w:type="dxa"/>
                  <w:tcBorders>
                    <w:tl2br w:val="nil"/>
                    <w:tr2bl w:val="nil"/>
                  </w:tcBorders>
                  <w:vAlign w:val="center"/>
                </w:tcPr>
                <w:p>
                  <w:pPr>
                    <w:pStyle w:val="2"/>
                    <w:pageBreakBefore w:val="0"/>
                    <w:kinsoku/>
                    <w:bidi w:val="0"/>
                    <w:adjustRightInd/>
                    <w:spacing w:beforeAutospacing="0" w:afterAutospacing="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装卸</w:t>
                  </w:r>
                </w:p>
              </w:tc>
              <w:tc>
                <w:tcPr>
                  <w:tcW w:w="857" w:type="dxa"/>
                  <w:tcBorders>
                    <w:tl2br w:val="nil"/>
                    <w:tr2bl w:val="nil"/>
                  </w:tcBorders>
                  <w:vAlign w:val="center"/>
                </w:tcPr>
                <w:p>
                  <w:pPr>
                    <w:pageBreakBefore w:val="0"/>
                    <w:kinsoku/>
                    <w:bidi w:val="0"/>
                    <w:spacing w:beforeAutospacing="0" w:afterAutospacing="0"/>
                    <w:jc w:val="center"/>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颗粒物</w:t>
                  </w:r>
                </w:p>
              </w:tc>
              <w:tc>
                <w:tcPr>
                  <w:tcW w:w="896" w:type="dxa"/>
                  <w:tcBorders>
                    <w:tl2br w:val="nil"/>
                    <w:tr2bl w:val="nil"/>
                  </w:tcBorders>
                  <w:vAlign w:val="center"/>
                </w:tcPr>
                <w:p>
                  <w:pPr>
                    <w:pStyle w:val="2"/>
                    <w:pageBreakBefore w:val="0"/>
                    <w:kinsoku/>
                    <w:bidi w:val="0"/>
                    <w:adjustRightInd/>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无组织</w:t>
                  </w:r>
                </w:p>
              </w:tc>
              <w:tc>
                <w:tcPr>
                  <w:tcW w:w="2557" w:type="dxa"/>
                  <w:tcBorders>
                    <w:tl2br w:val="nil"/>
                    <w:tr2bl w:val="nil"/>
                  </w:tcBorders>
                  <w:vAlign w:val="center"/>
                </w:tcPr>
                <w:p>
                  <w:pPr>
                    <w:pStyle w:val="2"/>
                    <w:pageBreakBefore w:val="0"/>
                    <w:kinsoku/>
                    <w:bidi w:val="0"/>
                    <w:adjustRightInd/>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采用喷雾洒水抑尘</w:t>
                  </w:r>
                </w:p>
              </w:tc>
              <w:tc>
                <w:tcPr>
                  <w:tcW w:w="1168" w:type="dxa"/>
                  <w:tcBorders>
                    <w:tl2br w:val="nil"/>
                    <w:tr2bl w:val="nil"/>
                  </w:tcBorders>
                  <w:vAlign w:val="center"/>
                </w:tcPr>
                <w:p>
                  <w:pPr>
                    <w:pStyle w:val="2"/>
                    <w:pageBreakBefore w:val="0"/>
                    <w:kinsoku/>
                    <w:bidi w:val="0"/>
                    <w:adjustRightInd/>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963" w:type="dxa"/>
                  <w:tcBorders>
                    <w:tl2br w:val="nil"/>
                    <w:tr2bl w:val="nil"/>
                  </w:tcBorders>
                  <w:vAlign w:val="center"/>
                </w:tcPr>
                <w:p>
                  <w:pPr>
                    <w:pStyle w:val="2"/>
                    <w:pageBreakBefore w:val="0"/>
                    <w:kinsoku/>
                    <w:bidi w:val="0"/>
                    <w:adjustRightInd/>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980" w:type="dxa"/>
                  <w:tcBorders>
                    <w:tl2br w:val="nil"/>
                    <w:tr2bl w:val="nil"/>
                  </w:tcBorders>
                  <w:vAlign w:val="center"/>
                </w:tcPr>
                <w:p>
                  <w:pPr>
                    <w:pStyle w:val="2"/>
                    <w:pageBreakBefore w:val="0"/>
                    <w:kinsoku/>
                    <w:bidi w:val="0"/>
                    <w:adjustRightInd/>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112" w:type="dxa"/>
                  <w:tcBorders>
                    <w:tl2br w:val="nil"/>
                    <w:tr2bl w:val="nil"/>
                  </w:tcBorders>
                  <w:vAlign w:val="center"/>
                </w:tcPr>
                <w:p>
                  <w:pPr>
                    <w:pStyle w:val="2"/>
                    <w:pageBreakBefore w:val="0"/>
                    <w:kinsoku/>
                    <w:bidi w:val="0"/>
                    <w:adjustRightInd/>
                    <w:spacing w:beforeAutospacing="0" w:afterAutospacing="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运输</w:t>
                  </w:r>
                </w:p>
              </w:tc>
              <w:tc>
                <w:tcPr>
                  <w:tcW w:w="857" w:type="dxa"/>
                  <w:tcBorders>
                    <w:tl2br w:val="nil"/>
                    <w:tr2bl w:val="nil"/>
                  </w:tcBorders>
                  <w:vAlign w:val="center"/>
                </w:tcPr>
                <w:p>
                  <w:pPr>
                    <w:pageBreakBefore w:val="0"/>
                    <w:kinsoku/>
                    <w:bidi w:val="0"/>
                    <w:spacing w:beforeAutospacing="0" w:afterAutospacing="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颗粒物</w:t>
                  </w:r>
                </w:p>
              </w:tc>
              <w:tc>
                <w:tcPr>
                  <w:tcW w:w="896" w:type="dxa"/>
                  <w:tcBorders>
                    <w:tl2br w:val="nil"/>
                    <w:tr2bl w:val="nil"/>
                  </w:tcBorders>
                  <w:vAlign w:val="center"/>
                </w:tcPr>
                <w:p>
                  <w:pPr>
                    <w:pageBreakBefore w:val="0"/>
                    <w:kinsoku/>
                    <w:bidi w:val="0"/>
                    <w:spacing w:beforeAutospacing="0" w:afterAutospacing="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无组织</w:t>
                  </w:r>
                </w:p>
              </w:tc>
              <w:tc>
                <w:tcPr>
                  <w:tcW w:w="2557" w:type="dxa"/>
                  <w:tcBorders>
                    <w:tl2br w:val="nil"/>
                    <w:tr2bl w:val="nil"/>
                  </w:tcBorders>
                  <w:vAlign w:val="center"/>
                </w:tcPr>
                <w:p>
                  <w:pPr>
                    <w:pStyle w:val="2"/>
                    <w:pageBreakBefore w:val="0"/>
                    <w:kinsoku/>
                    <w:bidi w:val="0"/>
                    <w:adjustRightInd/>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对路面</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定期</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进行清扫和</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喷雾</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洒水抑尘，对运输车辆进行加盖帆布并限制车速</w:t>
                  </w:r>
                </w:p>
              </w:tc>
              <w:tc>
                <w:tcPr>
                  <w:tcW w:w="1168" w:type="dxa"/>
                  <w:tcBorders>
                    <w:tl2br w:val="nil"/>
                    <w:tr2bl w:val="nil"/>
                  </w:tcBorders>
                  <w:vAlign w:val="center"/>
                </w:tcPr>
                <w:p>
                  <w:pPr>
                    <w:pageBreakBefore w:val="0"/>
                    <w:kinsoku/>
                    <w:bidi w:val="0"/>
                    <w:spacing w:beforeAutospacing="0" w:afterAutospacing="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c>
                <w:tcPr>
                  <w:tcW w:w="963" w:type="dxa"/>
                  <w:tcBorders>
                    <w:tl2br w:val="nil"/>
                    <w:tr2bl w:val="nil"/>
                  </w:tcBorders>
                  <w:vAlign w:val="center"/>
                </w:tcPr>
                <w:p>
                  <w:pPr>
                    <w:pageBreakBefore w:val="0"/>
                    <w:kinsoku/>
                    <w:bidi w:val="0"/>
                    <w:spacing w:beforeAutospacing="0" w:afterAutospacing="0"/>
                    <w:jc w:val="center"/>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c>
                <w:tcPr>
                  <w:tcW w:w="980" w:type="dxa"/>
                  <w:tcBorders>
                    <w:tl2br w:val="nil"/>
                    <w:tr2bl w:val="nil"/>
                  </w:tcBorders>
                  <w:vAlign w:val="center"/>
                </w:tcPr>
                <w:p>
                  <w:pPr>
                    <w:pageBreakBefore w:val="0"/>
                    <w:kinsoku/>
                    <w:bidi w:val="0"/>
                    <w:spacing w:beforeAutospacing="0" w:afterAutospacing="0"/>
                    <w:jc w:val="center"/>
                    <w:rPr>
                      <w:rFonts w:hint="default" w:ascii="Times New Roman" w:hAnsi="Times New Roman" w:eastAsia="宋体" w:cs="Times New Roman"/>
                      <w:bCs/>
                      <w:color w:val="000000" w:themeColor="text1"/>
                      <w:sz w:val="21"/>
                      <w:szCs w:val="21"/>
                      <w:highlight w:val="none"/>
                      <w:lang w:val="en-US"/>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112" w:type="dxa"/>
                  <w:tcBorders>
                    <w:tl2br w:val="nil"/>
                    <w:tr2bl w:val="nil"/>
                  </w:tcBorders>
                  <w:vAlign w:val="center"/>
                </w:tcPr>
                <w:p>
                  <w:pPr>
                    <w:pStyle w:val="2"/>
                    <w:pageBreakBefore w:val="0"/>
                    <w:kinsoku/>
                    <w:bidi w:val="0"/>
                    <w:adjustRightInd/>
                    <w:spacing w:beforeAutospacing="0" w:afterAutospacing="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加工区（碎石加工）</w:t>
                  </w:r>
                </w:p>
              </w:tc>
              <w:tc>
                <w:tcPr>
                  <w:tcW w:w="857" w:type="dxa"/>
                  <w:tcBorders>
                    <w:tl2br w:val="nil"/>
                    <w:tr2bl w:val="nil"/>
                  </w:tcBorders>
                  <w:vAlign w:val="center"/>
                </w:tcPr>
                <w:p>
                  <w:pPr>
                    <w:pageBreakBefore w:val="0"/>
                    <w:kinsoku/>
                    <w:bidi w:val="0"/>
                    <w:spacing w:beforeAutospacing="0" w:afterAutospacing="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颗粒物</w:t>
                  </w:r>
                </w:p>
              </w:tc>
              <w:tc>
                <w:tcPr>
                  <w:tcW w:w="896" w:type="dxa"/>
                  <w:tcBorders>
                    <w:tl2br w:val="nil"/>
                    <w:tr2bl w:val="nil"/>
                  </w:tcBorders>
                  <w:vAlign w:val="center"/>
                </w:tcPr>
                <w:p>
                  <w:pPr>
                    <w:pageBreakBefore w:val="0"/>
                    <w:kinsoku/>
                    <w:bidi w:val="0"/>
                    <w:spacing w:beforeAutospacing="0" w:afterAutospacing="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无组织</w:t>
                  </w:r>
                </w:p>
              </w:tc>
              <w:tc>
                <w:tcPr>
                  <w:tcW w:w="2557" w:type="dxa"/>
                  <w:tcBorders>
                    <w:tl2br w:val="nil"/>
                    <w:tr2bl w:val="nil"/>
                  </w:tcBorders>
                  <w:vAlign w:val="center"/>
                </w:tcPr>
                <w:p>
                  <w:pPr>
                    <w:pStyle w:val="2"/>
                    <w:pageBreakBefore w:val="0"/>
                    <w:kinsoku/>
                    <w:bidi w:val="0"/>
                    <w:adjustRightInd/>
                    <w:spacing w:beforeAutospacing="0" w:afterAutospacing="0"/>
                    <w:jc w:val="both"/>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设备和产品要采取棚化密闭，</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半</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封闭式生产流程，并定期收集粉尘；进料口等产尘点采用彩钢板密封，并在上方设置雾化喷头</w:t>
                  </w:r>
                </w:p>
              </w:tc>
              <w:tc>
                <w:tcPr>
                  <w:tcW w:w="1168" w:type="dxa"/>
                  <w:tcBorders>
                    <w:tl2br w:val="nil"/>
                    <w:tr2bl w:val="nil"/>
                  </w:tcBorders>
                  <w:vAlign w:val="center"/>
                </w:tcPr>
                <w:p>
                  <w:pPr>
                    <w:pageBreakBefore w:val="0"/>
                    <w:kinsoku/>
                    <w:bidi w:val="0"/>
                    <w:spacing w:beforeAutospacing="0" w:afterAutospacing="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963" w:type="dxa"/>
                  <w:tcBorders>
                    <w:tl2br w:val="nil"/>
                    <w:tr2bl w:val="nil"/>
                  </w:tcBorders>
                  <w:vAlign w:val="center"/>
                </w:tcPr>
                <w:p>
                  <w:pPr>
                    <w:pageBreakBefore w:val="0"/>
                    <w:kinsoku/>
                    <w:bidi w:val="0"/>
                    <w:spacing w:beforeAutospacing="0" w:afterAutospacing="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980" w:type="dxa"/>
                  <w:tcBorders>
                    <w:tl2br w:val="nil"/>
                    <w:tr2bl w:val="nil"/>
                  </w:tcBorders>
                  <w:vAlign w:val="center"/>
                </w:tcPr>
                <w:p>
                  <w:pPr>
                    <w:pageBreakBefore w:val="0"/>
                    <w:kinsoku/>
                    <w:bidi w:val="0"/>
                    <w:spacing w:beforeAutospacing="0" w:afterAutospacing="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112" w:type="dxa"/>
                  <w:tcBorders>
                    <w:tl2br w:val="nil"/>
                    <w:tr2bl w:val="nil"/>
                  </w:tcBorders>
                  <w:vAlign w:val="center"/>
                </w:tcPr>
                <w:p>
                  <w:pPr>
                    <w:pStyle w:val="2"/>
                    <w:pageBreakBefore w:val="0"/>
                    <w:kinsoku/>
                    <w:bidi w:val="0"/>
                    <w:adjustRightInd/>
                    <w:spacing w:beforeAutospacing="0" w:afterAutospacing="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加工区（搅拌）</w:t>
                  </w:r>
                </w:p>
              </w:tc>
              <w:tc>
                <w:tcPr>
                  <w:tcW w:w="857" w:type="dxa"/>
                  <w:tcBorders>
                    <w:tl2br w:val="nil"/>
                    <w:tr2bl w:val="nil"/>
                  </w:tcBorders>
                  <w:vAlign w:val="center"/>
                </w:tcPr>
                <w:p>
                  <w:pPr>
                    <w:pageBreakBefore w:val="0"/>
                    <w:kinsoku/>
                    <w:bidi w:val="0"/>
                    <w:spacing w:beforeAutospacing="0" w:afterAutospacing="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颗粒物</w:t>
                  </w:r>
                </w:p>
              </w:tc>
              <w:tc>
                <w:tcPr>
                  <w:tcW w:w="896" w:type="dxa"/>
                  <w:tcBorders>
                    <w:tl2br w:val="nil"/>
                    <w:tr2bl w:val="nil"/>
                  </w:tcBorders>
                  <w:vAlign w:val="center"/>
                </w:tcPr>
                <w:p>
                  <w:pPr>
                    <w:pageBreakBefore w:val="0"/>
                    <w:kinsoku/>
                    <w:bidi w:val="0"/>
                    <w:spacing w:beforeAutospacing="0" w:afterAutospacing="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有</w:t>
                  </w:r>
                  <w:r>
                    <w:rPr>
                      <w:rFonts w:hint="default" w:ascii="Times New Roman" w:hAnsi="Times New Roman" w:eastAsia="宋体" w:cs="Times New Roman"/>
                      <w:bCs/>
                      <w:color w:val="000000" w:themeColor="text1"/>
                      <w:sz w:val="21"/>
                      <w:szCs w:val="21"/>
                      <w14:textFill>
                        <w14:solidFill>
                          <w14:schemeClr w14:val="tx1"/>
                        </w14:solidFill>
                      </w14:textFill>
                    </w:rPr>
                    <w:t>组织</w:t>
                  </w:r>
                </w:p>
              </w:tc>
              <w:tc>
                <w:tcPr>
                  <w:tcW w:w="2557" w:type="dxa"/>
                  <w:tcBorders>
                    <w:tl2br w:val="nil"/>
                    <w:tr2bl w:val="nil"/>
                  </w:tcBorders>
                  <w:vAlign w:val="center"/>
                </w:tcPr>
                <w:p>
                  <w:pPr>
                    <w:pStyle w:val="2"/>
                    <w:pageBreakBefore w:val="0"/>
                    <w:kinsoku/>
                    <w:bidi w:val="0"/>
                    <w:adjustRightInd/>
                    <w:spacing w:beforeAutospacing="0" w:afterAutospacing="0"/>
                    <w:jc w:val="both"/>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筒仓</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仓底采用负压吸风收尘装置，与仓顶呼吸孔共用一套仓顶除尘器，</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经处理后外排；搅拌系统配备一台脉冲布袋除尘器，粉尘经净化处理后经排气筒外排；螺旋输送机和料场设置于全密闭彩钢房内，进行原料转运设施建设封闭皮带通廊；</w:t>
                  </w:r>
                </w:p>
              </w:tc>
              <w:tc>
                <w:tcPr>
                  <w:tcW w:w="1168" w:type="dxa"/>
                  <w:tcBorders>
                    <w:tl2br w:val="nil"/>
                    <w:tr2bl w:val="nil"/>
                  </w:tcBorders>
                  <w:vAlign w:val="center"/>
                </w:tcPr>
                <w:p>
                  <w:pPr>
                    <w:pageBreakBefore w:val="0"/>
                    <w:kinsoku/>
                    <w:bidi w:val="0"/>
                    <w:spacing w:beforeAutospacing="0" w:afterAutospacing="0"/>
                    <w:jc w:val="cente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963" w:type="dxa"/>
                  <w:tcBorders>
                    <w:tl2br w:val="nil"/>
                    <w:tr2bl w:val="nil"/>
                  </w:tcBorders>
                  <w:vAlign w:val="center"/>
                </w:tcPr>
                <w:p>
                  <w:pPr>
                    <w:pageBreakBefore w:val="0"/>
                    <w:kinsoku/>
                    <w:bidi w:val="0"/>
                    <w:spacing w:beforeAutospacing="0" w:afterAutospacing="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90</w:t>
                  </w:r>
                </w:p>
              </w:tc>
              <w:tc>
                <w:tcPr>
                  <w:tcW w:w="980" w:type="dxa"/>
                  <w:tcBorders>
                    <w:tl2br w:val="nil"/>
                    <w:tr2bl w:val="nil"/>
                  </w:tcBorders>
                  <w:vAlign w:val="center"/>
                </w:tcPr>
                <w:p>
                  <w:pPr>
                    <w:pageBreakBefore w:val="0"/>
                    <w:kinsoku/>
                    <w:bidi w:val="0"/>
                    <w:spacing w:beforeAutospacing="0" w:afterAutospacing="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80</w:t>
                  </w:r>
                </w:p>
              </w:tc>
            </w:tr>
          </w:tbl>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配套加工搅拌区采用仓顶除尘器，仓顶除尘器是一种自动清灰结构的单体除尘设备，这种除尘器在水泥，矿粉，采矿、冶金、建材、机械、化工、粮食加工等工矿企业广泛用于过滤气体中的细小的、非纤维性的干燥粉尘或在工艺流程中回收干燥粉料的一种除尘设备。仓顶除尘器的滤尘是通过滤芯进行的，滤芯材料玻纤，当含尘空气通过时，即可有效的使用固相与气相分离开来，玻纤的滤芯是一种多孔性的滤尘材料，当气流通过时，由于震动作用、使气流中的微粒吸附在滤芯上或沉降下来，净化后的空气即可排出，为了清除附着和沉入滤芯的灰尘，在每班通风机停止运行时（每隔约2-4 小时）顺序振动除尘器，每次振动5下左右，其净化效率约80%-85％。</w:t>
            </w:r>
          </w:p>
          <w:p>
            <w:pPr>
              <w:pageBreakBefore w:val="0"/>
              <w:kinsoku/>
              <w:bidi w:val="0"/>
              <w:spacing w:beforeAutospacing="0" w:afterAutospacing="0" w:line="360" w:lineRule="auto"/>
              <w:rPr>
                <w:rFonts w:hint="eastAsia"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drawing>
                <wp:inline distT="0" distB="0" distL="114300" distR="114300">
                  <wp:extent cx="5307330" cy="567055"/>
                  <wp:effectExtent l="0" t="0" r="7620" b="4445"/>
                  <wp:docPr id="2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7"/>
                          <pic:cNvPicPr>
                            <a:picLocks noChangeAspect="1"/>
                          </pic:cNvPicPr>
                        </pic:nvPicPr>
                        <pic:blipFill>
                          <a:blip r:embed="rId33"/>
                          <a:stretch>
                            <a:fillRect/>
                          </a:stretch>
                        </pic:blipFill>
                        <pic:spPr>
                          <a:xfrm>
                            <a:off x="0" y="0"/>
                            <a:ext cx="5307330" cy="567055"/>
                          </a:xfrm>
                          <a:prstGeom prst="rect">
                            <a:avLst/>
                          </a:prstGeom>
                          <a:noFill/>
                          <a:ln>
                            <a:noFill/>
                          </a:ln>
                        </pic:spPr>
                      </pic:pic>
                    </a:graphicData>
                  </a:graphic>
                </wp:inline>
              </w:drawing>
            </w:r>
          </w:p>
          <w:p>
            <w:pPr>
              <w:pageBreakBefore w:val="0"/>
              <w:kinsoku/>
              <w:bidi w:val="0"/>
              <w:spacing w:beforeAutospacing="0" w:afterAutospacing="0"/>
              <w:jc w:val="cente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图5.2-1 仓顶除尘工艺流程图</w:t>
            </w:r>
          </w:p>
          <w:p>
            <w:pPr>
              <w:pStyle w:val="11"/>
              <w:pageBreakBefore w:val="0"/>
              <w:kinsoku/>
              <w:bidi w:val="0"/>
              <w:spacing w:beforeAutospacing="0" w:afterAutospacing="0"/>
              <w:rPr>
                <w:rFonts w:hint="default" w:ascii="Times New Roman" w:hAnsi="Times New Roman" w:eastAsia="宋体"/>
                <w:color w:val="000000" w:themeColor="text1"/>
                <w:sz w:val="28"/>
                <w:szCs w:val="28"/>
                <w:lang w:val="en-US" w:eastAsia="zh-CN"/>
                <w14:textFill>
                  <w14:solidFill>
                    <w14:schemeClr w14:val="tx1"/>
                  </w14:solidFill>
                </w14:textFill>
              </w:rPr>
            </w:pPr>
            <w:r>
              <w:rPr>
                <w:rFonts w:hint="default" w:ascii="Times New Roman" w:hAnsi="Times New Roman" w:eastAsia="宋体"/>
                <w:color w:val="000000" w:themeColor="text1"/>
                <w:sz w:val="28"/>
                <w:szCs w:val="28"/>
                <w:lang w:val="en-US" w:eastAsia="zh-CN"/>
                <w14:textFill>
                  <w14:solidFill>
                    <w14:schemeClr w14:val="tx1"/>
                  </w14:solidFill>
                </w14:textFill>
              </w:rPr>
              <w:t>5.</w:t>
            </w:r>
            <w:r>
              <w:rPr>
                <w:rFonts w:hint="eastAsia" w:ascii="Times New Roman" w:hAnsi="Times New Roman" w:eastAsia="宋体"/>
                <w:color w:val="000000" w:themeColor="text1"/>
                <w:sz w:val="28"/>
                <w:szCs w:val="28"/>
                <w:lang w:val="en-US" w:eastAsia="zh-CN"/>
                <w14:textFill>
                  <w14:solidFill>
                    <w14:schemeClr w14:val="tx1"/>
                  </w14:solidFill>
                </w14:textFill>
              </w:rPr>
              <w:t>2</w:t>
            </w:r>
            <w:r>
              <w:rPr>
                <w:rFonts w:hint="default" w:ascii="Times New Roman" w:hAnsi="Times New Roman" w:eastAsia="宋体"/>
                <w:color w:val="000000" w:themeColor="text1"/>
                <w:sz w:val="28"/>
                <w:szCs w:val="28"/>
                <w:lang w:val="en-US" w:eastAsia="zh-CN"/>
                <w14:textFill>
                  <w14:solidFill>
                    <w14:schemeClr w14:val="tx1"/>
                  </w14:solidFill>
                </w14:textFill>
              </w:rPr>
              <w:t>.2废气防治措施可行性分析</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本项目废气治理设施</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参照</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《排污许可证申请与核发技术规范 总则》（HJ9</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-2018）</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及《排污许可证申请与核发技术规范 陶瓷砖瓦工业》（</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HJ9</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-2018</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）中</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排污单位无组织排放控制要求</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，符合相关排放控制要求</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，详见表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5.2-2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pageBreakBefore w:val="0"/>
              <w:kinsoku/>
              <w:bidi w:val="0"/>
              <w:spacing w:beforeAutospacing="0" w:afterAutospacing="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5.2-2</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  本项目拟采取以下废气防治措施一览表</w:t>
            </w:r>
          </w:p>
          <w:tbl>
            <w:tblPr>
              <w:tblStyle w:val="34"/>
              <w:tblW w:w="8533"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4"/>
              <w:gridCol w:w="3690"/>
              <w:gridCol w:w="2424"/>
              <w:gridCol w:w="16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trPr>
              <w:tc>
                <w:tcPr>
                  <w:tcW w:w="744" w:type="dxa"/>
                  <w:tcBorders>
                    <w:tl2br w:val="nil"/>
                    <w:tr2bl w:val="nil"/>
                  </w:tcBorders>
                  <w:vAlign w:val="center"/>
                </w:tcPr>
                <w:p>
                  <w:pPr>
                    <w:pageBreakBefore w:val="0"/>
                    <w:kinsoku/>
                    <w:autoSpaceDE w:val="0"/>
                    <w:autoSpaceDN w:val="0"/>
                    <w:bidi w:val="0"/>
                    <w:adjustRightInd w:val="0"/>
                    <w:spacing w:beforeAutospacing="0" w:afterAutospacing="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主要生产单元</w:t>
                  </w:r>
                </w:p>
              </w:tc>
              <w:tc>
                <w:tcPr>
                  <w:tcW w:w="3690" w:type="dxa"/>
                  <w:tcBorders>
                    <w:tl2br w:val="nil"/>
                    <w:tr2bl w:val="nil"/>
                  </w:tcBorders>
                  <w:vAlign w:val="center"/>
                </w:tcPr>
                <w:p>
                  <w:pPr>
                    <w:pageBreakBefore w:val="0"/>
                    <w:kinsoku/>
                    <w:autoSpaceDE w:val="0"/>
                    <w:autoSpaceDN w:val="0"/>
                    <w:bidi w:val="0"/>
                    <w:adjustRightInd w:val="0"/>
                    <w:spacing w:beforeAutospacing="0" w:afterAutospacing="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无组织排放控制要求</w:t>
                  </w:r>
                </w:p>
              </w:tc>
              <w:tc>
                <w:tcPr>
                  <w:tcW w:w="2424" w:type="dxa"/>
                  <w:tcBorders>
                    <w:tl2br w:val="nil"/>
                    <w:tr2bl w:val="nil"/>
                  </w:tcBorders>
                  <w:vAlign w:val="center"/>
                </w:tcPr>
                <w:p>
                  <w:pPr>
                    <w:pageBreakBefore w:val="0"/>
                    <w:kinsoku/>
                    <w:autoSpaceDE w:val="0"/>
                    <w:autoSpaceDN w:val="0"/>
                    <w:bidi w:val="0"/>
                    <w:adjustRightInd w:val="0"/>
                    <w:spacing w:beforeAutospacing="0" w:afterAutospacing="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治理措施</w:t>
                  </w:r>
                </w:p>
              </w:tc>
              <w:tc>
                <w:tcPr>
                  <w:tcW w:w="1675" w:type="dxa"/>
                  <w:tcBorders>
                    <w:tl2br w:val="nil"/>
                    <w:tr2bl w:val="nil"/>
                  </w:tcBorders>
                  <w:vAlign w:val="center"/>
                </w:tcPr>
                <w:p>
                  <w:pPr>
                    <w:pageBreakBefore w:val="0"/>
                    <w:kinsoku/>
                    <w:autoSpaceDE w:val="0"/>
                    <w:autoSpaceDN w:val="0"/>
                    <w:bidi w:val="0"/>
                    <w:adjustRightInd w:val="0"/>
                    <w:spacing w:beforeAutospacing="0" w:afterAutospacing="0"/>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是否可行技术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4" w:type="dxa"/>
                  <w:tcBorders>
                    <w:tl2br w:val="nil"/>
                    <w:tr2bl w:val="nil"/>
                  </w:tcBorders>
                  <w:vAlign w:val="center"/>
                </w:tcPr>
                <w:p>
                  <w:pPr>
                    <w:pStyle w:val="2"/>
                    <w:pageBreakBefore w:val="0"/>
                    <w:kinsoku/>
                    <w:bidi w:val="0"/>
                    <w:adjustRightInd/>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原辅料制备</w:t>
                  </w:r>
                </w:p>
              </w:tc>
              <w:tc>
                <w:tcPr>
                  <w:tcW w:w="3690" w:type="dxa"/>
                  <w:tcBorders>
                    <w:tl2br w:val="nil"/>
                    <w:tr2bl w:val="nil"/>
                  </w:tcBorders>
                  <w:vAlign w:val="center"/>
                </w:tcPr>
                <w:p>
                  <w:pPr>
                    <w:pStyle w:val="2"/>
                    <w:pageBreakBefore w:val="0"/>
                    <w:kinsoku/>
                    <w:bidi w:val="0"/>
                    <w:adjustRightInd/>
                    <w:spacing w:beforeAutospacing="0" w:afterAutospacing="0"/>
                    <w:jc w:val="left"/>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（1）物料料场应采用封闭、半封闭料场（仓、库、棚），或四周设置防风抑尘网、挡风墙，或采取覆盖等抑尘措施，防风抑尘网、挡风墙高度不低于堆存物料高度的 1.1 倍；有包装袋的物料采取覆盖措施。</w:t>
                  </w:r>
                </w:p>
                <w:p>
                  <w:pPr>
                    <w:pStyle w:val="2"/>
                    <w:pageBreakBefore w:val="0"/>
                    <w:kinsoku/>
                    <w:bidi w:val="0"/>
                    <w:adjustRightInd/>
                    <w:spacing w:beforeAutospacing="0" w:afterAutospacing="0"/>
                    <w:jc w:val="left"/>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（2）粉状物料应密闭输送；其他物料输送应在转运点设置集气罩，并配备除尘设施。</w:t>
                  </w:r>
                </w:p>
              </w:tc>
              <w:tc>
                <w:tcPr>
                  <w:tcW w:w="2424" w:type="dxa"/>
                  <w:tcBorders>
                    <w:tl2br w:val="nil"/>
                    <w:tr2bl w:val="nil"/>
                  </w:tcBorders>
                  <w:vAlign w:val="center"/>
                </w:tcPr>
                <w:p>
                  <w:pPr>
                    <w:pStyle w:val="2"/>
                    <w:pageBreakBefore w:val="0"/>
                    <w:kinsoku/>
                    <w:bidi w:val="0"/>
                    <w:adjustRightInd/>
                    <w:spacing w:beforeAutospacing="0" w:afterAutospacing="0"/>
                    <w:jc w:val="left"/>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（1）整体采用半封闭式，并配套水雾降尘、洒水降尘等措施。</w:t>
                  </w:r>
                </w:p>
                <w:p>
                  <w:pPr>
                    <w:pStyle w:val="2"/>
                    <w:pageBreakBefore w:val="0"/>
                    <w:kinsoku/>
                    <w:bidi w:val="0"/>
                    <w:adjustRightInd/>
                    <w:spacing w:beforeAutospacing="0" w:afterAutospacing="0"/>
                    <w:jc w:val="left"/>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（2）输送带</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增设</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喷雾洒水</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增湿</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抑尘</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设施</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，对运输车辆进行加盖帆布并限制车速。</w:t>
                  </w:r>
                </w:p>
              </w:tc>
              <w:tc>
                <w:tcPr>
                  <w:tcW w:w="1675" w:type="dxa"/>
                  <w:vMerge w:val="restart"/>
                  <w:tcBorders>
                    <w:tl2br w:val="nil"/>
                    <w:tr2bl w:val="nil"/>
                  </w:tcBorders>
                  <w:vAlign w:val="center"/>
                </w:tcPr>
                <w:p>
                  <w:pPr>
                    <w:pStyle w:val="2"/>
                    <w:pageBreakBefore w:val="0"/>
                    <w:kinsoku/>
                    <w:bidi w:val="0"/>
                    <w:adjustRightInd/>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是，符合</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《排污许可证申请与核发技术规范 总则》（HJ942-2018）</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中相关无组织排放控制要求</w:t>
                  </w:r>
                </w:p>
                <w:p>
                  <w:pPr>
                    <w:pStyle w:val="2"/>
                    <w:pageBreakBefore w:val="0"/>
                    <w:kinsoku/>
                    <w:bidi w:val="0"/>
                    <w:adjustRightInd/>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69" w:hRule="atLeast"/>
              </w:trPr>
              <w:tc>
                <w:tcPr>
                  <w:tcW w:w="744" w:type="dxa"/>
                  <w:tcBorders>
                    <w:tl2br w:val="nil"/>
                    <w:tr2bl w:val="nil"/>
                  </w:tcBorders>
                  <w:vAlign w:val="center"/>
                </w:tcPr>
                <w:p>
                  <w:pPr>
                    <w:pStyle w:val="2"/>
                    <w:pageBreakBefore w:val="0"/>
                    <w:kinsoku/>
                    <w:bidi w:val="0"/>
                    <w:adjustRightInd/>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生产</w:t>
                  </w:r>
                </w:p>
                <w:p>
                  <w:pPr>
                    <w:pStyle w:val="2"/>
                    <w:pageBreakBefore w:val="0"/>
                    <w:kinsoku/>
                    <w:bidi w:val="0"/>
                    <w:adjustRightInd/>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系统</w:t>
                  </w:r>
                </w:p>
              </w:tc>
              <w:tc>
                <w:tcPr>
                  <w:tcW w:w="3690" w:type="dxa"/>
                  <w:tcBorders>
                    <w:tl2br w:val="nil"/>
                    <w:tr2bl w:val="nil"/>
                  </w:tcBorders>
                  <w:vAlign w:val="center"/>
                </w:tcPr>
                <w:p>
                  <w:pPr>
                    <w:pStyle w:val="2"/>
                    <w:pageBreakBefore w:val="0"/>
                    <w:kinsoku/>
                    <w:bidi w:val="0"/>
                    <w:adjustRightInd/>
                    <w:spacing w:beforeAutospacing="0" w:afterAutospacing="0"/>
                    <w:jc w:val="left"/>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（1）原料的粉碎、筛分、配料、混合搅拌等工序，应采用封闭式作业，并配备除尘设施。</w:t>
                  </w:r>
                </w:p>
                <w:p>
                  <w:pPr>
                    <w:pStyle w:val="2"/>
                    <w:pageBreakBefore w:val="0"/>
                    <w:kinsoku/>
                    <w:bidi w:val="0"/>
                    <w:adjustRightInd/>
                    <w:spacing w:beforeAutospacing="0" w:afterAutospacing="0"/>
                    <w:jc w:val="left"/>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（2）制备与成型车间外不应有可见粉尘外逸。</w:t>
                  </w:r>
                </w:p>
              </w:tc>
              <w:tc>
                <w:tcPr>
                  <w:tcW w:w="2424" w:type="dxa"/>
                  <w:tcBorders>
                    <w:tl2br w:val="nil"/>
                    <w:tr2bl w:val="nil"/>
                  </w:tcBorders>
                  <w:vAlign w:val="center"/>
                </w:tcPr>
                <w:p>
                  <w:pPr>
                    <w:pStyle w:val="2"/>
                    <w:pageBreakBefore w:val="0"/>
                    <w:kinsoku/>
                    <w:bidi w:val="0"/>
                    <w:adjustRightInd/>
                    <w:spacing w:beforeAutospacing="0" w:afterAutospacing="0"/>
                    <w:jc w:val="left"/>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厂房</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密闭，封闭生产流程，并定期收集粉尘；进料口等产尘点采用彩钢板密封，并在上方设置雾化喷头。</w:t>
                  </w:r>
                </w:p>
              </w:tc>
              <w:tc>
                <w:tcPr>
                  <w:tcW w:w="1675" w:type="dxa"/>
                  <w:vMerge w:val="continue"/>
                  <w:tcBorders>
                    <w:tl2br w:val="nil"/>
                    <w:tr2bl w:val="nil"/>
                  </w:tcBorders>
                  <w:vAlign w:val="center"/>
                </w:tcPr>
                <w:p>
                  <w:pPr>
                    <w:pStyle w:val="2"/>
                    <w:pageBreakBefore w:val="0"/>
                    <w:kinsoku/>
                    <w:bidi w:val="0"/>
                    <w:adjustRightInd/>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4" w:type="dxa"/>
                  <w:tcBorders>
                    <w:tl2br w:val="nil"/>
                    <w:tr2bl w:val="nil"/>
                  </w:tcBorders>
                  <w:vAlign w:val="center"/>
                </w:tcPr>
                <w:p>
                  <w:pPr>
                    <w:pStyle w:val="2"/>
                    <w:pageBreakBefore w:val="0"/>
                    <w:kinsoku/>
                    <w:bidi w:val="0"/>
                    <w:adjustRightInd/>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其他</w:t>
                  </w:r>
                </w:p>
                <w:p>
                  <w:pPr>
                    <w:pStyle w:val="2"/>
                    <w:pageBreakBefore w:val="0"/>
                    <w:kinsoku/>
                    <w:bidi w:val="0"/>
                    <w:adjustRightInd/>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要求</w:t>
                  </w:r>
                </w:p>
              </w:tc>
              <w:tc>
                <w:tcPr>
                  <w:tcW w:w="3690" w:type="dxa"/>
                  <w:tcBorders>
                    <w:tl2br w:val="nil"/>
                    <w:tr2bl w:val="nil"/>
                  </w:tcBorders>
                  <w:vAlign w:val="center"/>
                </w:tcPr>
                <w:p>
                  <w:pPr>
                    <w:pStyle w:val="2"/>
                    <w:pageBreakBefore w:val="0"/>
                    <w:kinsoku/>
                    <w:bidi w:val="0"/>
                    <w:adjustRightInd/>
                    <w:spacing w:beforeAutospacing="0" w:afterAutospacing="0"/>
                    <w:jc w:val="left"/>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厂区道路应硬化。道路采取清扫、洒水等措施，保持清洁。</w:t>
                  </w:r>
                </w:p>
              </w:tc>
              <w:tc>
                <w:tcPr>
                  <w:tcW w:w="2424" w:type="dxa"/>
                  <w:tcBorders>
                    <w:tl2br w:val="nil"/>
                    <w:tr2bl w:val="nil"/>
                  </w:tcBorders>
                  <w:vAlign w:val="center"/>
                </w:tcPr>
                <w:p>
                  <w:pPr>
                    <w:pStyle w:val="2"/>
                    <w:pageBreakBefore w:val="0"/>
                    <w:kinsoku/>
                    <w:bidi w:val="0"/>
                    <w:adjustRightInd/>
                    <w:spacing w:beforeAutospacing="0" w:afterAutospacing="0"/>
                    <w:jc w:val="left"/>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对路面进行清扫和洒水；对厂区道路、堆场、车间地面进行硬化处理，定期对场地道路进行清扫和洒水抑尘。</w:t>
                  </w:r>
                </w:p>
              </w:tc>
              <w:tc>
                <w:tcPr>
                  <w:tcW w:w="1675" w:type="dxa"/>
                  <w:vMerge w:val="continue"/>
                  <w:tcBorders>
                    <w:tl2br w:val="nil"/>
                    <w:tr2bl w:val="nil"/>
                  </w:tcBorders>
                  <w:vAlign w:val="center"/>
                </w:tcPr>
                <w:p>
                  <w:pPr>
                    <w:pStyle w:val="2"/>
                    <w:pageBreakBefore w:val="0"/>
                    <w:kinsoku/>
                    <w:bidi w:val="0"/>
                    <w:adjustRightInd/>
                    <w:spacing w:beforeAutospacing="0" w:afterAutospacing="0"/>
                    <w:jc w:val="cente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p>
              </w:tc>
            </w:tr>
          </w:tbl>
          <w:p>
            <w:pPr>
              <w:pStyle w:val="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0" w:firstLine="480" w:firstLineChars="200"/>
              <w:jc w:val="both"/>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同时，</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本项目采取自动喷淋降尘、洒水降尘、覆盖篷布等抑尘措施，属于湿法作业，符合《排污许可证申请与核发技术规范 总则》（HJ9</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-2018）</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及《排污许可证申请与核发技术规范 陶瓷砖瓦工业》（</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HJ9</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-2018</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排污单位废气污染防治可行技术要求，可有效降低颗粒物对周边环境的影响，使厂界无组织粉尘排放可达到《大气污染物综合排放标准》（GB16297-1996）中表2无组织排放监控限值。因此，对所在区域大气环境影响不大。</w:t>
            </w:r>
          </w:p>
          <w:p>
            <w:pPr>
              <w:pStyle w:val="11"/>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right="0"/>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32"/>
                <w:szCs w:val="32"/>
                <w:highlight w:val="none"/>
                <w:lang w:val="en-US" w:eastAsia="zh-CN"/>
                <w14:textFill>
                  <w14:solidFill>
                    <w14:schemeClr w14:val="tx1"/>
                  </w14:solidFill>
                </w14:textFill>
              </w:rPr>
              <w:t>3施工</w:t>
            </w:r>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期噪声污染防治措施</w:t>
            </w:r>
          </w:p>
          <w:p>
            <w:pPr>
              <w:pStyle w:val="11"/>
              <w:pageBreakBefore w:val="0"/>
              <w:kinsoku/>
              <w:bidi w:val="0"/>
              <w:spacing w:beforeAutospacing="0" w:afterAutospacing="0"/>
              <w:rPr>
                <w:rFonts w:hint="default" w:ascii="Times New Roman" w:hAnsi="Times New Roman" w:eastAsia="宋体"/>
                <w:color w:val="000000" w:themeColor="text1"/>
                <w:sz w:val="28"/>
                <w:szCs w:val="28"/>
                <w:lang w:val="en-US" w:eastAsia="zh-CN"/>
                <w14:textFill>
                  <w14:solidFill>
                    <w14:schemeClr w14:val="tx1"/>
                  </w14:solidFill>
                </w14:textFill>
              </w:rPr>
            </w:pPr>
            <w:r>
              <w:rPr>
                <w:rFonts w:hint="default" w:ascii="Times New Roman" w:hAnsi="Times New Roman" w:eastAsia="宋体"/>
                <w:color w:val="000000" w:themeColor="text1"/>
                <w:sz w:val="28"/>
                <w:szCs w:val="28"/>
                <w:lang w:val="en-US" w:eastAsia="zh-CN"/>
                <w14:textFill>
                  <w14:solidFill>
                    <w14:schemeClr w14:val="tx1"/>
                  </w14:solidFill>
                </w14:textFill>
              </w:rPr>
              <w:t>5.</w:t>
            </w:r>
            <w:r>
              <w:rPr>
                <w:rFonts w:hint="eastAsia" w:ascii="Times New Roman" w:hAnsi="Times New Roman" w:eastAsia="宋体"/>
                <w:color w:val="000000" w:themeColor="text1"/>
                <w:sz w:val="28"/>
                <w:szCs w:val="28"/>
                <w:lang w:val="en-US" w:eastAsia="zh-CN"/>
                <w14:textFill>
                  <w14:solidFill>
                    <w14:schemeClr w14:val="tx1"/>
                  </w14:solidFill>
                </w14:textFill>
              </w:rPr>
              <w:t>3</w:t>
            </w:r>
            <w:r>
              <w:rPr>
                <w:rFonts w:hint="default" w:ascii="Times New Roman" w:hAnsi="Times New Roman" w:eastAsia="宋体"/>
                <w:color w:val="000000" w:themeColor="text1"/>
                <w:sz w:val="28"/>
                <w:szCs w:val="28"/>
                <w:lang w:val="en-US" w:eastAsia="zh-CN"/>
                <w14:textFill>
                  <w14:solidFill>
                    <w14:schemeClr w14:val="tx1"/>
                  </w14:solidFill>
                </w14:textFill>
              </w:rPr>
              <w:t>.1</w:t>
            </w:r>
            <w:r>
              <w:rPr>
                <w:rFonts w:hint="eastAsia" w:ascii="Times New Roman" w:hAnsi="Times New Roman" w:eastAsia="宋体"/>
                <w:color w:val="000000" w:themeColor="text1"/>
                <w:sz w:val="28"/>
                <w:szCs w:val="28"/>
                <w:lang w:val="en-US" w:eastAsia="zh-CN"/>
                <w14:textFill>
                  <w14:solidFill>
                    <w14:schemeClr w14:val="tx1"/>
                  </w14:solidFill>
                </w14:textFill>
              </w:rPr>
              <w:t>施工</w:t>
            </w:r>
            <w:r>
              <w:rPr>
                <w:rFonts w:hint="default" w:ascii="Times New Roman" w:hAnsi="Times New Roman" w:eastAsia="宋体"/>
                <w:color w:val="000000" w:themeColor="text1"/>
                <w:sz w:val="28"/>
                <w:szCs w:val="28"/>
                <w:lang w:val="en-US" w:eastAsia="zh-CN"/>
                <w14:textFill>
                  <w14:solidFill>
                    <w14:schemeClr w14:val="tx1"/>
                  </w14:solidFill>
                </w14:textFill>
              </w:rPr>
              <w:t>期噪声污染防治措施及可行性分析</w:t>
            </w:r>
          </w:p>
          <w:p>
            <w:pPr>
              <w:pStyle w:val="5"/>
              <w:pageBreakBefore w:val="0"/>
              <w:widowControl w:val="0"/>
              <w:kinsoku/>
              <w:bidi w:val="0"/>
              <w:snapToGrid/>
              <w:spacing w:before="0" w:beforeAutospacing="0" w:after="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项目周边</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200m范围内无</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居民</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点，设备噪声经距离，不会对周边</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声环境</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产生影响。为减少设备噪声对周边声环境的影响，采取如下治理措施：</w:t>
            </w:r>
          </w:p>
          <w:p>
            <w:pPr>
              <w:pStyle w:val="5"/>
              <w:pageBreakBefore w:val="0"/>
              <w:widowControl w:val="0"/>
              <w:kinsoku/>
              <w:bidi w:val="0"/>
              <w:snapToGrid/>
              <w:spacing w:before="0" w:beforeAutospacing="0" w:after="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①设备选型时选用低噪声设备。</w:t>
            </w:r>
          </w:p>
          <w:p>
            <w:pPr>
              <w:pStyle w:val="5"/>
              <w:pageBreakBefore w:val="0"/>
              <w:widowControl w:val="0"/>
              <w:kinsoku/>
              <w:bidi w:val="0"/>
              <w:snapToGrid/>
              <w:spacing w:before="0" w:beforeAutospacing="0" w:after="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②颚式破碎机、圆锥破碎机、振动筛等设备布置在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半</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封闭厂房内，设置独立间内，利用厂房进行隔声，安装时采取基础减振措施。</w:t>
            </w:r>
          </w:p>
          <w:p>
            <w:pPr>
              <w:pStyle w:val="5"/>
              <w:pageBreakBefore w:val="0"/>
              <w:widowControl w:val="0"/>
              <w:kinsoku/>
              <w:bidi w:val="0"/>
              <w:snapToGrid/>
              <w:spacing w:before="0" w:beforeAutospacing="0" w:after="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③运营过程中潜孔钻机等生产设备要注意润滑，并对老化和性能降低的旧设备进行及时更换。</w:t>
            </w:r>
          </w:p>
          <w:p>
            <w:pPr>
              <w:pStyle w:val="5"/>
              <w:pageBreakBefore w:val="0"/>
              <w:widowControl w:val="0"/>
              <w:kinsoku/>
              <w:bidi w:val="0"/>
              <w:snapToGrid/>
              <w:spacing w:before="0" w:beforeAutospacing="0" w:after="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④加强设备的日常维护管理，使设备始终保持在良好状态。</w:t>
            </w:r>
          </w:p>
          <w:p>
            <w:pPr>
              <w:pStyle w:val="5"/>
              <w:pageBreakBefore w:val="0"/>
              <w:widowControl w:val="0"/>
              <w:kinsoku/>
              <w:bidi w:val="0"/>
              <w:snapToGrid/>
              <w:spacing w:before="0" w:beforeAutospacing="0" w:after="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⑤加强厂区环境绿化工作，尤其是生产基地周围种植吸声降噪效果好的树木。</w:t>
            </w:r>
          </w:p>
          <w:p>
            <w:pPr>
              <w:pStyle w:val="5"/>
              <w:pageBreakBefore w:val="0"/>
              <w:widowControl w:val="0"/>
              <w:kinsoku/>
              <w:bidi w:val="0"/>
              <w:snapToGrid/>
              <w:spacing w:before="0" w:beforeAutospacing="0" w:after="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）运输车辆噪声</w:t>
            </w:r>
          </w:p>
          <w:p>
            <w:pPr>
              <w:pStyle w:val="5"/>
              <w:pageBreakBefore w:val="0"/>
              <w:widowControl w:val="0"/>
              <w:kinsoku/>
              <w:bidi w:val="0"/>
              <w:snapToGrid/>
              <w:spacing w:before="0" w:beforeAutospacing="0" w:after="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本项目夜间不生产，无运输，此时段对居民没有影响，为减少运输车辆噪声对沿线居民的影响，因此本项目运输过程应采取以下</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防治措施</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pStyle w:val="5"/>
              <w:pageBreakBefore w:val="0"/>
              <w:widowControl w:val="0"/>
              <w:kinsoku/>
              <w:bidi w:val="0"/>
              <w:snapToGrid/>
              <w:spacing w:before="0" w:beforeAutospacing="0" w:after="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①限制午间休息时间（12:00～14:30）及禁止夜间（22:00～次日 6:00）运输车辆上路运输，避免噪声影响道路两侧居民休息。</w:t>
            </w:r>
          </w:p>
          <w:p>
            <w:pPr>
              <w:pStyle w:val="5"/>
              <w:pageBreakBefore w:val="0"/>
              <w:widowControl w:val="0"/>
              <w:kinsoku/>
              <w:bidi w:val="0"/>
              <w:snapToGrid/>
              <w:spacing w:before="0" w:beforeAutospacing="0" w:after="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②运输车辆在经过村民居住区时应减速、禁鸣喇叭。</w:t>
            </w:r>
          </w:p>
          <w:p>
            <w:pPr>
              <w:pStyle w:val="5"/>
              <w:pageBreakBefore w:val="0"/>
              <w:widowControl w:val="0"/>
              <w:kinsoku/>
              <w:bidi w:val="0"/>
              <w:snapToGrid/>
              <w:spacing w:before="0" w:beforeAutospacing="0" w:after="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③运输车辆要加强保养维护，降低由于汽车运行状况差而产生的高噪声。</w:t>
            </w:r>
          </w:p>
          <w:p>
            <w:pPr>
              <w:pStyle w:val="5"/>
              <w:pageBreakBefore w:val="0"/>
              <w:widowControl w:val="0"/>
              <w:kinsoku/>
              <w:bidi w:val="0"/>
              <w:snapToGrid/>
              <w:spacing w:before="0" w:beforeAutospacing="0" w:after="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）措施可行性分析</w:t>
            </w:r>
          </w:p>
          <w:p>
            <w:pPr>
              <w:pStyle w:val="5"/>
              <w:pageBreakBefore w:val="0"/>
              <w:widowControl w:val="0"/>
              <w:kinsoku/>
              <w:bidi w:val="0"/>
              <w:snapToGrid/>
              <w:spacing w:before="0" w:beforeAutospacing="0" w:after="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通过采取上述噪声污染防治措施后，厂界噪声排放可满足《建筑施工场界环境噪声排放标准》（GB12523-2011）中标准要求。</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项目拟采取的噪声防控措施可行。</w:t>
            </w:r>
          </w:p>
          <w:p>
            <w:pPr>
              <w:pStyle w:val="11"/>
              <w:pageBreakBefore w:val="0"/>
              <w:kinsoku/>
              <w:bidi w:val="0"/>
              <w:spacing w:beforeAutospacing="0" w:afterAutospacing="0"/>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32"/>
                <w:szCs w:val="32"/>
                <w:highlight w:val="none"/>
                <w:lang w:val="en-US" w:eastAsia="zh-CN"/>
                <w14:textFill>
                  <w14:solidFill>
                    <w14:schemeClr w14:val="tx1"/>
                  </w14:solidFill>
                </w14:textFill>
              </w:rPr>
              <w:t>4施工</w:t>
            </w:r>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期固体废物污染防治措施</w:t>
            </w:r>
          </w:p>
          <w:p>
            <w:pPr>
              <w:pStyle w:val="5"/>
              <w:pageBreakBefore w:val="0"/>
              <w:widowControl w:val="0"/>
              <w:kinsoku/>
              <w:bidi w:val="0"/>
              <w:snapToGrid/>
              <w:spacing w:before="0" w:beforeAutospacing="0" w:after="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本项目为规范固体废物的处置措施和处置去向，以减小固体废物在收集、存放以及转移过程产生的环境影响，本评价提出以下措施：</w:t>
            </w:r>
          </w:p>
          <w:p>
            <w:pPr>
              <w:pStyle w:val="100"/>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）危险废物 </w:t>
            </w:r>
          </w:p>
          <w:p>
            <w:pPr>
              <w:pStyle w:val="100"/>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车辆维修过程产生的含油抹布同生活垃圾一并处理。根据《国家危险废物名录（2021年版）》，未分类收集的</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废弃的含油抹布、劳保用品</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全过程不按危险废物管理。 </w:t>
            </w:r>
            <w:r>
              <w:rPr>
                <w:rFonts w:hint="default" w:ascii="Times New Roman" w:hAnsi="Times New Roman" w:eastAsia="宋体" w:cs="Times New Roman"/>
                <w:b w:val="0"/>
                <w:color w:val="000000" w:themeColor="text1"/>
                <w:kern w:val="2"/>
                <w:sz w:val="24"/>
                <w:szCs w:val="24"/>
                <w:highlight w:val="none"/>
                <w:u w:val="none" w:color="auto"/>
                <w:shd w:val="clear" w:color="auto" w:fill="auto"/>
                <w:lang w:val="en-US" w:eastAsia="zh-CN" w:bidi="ar-SA"/>
                <w14:textFill>
                  <w14:solidFill>
                    <w14:schemeClr w14:val="tx1"/>
                  </w14:solidFill>
                </w14:textFill>
              </w:rPr>
              <w:t>本项目车辆冲洗废水</w:t>
            </w:r>
            <w:r>
              <w:rPr>
                <w:rFonts w:hint="eastAsia" w:ascii="Times New Roman" w:hAnsi="Times New Roman" w:eastAsia="宋体" w:cs="Times New Roman"/>
                <w:b w:val="0"/>
                <w:color w:val="000000" w:themeColor="text1"/>
                <w:kern w:val="2"/>
                <w:sz w:val="24"/>
                <w:szCs w:val="24"/>
                <w:highlight w:val="none"/>
                <w:u w:val="none" w:color="auto"/>
                <w:shd w:val="clear" w:color="auto" w:fill="auto"/>
                <w:lang w:val="en-US" w:eastAsia="zh-CN" w:bidi="ar-SA"/>
                <w14:textFill>
                  <w14:solidFill>
                    <w14:schemeClr w14:val="tx1"/>
                  </w14:solidFill>
                </w14:textFill>
              </w:rPr>
              <w:t>经</w:t>
            </w:r>
            <w:r>
              <w:rPr>
                <w:rFonts w:hint="default" w:ascii="Times New Roman" w:hAnsi="Times New Roman" w:eastAsia="宋体" w:cs="Times New Roman"/>
                <w:b w:val="0"/>
                <w:color w:val="000000" w:themeColor="text1"/>
                <w:kern w:val="2"/>
                <w:sz w:val="24"/>
                <w:szCs w:val="24"/>
                <w:highlight w:val="none"/>
                <w:u w:val="none" w:color="auto"/>
                <w:shd w:val="clear" w:color="auto" w:fill="auto"/>
                <w:lang w:val="en-US" w:eastAsia="zh-CN" w:bidi="ar-SA"/>
                <w14:textFill>
                  <w14:solidFill>
                    <w14:schemeClr w14:val="tx1"/>
                  </w14:solidFill>
                </w14:textFill>
              </w:rPr>
              <w:t>隔油沉淀过程中会产生</w:t>
            </w:r>
            <w:r>
              <w:rPr>
                <w:rFonts w:hint="default" w:ascii="Times New Roman" w:hAnsi="Times New Roman" w:eastAsia="宋体" w:cs="Times New Roman"/>
                <w:snapToGrid w:val="0"/>
                <w:color w:val="000000" w:themeColor="text1"/>
                <w:kern w:val="0"/>
                <w:sz w:val="24"/>
                <w:szCs w:val="24"/>
                <w:highlight w:val="none"/>
                <w:u w:val="none" w:color="auto"/>
                <w:shd w:val="clear" w:color="auto" w:fill="auto"/>
                <w:lang w:val="en-US" w:eastAsia="zh-CN"/>
                <w14:textFill>
                  <w14:solidFill>
                    <w14:schemeClr w14:val="tx1"/>
                  </w14:solidFill>
                </w14:textFill>
              </w:rPr>
              <w:t>隔油池油污</w:t>
            </w:r>
            <w:r>
              <w:rPr>
                <w:rFonts w:hint="default" w:ascii="Times New Roman" w:hAnsi="Times New Roman" w:eastAsia="宋体" w:cs="Times New Roman"/>
                <w:b w:val="0"/>
                <w:color w:val="000000" w:themeColor="text1"/>
                <w:kern w:val="2"/>
                <w:sz w:val="24"/>
                <w:szCs w:val="24"/>
                <w:highlight w:val="none"/>
                <w:u w:val="none" w:color="auto"/>
                <w:shd w:val="clear" w:color="auto" w:fill="auto"/>
                <w:lang w:val="en-US" w:eastAsia="zh-CN" w:bidi="ar-SA"/>
                <w14:textFill>
                  <w14:solidFill>
                    <w14:schemeClr w14:val="tx1"/>
                  </w14:solidFill>
                </w14:textFill>
              </w:rPr>
              <w:t>，类比同类型项目，</w:t>
            </w:r>
            <w:r>
              <w:rPr>
                <w:rFonts w:hint="default" w:ascii="Times New Roman" w:hAnsi="Times New Roman" w:eastAsia="宋体" w:cs="Times New Roman"/>
                <w:color w:val="000000" w:themeColor="text1"/>
                <w:kern w:val="0"/>
                <w:sz w:val="24"/>
                <w:szCs w:val="24"/>
                <w:highlight w:val="none"/>
                <w:u w:val="none" w:color="auto"/>
                <w:shd w:val="clear" w:color="auto" w:fill="auto"/>
                <w:lang w:val="en-US" w:eastAsia="zh-CN" w:bidi="ar"/>
                <w14:textFill>
                  <w14:solidFill>
                    <w14:schemeClr w14:val="tx1"/>
                  </w14:solidFill>
                </w14:textFill>
              </w:rPr>
              <w:t>属于《</w:t>
            </w:r>
            <w:r>
              <w:rPr>
                <w:rFonts w:hint="default" w:ascii="Times New Roman" w:hAnsi="Times New Roman" w:eastAsia="宋体" w:cs="Times New Roman"/>
                <w:b w:val="0"/>
                <w:color w:val="000000" w:themeColor="text1"/>
                <w:kern w:val="2"/>
                <w:sz w:val="24"/>
                <w:szCs w:val="24"/>
                <w:highlight w:val="none"/>
                <w:u w:val="none" w:color="auto"/>
                <w:shd w:val="clear" w:color="auto" w:fill="auto"/>
                <w:lang w:val="en-US" w:eastAsia="zh-CN" w:bidi="ar-SA"/>
                <w14:textFill>
                  <w14:solidFill>
                    <w14:schemeClr w14:val="tx1"/>
                  </w14:solidFill>
                </w14:textFill>
              </w:rPr>
              <w:t>国家危险废物名录》（2021年版）中</w:t>
            </w:r>
            <w:r>
              <w:rPr>
                <w:rFonts w:hint="eastAsia" w:ascii="Times New Roman" w:hAnsi="Times New Roman" w:eastAsia="宋体" w:cs="Times New Roman"/>
                <w:b w:val="0"/>
                <w:color w:val="000000" w:themeColor="text1"/>
                <w:kern w:val="2"/>
                <w:sz w:val="24"/>
                <w:szCs w:val="24"/>
                <w:highlight w:val="none"/>
                <w:u w:val="none" w:color="auto"/>
                <w:shd w:val="clear" w:color="auto" w:fill="auto"/>
                <w:lang w:val="en-US" w:eastAsia="zh-CN" w:bidi="ar-SA"/>
                <w14:textFill>
                  <w14:solidFill>
                    <w14:schemeClr w14:val="tx1"/>
                  </w14:solidFill>
                </w14:textFill>
              </w:rPr>
              <w:t>“</w:t>
            </w:r>
            <w:r>
              <w:rPr>
                <w:rFonts w:hint="default" w:ascii="Times New Roman" w:hAnsi="Times New Roman" w:eastAsia="宋体" w:cs="Times New Roman"/>
                <w:b w:val="0"/>
                <w:color w:val="000000" w:themeColor="text1"/>
                <w:kern w:val="2"/>
                <w:sz w:val="24"/>
                <w:szCs w:val="24"/>
                <w:highlight w:val="none"/>
                <w:u w:val="none" w:color="auto"/>
                <w:shd w:val="clear" w:color="auto" w:fill="auto"/>
                <w:lang w:val="en-US" w:eastAsia="zh-CN" w:bidi="ar-SA"/>
                <w14:textFill>
                  <w14:solidFill>
                    <w14:schemeClr w14:val="tx1"/>
                  </w14:solidFill>
                </w14:textFill>
              </w:rPr>
              <w:t>HW08 废矿物油与含矿物油废物</w:t>
            </w:r>
            <w:r>
              <w:rPr>
                <w:rFonts w:hint="eastAsia" w:ascii="Times New Roman" w:hAnsi="Times New Roman" w:eastAsia="宋体" w:cs="Times New Roman"/>
                <w:b w:val="0"/>
                <w:color w:val="000000" w:themeColor="text1"/>
                <w:kern w:val="2"/>
                <w:sz w:val="24"/>
                <w:szCs w:val="24"/>
                <w:highlight w:val="none"/>
                <w:u w:val="none" w:color="auto"/>
                <w:shd w:val="clear" w:color="auto" w:fill="auto"/>
                <w:lang w:val="en-US" w:eastAsia="zh-CN" w:bidi="ar-SA"/>
                <w14:textFill>
                  <w14:solidFill>
                    <w14:schemeClr w14:val="tx1"/>
                  </w14:solidFill>
                </w14:textFill>
              </w:rPr>
              <w:t>”</w:t>
            </w:r>
            <w:r>
              <w:rPr>
                <w:rFonts w:hint="default" w:ascii="Times New Roman" w:hAnsi="Times New Roman" w:eastAsia="宋体" w:cs="Times New Roman"/>
                <w:b w:val="0"/>
                <w:color w:val="000000" w:themeColor="text1"/>
                <w:kern w:val="2"/>
                <w:sz w:val="24"/>
                <w:szCs w:val="24"/>
                <w:highlight w:val="none"/>
                <w:u w:val="none" w:color="auto"/>
                <w:shd w:val="clear" w:color="auto" w:fill="auto"/>
                <w:lang w:val="en-US" w:eastAsia="zh-CN" w:bidi="ar-SA"/>
                <w14:textFill>
                  <w14:solidFill>
                    <w14:schemeClr w14:val="tx1"/>
                  </w14:solidFill>
                </w14:textFill>
              </w:rPr>
              <w:t>，废物代码为</w:t>
            </w:r>
            <w:r>
              <w:rPr>
                <w:rFonts w:hint="eastAsia" w:ascii="Times New Roman" w:hAnsi="Times New Roman" w:eastAsia="宋体" w:cs="Times New Roman"/>
                <w:b w:val="0"/>
                <w:color w:val="000000" w:themeColor="text1"/>
                <w:kern w:val="2"/>
                <w:sz w:val="24"/>
                <w:szCs w:val="24"/>
                <w:highlight w:val="none"/>
                <w:u w:val="none" w:color="auto"/>
                <w:shd w:val="clear" w:color="auto" w:fill="auto"/>
                <w:lang w:val="en-US" w:eastAsia="zh-CN" w:bidi="ar-SA"/>
                <w14:textFill>
                  <w14:solidFill>
                    <w14:schemeClr w14:val="tx1"/>
                  </w14:solidFill>
                </w14:textFill>
              </w:rPr>
              <w:t>“</w:t>
            </w:r>
            <w:r>
              <w:rPr>
                <w:rFonts w:hint="default" w:ascii="Times New Roman" w:hAnsi="Times New Roman" w:eastAsia="宋体" w:cs="Times New Roman"/>
                <w:b w:val="0"/>
                <w:color w:val="000000" w:themeColor="text1"/>
                <w:kern w:val="2"/>
                <w:sz w:val="24"/>
                <w:szCs w:val="24"/>
                <w:highlight w:val="none"/>
                <w:u w:val="none" w:color="auto"/>
                <w:shd w:val="clear" w:color="auto" w:fill="auto"/>
                <w:lang w:val="en-US" w:eastAsia="zh-CN" w:bidi="ar-SA"/>
                <w14:textFill>
                  <w14:solidFill>
                    <w14:schemeClr w14:val="tx1"/>
                  </w14:solidFill>
                </w14:textFill>
              </w:rPr>
              <w:t>900-210-08</w:t>
            </w:r>
            <w:r>
              <w:rPr>
                <w:rFonts w:hint="eastAsia" w:ascii="Times New Roman" w:hAnsi="Times New Roman" w:eastAsia="宋体" w:cs="Times New Roman"/>
                <w:b w:val="0"/>
                <w:color w:val="000000" w:themeColor="text1"/>
                <w:kern w:val="2"/>
                <w:sz w:val="24"/>
                <w:szCs w:val="24"/>
                <w:highlight w:val="none"/>
                <w:u w:val="none" w:color="auto"/>
                <w:shd w:val="clear" w:color="auto" w:fill="auto"/>
                <w:lang w:val="en-US" w:eastAsia="zh-CN" w:bidi="ar-SA"/>
                <w14:textFill>
                  <w14:solidFill>
                    <w14:schemeClr w14:val="tx1"/>
                  </w14:solidFill>
                </w14:textFill>
              </w:rPr>
              <w:t>”</w:t>
            </w:r>
            <w:r>
              <w:rPr>
                <w:rFonts w:hint="default" w:ascii="Times New Roman" w:hAnsi="Times New Roman" w:eastAsia="宋体" w:cs="Times New Roman"/>
                <w:b w:val="0"/>
                <w:color w:val="000000" w:themeColor="text1"/>
                <w:kern w:val="2"/>
                <w:sz w:val="24"/>
                <w:szCs w:val="24"/>
                <w:highlight w:val="none"/>
                <w:u w:val="none" w:color="auto"/>
                <w:shd w:val="clear" w:color="auto" w:fill="auto"/>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暂存于危废暂存间，定期委托有资质单位处置。</w:t>
            </w:r>
          </w:p>
          <w:p>
            <w:pPr>
              <w:pStyle w:val="100"/>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）施工过程中渣土应尽量用于低洼回填，</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剩余的渣土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应及时联系城建部门作外运处置，临时堆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渣</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场需加围护设施，不得将废弃物随意倾倒。</w:t>
            </w:r>
          </w:p>
          <w:p>
            <w:pPr>
              <w:pStyle w:val="100"/>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车辆运输散落物和废弃物时，必须覆盖，不得沿途撒漏；运载土方的车辆必须在规定的时间内，按指定路段行驶。建设过程中应加强管理，文明施工，使建设期间对周围环境的影响减少到较低限度，做到发展与保护环境相协调。</w:t>
            </w:r>
          </w:p>
          <w:p>
            <w:pPr>
              <w:pStyle w:val="100"/>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）施工期的生活垃圾量很少，纳入生活垃圾环卫系统，由环卫部门统一收集进行处理。</w:t>
            </w:r>
          </w:p>
          <w:p>
            <w:pPr>
              <w:pStyle w:val="100"/>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）定期对沉淀池中淤积的泥沙进行清理，泥沙压滤后产生的污泥经收集并暂存于固废贮存间，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回用于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场地平整回填。</w:t>
            </w:r>
          </w:p>
          <w:p>
            <w:pPr>
              <w:pStyle w:val="100"/>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32"/>
                <w:lang w:val="en-US" w:eastAsia="zh-CN"/>
                <w14:textFill>
                  <w14:solidFill>
                    <w14:schemeClr w14:val="tx1"/>
                  </w14:solidFill>
                </w14:textFill>
              </w:rPr>
              <w:t>项目灌注桩施工过程中产生的钻渣全部收集至泥浆池进行沉淀处理，将处理 后的沉渣进行干化后用于后方项目区铺设道路回填。</w:t>
            </w:r>
          </w:p>
          <w:p>
            <w:pPr>
              <w:pStyle w:val="11"/>
              <w:pageBreakBefore w:val="0"/>
              <w:kinsoku/>
              <w:bidi w:val="0"/>
              <w:spacing w:beforeAutospacing="0" w:afterAutospacing="0"/>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pPr>
            <w:bookmarkStart w:id="73" w:name="_Toc2198"/>
            <w:bookmarkStart w:id="74" w:name="_Toc28708"/>
            <w:bookmarkStart w:id="75" w:name="_Toc7423"/>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32"/>
                <w:szCs w:val="32"/>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生态环境保护措施</w:t>
            </w:r>
            <w:bookmarkEnd w:id="73"/>
            <w:bookmarkEnd w:id="74"/>
            <w:bookmarkEnd w:id="75"/>
          </w:p>
          <w:p>
            <w:pPr>
              <w:pStyle w:val="100"/>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项目生态保护措施分为植物保护措施、野生动物保护措施、土地复垦及生态恢复，以上生态保护措施应按照福建省相关要求进行。</w:t>
            </w:r>
          </w:p>
          <w:p>
            <w:pPr>
              <w:pStyle w:val="11"/>
              <w:pageBreakBefore w:val="0"/>
              <w:kinsoku/>
              <w:bidi w:val="0"/>
              <w:spacing w:beforeAutospacing="0" w:afterAutospacing="0"/>
              <w:rPr>
                <w:rFonts w:hint="default" w:ascii="Times New Roman" w:hAnsi="Times New Roman" w:eastAsia="宋体"/>
                <w:color w:val="000000" w:themeColor="text1"/>
                <w:sz w:val="28"/>
                <w:szCs w:val="28"/>
                <w:lang w:val="en-US" w:eastAsia="zh-CN"/>
                <w14:textFill>
                  <w14:solidFill>
                    <w14:schemeClr w14:val="tx1"/>
                  </w14:solidFill>
                </w14:textFill>
              </w:rPr>
            </w:pPr>
            <w:r>
              <w:rPr>
                <w:rFonts w:hint="eastAsia" w:ascii="Times New Roman" w:hAnsi="Times New Roman" w:eastAsia="宋体"/>
                <w:color w:val="000000" w:themeColor="text1"/>
                <w:sz w:val="28"/>
                <w:szCs w:val="28"/>
                <w:lang w:val="en-US" w:eastAsia="zh-CN"/>
                <w14:textFill>
                  <w14:solidFill>
                    <w14:schemeClr w14:val="tx1"/>
                  </w14:solidFill>
                </w14:textFill>
              </w:rPr>
              <w:t>5.5</w:t>
            </w:r>
            <w:r>
              <w:rPr>
                <w:rFonts w:hint="default" w:ascii="Times New Roman" w:hAnsi="Times New Roman" w:eastAsia="宋体"/>
                <w:color w:val="000000" w:themeColor="text1"/>
                <w:sz w:val="28"/>
                <w:szCs w:val="28"/>
                <w:lang w:val="en-US" w:eastAsia="zh-CN"/>
                <w14:textFill>
                  <w14:solidFill>
                    <w14:schemeClr w14:val="tx1"/>
                  </w14:solidFill>
                </w14:textFill>
              </w:rPr>
              <w:t xml:space="preserve">.1 </w:t>
            </w:r>
            <w:r>
              <w:rPr>
                <w:rFonts w:hint="eastAsia" w:ascii="Times New Roman" w:hAnsi="Times New Roman" w:eastAsia="宋体"/>
                <w:color w:val="000000" w:themeColor="text1"/>
                <w:sz w:val="28"/>
                <w:szCs w:val="28"/>
                <w:lang w:val="en-US" w:eastAsia="zh-CN"/>
                <w14:textFill>
                  <w14:solidFill>
                    <w14:schemeClr w14:val="tx1"/>
                  </w14:solidFill>
                </w14:textFill>
              </w:rPr>
              <w:t>陆域生态</w:t>
            </w:r>
            <w:r>
              <w:rPr>
                <w:rFonts w:hint="default" w:ascii="Times New Roman" w:hAnsi="Times New Roman" w:eastAsia="宋体"/>
                <w:color w:val="000000" w:themeColor="text1"/>
                <w:sz w:val="28"/>
                <w:szCs w:val="28"/>
                <w:lang w:val="en-US" w:eastAsia="zh-CN"/>
                <w14:textFill>
                  <w14:solidFill>
                    <w14:schemeClr w14:val="tx1"/>
                  </w14:solidFill>
                </w14:textFill>
              </w:rPr>
              <w:t>保护措施</w:t>
            </w:r>
          </w:p>
          <w:p>
            <w:pPr>
              <w:pStyle w:val="100"/>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（l）保护好非规划用地的植被，减少对生态环境的破坏。在工程建设中，除规划占地外，不得占用</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其他</w:t>
            </w:r>
            <w:r>
              <w:rPr>
                <w:rFonts w:hint="default" w:ascii="Times New Roman" w:hAnsi="Times New Roman" w:eastAsia="宋体" w:cs="Times New Roman"/>
                <w:color w:val="000000" w:themeColor="text1"/>
                <w:sz w:val="24"/>
                <w:szCs w:val="24"/>
                <w:highlight w:val="none"/>
                <w14:textFill>
                  <w14:solidFill>
                    <w14:schemeClr w14:val="tx1"/>
                  </w14:solidFill>
                </w14:textFill>
              </w:rPr>
              <w:t>土地。</w:t>
            </w:r>
          </w:p>
          <w:p>
            <w:pPr>
              <w:pStyle w:val="100"/>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场地平整过程</w:t>
            </w:r>
            <w:r>
              <w:rPr>
                <w:rFonts w:hint="default" w:ascii="Times New Roman" w:hAnsi="Times New Roman" w:eastAsia="宋体" w:cs="Times New Roman"/>
                <w:color w:val="000000" w:themeColor="text1"/>
                <w:sz w:val="24"/>
                <w:szCs w:val="24"/>
                <w:highlight w:val="none"/>
                <w14:textFill>
                  <w14:solidFill>
                    <w14:schemeClr w14:val="tx1"/>
                  </w14:solidFill>
                </w14:textFill>
              </w:rPr>
              <w:t>禁止在非规划用地毁林开荒和放火烧山，确保森林涵养水源，防止水土流失功能因工程建设而削弱。不得随意砍伐工程用地外的现有树木，破坏植被。</w:t>
            </w:r>
          </w:p>
          <w:p>
            <w:pPr>
              <w:pStyle w:val="100"/>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（3）在项目</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场地平整过程</w:t>
            </w:r>
            <w:r>
              <w:rPr>
                <w:rFonts w:hint="default" w:ascii="Times New Roman" w:hAnsi="Times New Roman" w:eastAsia="宋体" w:cs="Times New Roman"/>
                <w:color w:val="000000" w:themeColor="text1"/>
                <w:sz w:val="24"/>
                <w:szCs w:val="24"/>
                <w:highlight w:val="none"/>
                <w14:textFill>
                  <w14:solidFill>
                    <w14:schemeClr w14:val="tx1"/>
                  </w14:solidFill>
                </w14:textFill>
              </w:rPr>
              <w:t>中应加强生态环境监测。</w:t>
            </w:r>
          </w:p>
          <w:p>
            <w:pPr>
              <w:pStyle w:val="100"/>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）加强工程队伍和外来人员的管理和教育，使其知法、守法，防止他们在周围乱捕乱猎，减少对野生动物的危害。</w:t>
            </w:r>
          </w:p>
          <w:p>
            <w:pPr>
              <w:pStyle w:val="100"/>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）尽管建设项目对野生动物的不利影响较小，为了使项目周围野生动物能安全、顺利地撤至</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其他</w:t>
            </w:r>
            <w:r>
              <w:rPr>
                <w:rFonts w:hint="default" w:ascii="Times New Roman" w:hAnsi="Times New Roman" w:eastAsia="宋体" w:cs="Times New Roman"/>
                <w:color w:val="000000" w:themeColor="text1"/>
                <w:sz w:val="24"/>
                <w:szCs w:val="24"/>
                <w:highlight w:val="none"/>
                <w14:textFill>
                  <w14:solidFill>
                    <w14:schemeClr w14:val="tx1"/>
                  </w14:solidFill>
                </w14:textFill>
              </w:rPr>
              <w:t>地方，避免它们在寻觅适宜栖息地过程中遭到伤害，在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施工</w:t>
            </w:r>
            <w:r>
              <w:rPr>
                <w:rFonts w:hint="default" w:ascii="Times New Roman" w:hAnsi="Times New Roman" w:eastAsia="宋体" w:cs="Times New Roman"/>
                <w:color w:val="000000" w:themeColor="text1"/>
                <w:sz w:val="24"/>
                <w:szCs w:val="24"/>
                <w:highlight w:val="none"/>
                <w14:textFill>
                  <w14:solidFill>
                    <w14:schemeClr w14:val="tx1"/>
                  </w14:solidFill>
                </w14:textFill>
              </w:rPr>
              <w:t>期间，应采取有效措施，禁止狩猎和杀害野生动物。</w:t>
            </w:r>
          </w:p>
          <w:p>
            <w:pPr>
              <w:pStyle w:val="11"/>
              <w:pageBreakBefore w:val="0"/>
              <w:kinsoku/>
              <w:bidi w:val="0"/>
              <w:spacing w:beforeAutospacing="0" w:afterAutospacing="0"/>
              <w:rPr>
                <w:rFonts w:hint="default" w:ascii="Times New Roman" w:hAnsi="Times New Roman" w:eastAsia="宋体"/>
                <w:color w:val="000000" w:themeColor="text1"/>
                <w:sz w:val="28"/>
                <w:szCs w:val="28"/>
                <w:lang w:val="en-US" w:eastAsia="zh-CN"/>
                <w14:textFill>
                  <w14:solidFill>
                    <w14:schemeClr w14:val="tx1"/>
                  </w14:solidFill>
                </w14:textFill>
              </w:rPr>
            </w:pPr>
            <w:r>
              <w:rPr>
                <w:rFonts w:hint="eastAsia" w:ascii="Times New Roman" w:hAnsi="Times New Roman" w:eastAsia="宋体"/>
                <w:color w:val="000000" w:themeColor="text1"/>
                <w:sz w:val="28"/>
                <w:szCs w:val="28"/>
                <w:lang w:val="en-US" w:eastAsia="zh-CN"/>
                <w14:textFill>
                  <w14:solidFill>
                    <w14:schemeClr w14:val="tx1"/>
                  </w14:solidFill>
                </w14:textFill>
              </w:rPr>
              <w:t>5.5.3</w:t>
            </w:r>
            <w:r>
              <w:rPr>
                <w:rFonts w:hint="default" w:ascii="Times New Roman" w:hAnsi="Times New Roman" w:eastAsia="宋体"/>
                <w:color w:val="000000" w:themeColor="text1"/>
                <w:sz w:val="28"/>
                <w:szCs w:val="28"/>
                <w:lang w:val="en-US" w:eastAsia="zh-CN"/>
                <w14:textFill>
                  <w14:solidFill>
                    <w14:schemeClr w14:val="tx1"/>
                  </w14:solidFill>
                </w14:textFill>
              </w:rPr>
              <w:t xml:space="preserve"> </w:t>
            </w:r>
            <w:r>
              <w:rPr>
                <w:rFonts w:hint="eastAsia" w:ascii="Times New Roman" w:hAnsi="Times New Roman" w:eastAsia="宋体"/>
                <w:color w:val="000000" w:themeColor="text1"/>
                <w:sz w:val="28"/>
                <w:szCs w:val="28"/>
                <w:lang w:val="en-US" w:eastAsia="zh-CN"/>
                <w14:textFill>
                  <w14:solidFill>
                    <w14:schemeClr w14:val="tx1"/>
                  </w14:solidFill>
                </w14:textFill>
              </w:rPr>
              <w:t>海域生态保护措施</w:t>
            </w:r>
          </w:p>
          <w:p>
            <w:pPr>
              <w:pStyle w:val="100"/>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）本项目进行生态海堤建设，改善海堤稳定性和生态环境。采用生态袋叠铺或格宾石笼叠铺的水工柔性生态防护结构形式，拟建设生态海堤长度约403m。</w:t>
            </w:r>
          </w:p>
          <w:p>
            <w:pPr>
              <w:pStyle w:val="100"/>
              <w:pageBreakBefore w:val="0"/>
              <w:kinsoku/>
              <w:bidi w:val="0"/>
              <w:spacing w:beforeAutospacing="0" w:afterAutospacing="0" w:line="360" w:lineRule="auto"/>
              <w:ind w:firstLine="480" w:firstLineChars="200"/>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）根据本项目进展计划和生态评估结论，以及放流种类的自然繁殖季节，为达到至少修复至工程实施前水平，拟定 2025 年期间进行增殖放流。増殖放流前，对损害増殖放流生物的作业网具进行淸理；在増殖放流水域周围的盐场、大型养殖场等纳水口设置防护网。</w:t>
            </w:r>
          </w:p>
          <w:p>
            <w:pPr>
              <w:pStyle w:val="11"/>
              <w:pageBreakBefore w:val="0"/>
              <w:kinsoku/>
              <w:bidi w:val="0"/>
              <w:spacing w:beforeAutospacing="0" w:afterAutospacing="0"/>
              <w:rPr>
                <w:rFonts w:hint="default" w:ascii="Times New Roman" w:hAnsi="Times New Roman" w:eastAsia="宋体"/>
                <w:color w:val="000000" w:themeColor="text1"/>
                <w:sz w:val="28"/>
                <w:szCs w:val="28"/>
                <w:lang w:val="en-US" w:eastAsia="zh-CN"/>
                <w14:textFill>
                  <w14:solidFill>
                    <w14:schemeClr w14:val="tx1"/>
                  </w14:solidFill>
                </w14:textFill>
              </w:rPr>
            </w:pPr>
            <w:r>
              <w:rPr>
                <w:rFonts w:hint="eastAsia" w:ascii="Times New Roman" w:hAnsi="Times New Roman" w:eastAsia="宋体"/>
                <w:color w:val="000000" w:themeColor="text1"/>
                <w:sz w:val="28"/>
                <w:szCs w:val="28"/>
                <w:lang w:val="en-US" w:eastAsia="zh-CN"/>
                <w14:textFill>
                  <w14:solidFill>
                    <w14:schemeClr w14:val="tx1"/>
                  </w14:solidFill>
                </w14:textFill>
              </w:rPr>
              <w:t>5.5.4</w:t>
            </w:r>
            <w:r>
              <w:rPr>
                <w:rFonts w:hint="default" w:ascii="Times New Roman" w:hAnsi="Times New Roman" w:eastAsia="宋体"/>
                <w:color w:val="000000" w:themeColor="text1"/>
                <w:sz w:val="28"/>
                <w:szCs w:val="28"/>
                <w:lang w:val="en-US" w:eastAsia="zh-CN"/>
                <w14:textFill>
                  <w14:solidFill>
                    <w14:schemeClr w14:val="tx1"/>
                  </w14:solidFill>
                </w14:textFill>
              </w:rPr>
              <w:t>治理措施</w:t>
            </w:r>
          </w:p>
          <w:p>
            <w:pPr>
              <w:pageBreakBefore w:val="0"/>
              <w:widowControl w:val="0"/>
              <w:kinsoku/>
              <w:bidi w:val="0"/>
              <w:adjustRightInd/>
              <w:snapToGrid/>
              <w:spacing w:beforeAutospacing="0" w:afterAutospacing="0" w:line="360" w:lineRule="auto"/>
              <w:ind w:firstLine="480" w:firstLineChars="200"/>
              <w:jc w:val="both"/>
              <w:rPr>
                <w:rFonts w:hint="default" w:ascii="Times New Roman" w:hAnsi="Times New Roman" w:eastAsia="宋体" w:cs="Times New Roman"/>
                <w:color w:val="000000" w:themeColor="text1"/>
                <w:sz w:val="24"/>
                <w:szCs w:val="20"/>
                <w:highlight w:val="none"/>
                <w:u w:val="none" w:color="auto"/>
                <w:shd w:val="clear" w:color="auto" w:fill="auto"/>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0"/>
                <w:highlight w:val="none"/>
                <w:u w:val="none" w:color="auto"/>
                <w:shd w:val="clear" w:color="auto" w:fill="auto"/>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0"/>
                <w:highlight w:val="none"/>
                <w:u w:val="none" w:color="auto"/>
                <w:shd w:val="clear" w:color="auto" w:fill="auto"/>
                <w:lang w:val="en-US" w:eastAsia="zh-CN" w:bidi="ar-SA"/>
                <w14:textFill>
                  <w14:solidFill>
                    <w14:schemeClr w14:val="tx1"/>
                  </w14:solidFill>
                </w14:textFill>
              </w:rPr>
              <w:t>1）截排水工程</w:t>
            </w:r>
          </w:p>
          <w:p>
            <w:pPr>
              <w:pageBreakBefore w:val="0"/>
              <w:widowControl w:val="0"/>
              <w:kinsoku/>
              <w:bidi w:val="0"/>
              <w:adjustRightInd/>
              <w:snapToGrid/>
              <w:spacing w:beforeAutospacing="0" w:afterAutospacing="0" w:line="360" w:lineRule="auto"/>
              <w:ind w:firstLine="480" w:firstLineChars="200"/>
              <w:jc w:val="both"/>
              <w:rPr>
                <w:rFonts w:hint="default" w:ascii="Times New Roman" w:hAnsi="Times New Roman" w:eastAsia="宋体" w:cs="Times New Roman"/>
                <w:color w:val="000000" w:themeColor="text1"/>
                <w:sz w:val="24"/>
                <w:szCs w:val="20"/>
                <w:highlight w:val="none"/>
                <w:u w:val="none" w:color="auto"/>
                <w:shd w:val="clear" w:color="auto" w:fill="auto"/>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0"/>
                <w:highlight w:val="none"/>
                <w:u w:val="none" w:color="auto"/>
                <w:shd w:val="clear" w:color="auto" w:fill="auto"/>
                <w:lang w:val="en-US" w:eastAsia="zh-CN" w:bidi="ar-SA"/>
                <w14:textFill>
                  <w14:solidFill>
                    <w14:schemeClr w14:val="tx1"/>
                  </w14:solidFill>
                </w14:textFill>
              </w:rPr>
              <w:t>①排水工程：结合</w:t>
            </w:r>
            <w:r>
              <w:rPr>
                <w:rFonts w:hint="eastAsia" w:ascii="Times New Roman" w:hAnsi="Times New Roman" w:eastAsia="宋体" w:cs="Times New Roman"/>
                <w:color w:val="000000" w:themeColor="text1"/>
                <w:sz w:val="24"/>
                <w:szCs w:val="20"/>
                <w:highlight w:val="none"/>
                <w:u w:val="none" w:color="auto"/>
                <w:shd w:val="clear" w:color="auto" w:fill="auto"/>
                <w:lang w:val="en-US" w:eastAsia="zh-CN" w:bidi="ar-SA"/>
                <w14:textFill>
                  <w14:solidFill>
                    <w14:schemeClr w14:val="tx1"/>
                  </w14:solidFill>
                </w14:textFill>
              </w:rPr>
              <w:t>开挖</w:t>
            </w:r>
            <w:r>
              <w:rPr>
                <w:rFonts w:hint="default" w:ascii="Times New Roman" w:hAnsi="Times New Roman" w:eastAsia="宋体" w:cs="Times New Roman"/>
                <w:color w:val="000000" w:themeColor="text1"/>
                <w:sz w:val="24"/>
                <w:szCs w:val="20"/>
                <w:highlight w:val="none"/>
                <w:u w:val="none" w:color="auto"/>
                <w:shd w:val="clear" w:color="auto" w:fill="auto"/>
                <w:lang w:val="en-US" w:eastAsia="zh-CN" w:bidi="ar-SA"/>
                <w14:textFill>
                  <w14:solidFill>
                    <w14:schemeClr w14:val="tx1"/>
                  </w14:solidFill>
                </w14:textFill>
              </w:rPr>
              <w:t>防排水的需要，在</w:t>
            </w:r>
            <w:r>
              <w:rPr>
                <w:rFonts w:hint="eastAsia" w:ascii="Times New Roman" w:hAnsi="Times New Roman" w:eastAsia="宋体" w:cs="Times New Roman"/>
                <w:color w:val="000000" w:themeColor="text1"/>
                <w:sz w:val="24"/>
                <w:szCs w:val="20"/>
                <w:highlight w:val="none"/>
                <w:u w:val="none" w:color="auto"/>
                <w:shd w:val="clear" w:color="auto" w:fill="auto"/>
                <w:lang w:val="en-US" w:eastAsia="zh-CN" w:bidi="ar-SA"/>
                <w14:textFill>
                  <w14:solidFill>
                    <w14:schemeClr w14:val="tx1"/>
                  </w14:solidFill>
                </w14:textFill>
              </w:rPr>
              <w:t>平整</w:t>
            </w:r>
            <w:r>
              <w:rPr>
                <w:rFonts w:hint="default" w:ascii="Times New Roman" w:hAnsi="Times New Roman" w:eastAsia="宋体" w:cs="Times New Roman"/>
                <w:color w:val="000000" w:themeColor="text1"/>
                <w:sz w:val="24"/>
                <w:szCs w:val="20"/>
                <w:highlight w:val="none"/>
                <w:u w:val="none" w:color="auto"/>
                <w:shd w:val="clear" w:color="auto" w:fill="auto"/>
                <w:lang w:val="en-US" w:eastAsia="zh-CN" w:bidi="ar-SA"/>
                <w14:textFill>
                  <w14:solidFill>
                    <w14:schemeClr w14:val="tx1"/>
                  </w14:solidFill>
                </w14:textFill>
              </w:rPr>
              <w:t>终了边界上方设立截</w:t>
            </w:r>
            <w:r>
              <w:rPr>
                <w:rFonts w:hint="eastAsia" w:ascii="Times New Roman" w:hAnsi="Times New Roman" w:eastAsia="宋体" w:cs="Times New Roman"/>
                <w:color w:val="000000" w:themeColor="text1"/>
                <w:sz w:val="24"/>
                <w:szCs w:val="20"/>
                <w:highlight w:val="none"/>
                <w:u w:val="none" w:color="auto"/>
                <w:shd w:val="clear" w:color="auto" w:fill="auto"/>
                <w:lang w:val="en-US" w:eastAsia="zh-CN" w:bidi="ar-SA"/>
                <w14:textFill>
                  <w14:solidFill>
                    <w14:schemeClr w14:val="tx1"/>
                  </w14:solidFill>
                </w14:textFill>
              </w:rPr>
              <w:t>水</w:t>
            </w:r>
            <w:r>
              <w:rPr>
                <w:rFonts w:hint="default" w:ascii="Times New Roman" w:hAnsi="Times New Roman" w:eastAsia="宋体" w:cs="Times New Roman"/>
                <w:color w:val="000000" w:themeColor="text1"/>
                <w:sz w:val="24"/>
                <w:szCs w:val="20"/>
                <w:highlight w:val="none"/>
                <w:u w:val="none" w:color="auto"/>
                <w:shd w:val="clear" w:color="auto" w:fill="auto"/>
                <w:lang w:val="en-US" w:eastAsia="zh-CN" w:bidi="ar-SA"/>
                <w14:textFill>
                  <w14:solidFill>
                    <w14:schemeClr w14:val="tx1"/>
                  </w14:solidFill>
                </w14:textFill>
              </w:rPr>
              <w:t>沟；</w:t>
            </w:r>
          </w:p>
          <w:p>
            <w:pPr>
              <w:pageBreakBefore w:val="0"/>
              <w:widowControl w:val="0"/>
              <w:kinsoku/>
              <w:bidi w:val="0"/>
              <w:adjustRightInd/>
              <w:snapToGrid/>
              <w:spacing w:beforeAutospacing="0" w:afterAutospacing="0" w:line="360" w:lineRule="auto"/>
              <w:ind w:firstLine="480" w:firstLineChars="200"/>
              <w:jc w:val="both"/>
              <w:rPr>
                <w:rFonts w:hint="default" w:ascii="Times New Roman" w:hAnsi="Times New Roman" w:eastAsia="宋体" w:cs="Times New Roman"/>
                <w:color w:val="000000" w:themeColor="text1"/>
                <w:sz w:val="24"/>
                <w:szCs w:val="20"/>
                <w:highlight w:val="none"/>
                <w:u w:val="none" w:color="auto"/>
                <w:shd w:val="clear" w:color="auto" w:fill="auto"/>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0"/>
                <w:highlight w:val="none"/>
                <w:u w:val="none" w:color="auto"/>
                <w:shd w:val="clear" w:color="auto" w:fill="auto"/>
                <w:lang w:val="en-US" w:eastAsia="zh-CN" w:bidi="ar-SA"/>
                <w14:textFill>
                  <w14:solidFill>
                    <w14:schemeClr w14:val="tx1"/>
                  </w14:solidFill>
                </w14:textFill>
              </w:rPr>
              <w:t>②</w:t>
            </w:r>
            <w:r>
              <w:rPr>
                <w:rFonts w:hint="eastAsia" w:ascii="Times New Roman" w:hAnsi="Times New Roman" w:eastAsia="宋体" w:cs="Times New Roman"/>
                <w:color w:val="000000" w:themeColor="text1"/>
                <w:sz w:val="24"/>
                <w:szCs w:val="20"/>
                <w:highlight w:val="none"/>
                <w:u w:val="none" w:color="auto"/>
                <w:shd w:val="clear" w:color="auto" w:fill="auto"/>
                <w:lang w:val="en-US" w:eastAsia="zh-CN" w:bidi="ar-SA"/>
                <w14:textFill>
                  <w14:solidFill>
                    <w14:schemeClr w14:val="tx1"/>
                  </w14:solidFill>
                </w14:textFill>
              </w:rPr>
              <w:t>沉淀池</w:t>
            </w:r>
            <w:r>
              <w:rPr>
                <w:rFonts w:hint="default" w:ascii="Times New Roman" w:hAnsi="Times New Roman" w:eastAsia="宋体" w:cs="Times New Roman"/>
                <w:color w:val="000000" w:themeColor="text1"/>
                <w:sz w:val="24"/>
                <w:szCs w:val="20"/>
                <w:highlight w:val="none"/>
                <w:u w:val="none" w:color="auto"/>
                <w:shd w:val="clear" w:color="auto" w:fill="auto"/>
                <w:lang w:val="en-US" w:eastAsia="zh-CN" w:bidi="ar-SA"/>
                <w14:textFill>
                  <w14:solidFill>
                    <w14:schemeClr w14:val="tx1"/>
                  </w14:solidFill>
                </w14:textFill>
              </w:rPr>
              <w:t>建设：在采场周边和各级平台开挖蓄水池与沉砂池，与截洪沟或修建横向排水沟相连，一方面降低水流冲刷力，另一方面可起到沉砂池的作用，以减少泥沙淤积下游。</w:t>
            </w:r>
          </w:p>
          <w:p>
            <w:pPr>
              <w:pageBreakBefore w:val="0"/>
              <w:widowControl w:val="0"/>
              <w:numPr>
                <w:ilvl w:val="0"/>
                <w:numId w:val="6"/>
              </w:numPr>
              <w:kinsoku/>
              <w:autoSpaceDE w:val="0"/>
              <w:autoSpaceDN w:val="0"/>
              <w:bidi w:val="0"/>
              <w:adjustRightInd w:val="0"/>
              <w:snapToGrid w:val="0"/>
              <w:spacing w:beforeAutospacing="0" w:afterAutospacing="0" w:line="360" w:lineRule="auto"/>
              <w:ind w:firstLine="480" w:firstLineChars="200"/>
              <w:jc w:val="both"/>
              <w:rPr>
                <w:rFonts w:hint="default" w:ascii="Times New Roman" w:hAnsi="Times New Roman" w:eastAsia="宋体" w:cs="Times New Roman"/>
                <w:color w:val="000000" w:themeColor="text1"/>
                <w:kern w:val="0"/>
                <w:sz w:val="24"/>
                <w:szCs w:val="22"/>
                <w:highlight w:val="none"/>
                <w:u w:val="none" w:color="auto"/>
                <w:shd w:val="clear" w:color="auto" w:fill="auto"/>
                <w14:textFill>
                  <w14:solidFill>
                    <w14:schemeClr w14:val="tx1"/>
                  </w14:solidFill>
                </w14:textFill>
              </w:rPr>
            </w:pPr>
            <w:r>
              <w:rPr>
                <w:rFonts w:hint="default" w:ascii="Times New Roman" w:hAnsi="Times New Roman" w:eastAsia="宋体" w:cs="Times New Roman"/>
                <w:color w:val="000000" w:themeColor="text1"/>
                <w:kern w:val="0"/>
                <w:sz w:val="24"/>
                <w:szCs w:val="22"/>
                <w:highlight w:val="none"/>
                <w:u w:val="none" w:color="auto"/>
                <w:shd w:val="clear" w:color="auto" w:fill="auto"/>
                <w14:textFill>
                  <w14:solidFill>
                    <w14:schemeClr w14:val="tx1"/>
                  </w14:solidFill>
                </w14:textFill>
              </w:rPr>
              <w:t>护坡工程</w:t>
            </w:r>
          </w:p>
          <w:p>
            <w:pPr>
              <w:pageBreakBefore w:val="0"/>
              <w:widowControl w:val="0"/>
              <w:numPr>
                <w:ilvl w:val="0"/>
                <w:numId w:val="0"/>
              </w:numPr>
              <w:kinsoku/>
              <w:autoSpaceDE w:val="0"/>
              <w:autoSpaceDN w:val="0"/>
              <w:bidi w:val="0"/>
              <w:adjustRightInd w:val="0"/>
              <w:snapToGrid w:val="0"/>
              <w:spacing w:beforeAutospacing="0" w:afterAutospacing="0" w:line="360" w:lineRule="auto"/>
              <w:ind w:firstLine="480" w:firstLineChars="200"/>
              <w:jc w:val="both"/>
              <w:rPr>
                <w:rFonts w:hint="default" w:ascii="Times New Roman" w:hAnsi="Times New Roman" w:eastAsia="宋体" w:cs="Times New Roman"/>
                <w:color w:val="000000" w:themeColor="text1"/>
                <w:kern w:val="0"/>
                <w:sz w:val="24"/>
                <w:szCs w:val="22"/>
                <w:highlight w:val="none"/>
                <w:u w:val="none" w:color="auto"/>
                <w:shd w:val="clear" w:color="auto" w:fill="auto"/>
                <w14:textFill>
                  <w14:solidFill>
                    <w14:schemeClr w14:val="tx1"/>
                  </w14:solidFill>
                </w14:textFill>
              </w:rPr>
            </w:pPr>
            <w:r>
              <w:rPr>
                <w:rFonts w:hint="eastAsia" w:ascii="Times New Roman" w:hAnsi="Times New Roman" w:eastAsia="宋体" w:cs="Times New Roman"/>
                <w:color w:val="000000" w:themeColor="text1"/>
                <w:kern w:val="0"/>
                <w:sz w:val="24"/>
                <w:szCs w:val="22"/>
                <w:highlight w:val="none"/>
                <w:u w:val="none" w:color="auto"/>
                <w:shd w:val="clear" w:color="auto" w:fill="auto"/>
                <w:lang w:val="en-US" w:eastAsia="zh-CN"/>
                <w14:textFill>
                  <w14:solidFill>
                    <w14:schemeClr w14:val="tx1"/>
                  </w14:solidFill>
                </w14:textFill>
              </w:rPr>
              <w:t>场地平整</w:t>
            </w:r>
            <w:r>
              <w:rPr>
                <w:rFonts w:hint="default" w:ascii="Times New Roman" w:hAnsi="Times New Roman" w:eastAsia="宋体" w:cs="Times New Roman"/>
                <w:color w:val="000000" w:themeColor="text1"/>
                <w:kern w:val="0"/>
                <w:sz w:val="24"/>
                <w:szCs w:val="22"/>
                <w:highlight w:val="none"/>
                <w:u w:val="none" w:color="auto"/>
                <w:shd w:val="clear" w:color="auto" w:fill="auto"/>
                <w14:textFill>
                  <w14:solidFill>
                    <w14:schemeClr w14:val="tx1"/>
                  </w14:solidFill>
                </w14:textFill>
              </w:rPr>
              <w:t>边坡和</w:t>
            </w:r>
            <w:r>
              <w:rPr>
                <w:rFonts w:hint="eastAsia" w:ascii="Times New Roman" w:hAnsi="Times New Roman" w:eastAsia="宋体" w:cs="Times New Roman"/>
                <w:color w:val="000000" w:themeColor="text1"/>
                <w:kern w:val="0"/>
                <w:sz w:val="24"/>
                <w:szCs w:val="22"/>
                <w:highlight w:val="none"/>
                <w:u w:val="none" w:color="auto"/>
                <w:shd w:val="clear" w:color="auto" w:fill="auto"/>
                <w:lang w:eastAsia="zh-CN"/>
                <w14:textFill>
                  <w14:solidFill>
                    <w14:schemeClr w14:val="tx1"/>
                  </w14:solidFill>
                </w14:textFill>
              </w:rPr>
              <w:t>开挖</w:t>
            </w:r>
            <w:r>
              <w:rPr>
                <w:rFonts w:hint="default" w:ascii="Times New Roman" w:hAnsi="Times New Roman" w:eastAsia="宋体" w:cs="Times New Roman"/>
                <w:color w:val="000000" w:themeColor="text1"/>
                <w:kern w:val="0"/>
                <w:sz w:val="24"/>
                <w:szCs w:val="22"/>
                <w:highlight w:val="none"/>
                <w:u w:val="none" w:color="auto"/>
                <w:shd w:val="clear" w:color="auto" w:fill="auto"/>
                <w14:textFill>
                  <w14:solidFill>
                    <w14:schemeClr w14:val="tx1"/>
                  </w14:solidFill>
                </w14:textFill>
              </w:rPr>
              <w:t>平台边坡采用植物护坡。</w:t>
            </w:r>
          </w:p>
          <w:p>
            <w:pPr>
              <w:pageBreakBefore w:val="0"/>
              <w:widowControl w:val="0"/>
              <w:kinsoku/>
              <w:bidi w:val="0"/>
              <w:adjustRightInd w:val="0"/>
              <w:snapToGrid w:val="0"/>
              <w:spacing w:beforeAutospacing="0" w:afterAutospacing="0" w:line="360" w:lineRule="auto"/>
              <w:ind w:firstLine="480" w:firstLineChars="200"/>
              <w:jc w:val="both"/>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4"/>
                <w:szCs w:val="22"/>
                <w:highlight w:val="none"/>
                <w:u w:val="none" w:color="auto"/>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4"/>
                <w:szCs w:val="22"/>
                <w:highlight w:val="none"/>
                <w:u w:val="none" w:color="auto"/>
                <w:shd w:val="clear" w:color="auto" w:fill="auto"/>
                <w:lang w:val="en-US" w:eastAsia="zh-CN"/>
                <w14:textFill>
                  <w14:solidFill>
                    <w14:schemeClr w14:val="tx1"/>
                  </w14:solidFill>
                </w14:textFill>
              </w:rPr>
              <w:t>3）</w:t>
            </w:r>
            <w:r>
              <w:rPr>
                <w:rFonts w:hint="default" w:ascii="Times New Roman" w:hAnsi="Times New Roman" w:eastAsia="宋体" w:cs="Times New Roman"/>
                <w:color w:val="000000" w:themeColor="text1"/>
                <w:kern w:val="0"/>
                <w:sz w:val="24"/>
                <w:szCs w:val="22"/>
                <w:highlight w:val="none"/>
                <w:u w:val="none" w:color="auto"/>
                <w:shd w:val="clear" w:color="auto" w:fill="auto"/>
                <w14:textFill>
                  <w14:solidFill>
                    <w14:schemeClr w14:val="tx1"/>
                  </w14:solidFill>
                </w14:textFill>
              </w:rPr>
              <w:t>项目坚持边</w:t>
            </w:r>
            <w:r>
              <w:rPr>
                <w:rFonts w:hint="eastAsia" w:ascii="Times New Roman" w:hAnsi="Times New Roman" w:eastAsia="宋体" w:cs="Times New Roman"/>
                <w:color w:val="000000" w:themeColor="text1"/>
                <w:kern w:val="0"/>
                <w:sz w:val="24"/>
                <w:szCs w:val="22"/>
                <w:highlight w:val="none"/>
                <w:u w:val="none" w:color="auto"/>
                <w:shd w:val="clear" w:color="auto" w:fill="auto"/>
                <w:lang w:eastAsia="zh-CN"/>
                <w14:textFill>
                  <w14:solidFill>
                    <w14:schemeClr w14:val="tx1"/>
                  </w14:solidFill>
                </w14:textFill>
              </w:rPr>
              <w:t>开挖</w:t>
            </w:r>
            <w:r>
              <w:rPr>
                <w:rFonts w:hint="default" w:ascii="Times New Roman" w:hAnsi="Times New Roman" w:eastAsia="宋体" w:cs="Times New Roman"/>
                <w:color w:val="000000" w:themeColor="text1"/>
                <w:kern w:val="0"/>
                <w:sz w:val="24"/>
                <w:szCs w:val="22"/>
                <w:highlight w:val="none"/>
                <w:u w:val="none" w:color="auto"/>
                <w:shd w:val="clear" w:color="auto" w:fill="auto"/>
                <w14:textFill>
                  <w14:solidFill>
                    <w14:schemeClr w14:val="tx1"/>
                  </w14:solidFill>
                </w14:textFill>
              </w:rPr>
              <w:t>边</w:t>
            </w:r>
            <w:r>
              <w:rPr>
                <w:rFonts w:hint="eastAsia" w:ascii="Times New Roman" w:hAnsi="Times New Roman" w:eastAsia="宋体" w:cs="Times New Roman"/>
                <w:color w:val="000000" w:themeColor="text1"/>
                <w:kern w:val="0"/>
                <w:sz w:val="24"/>
                <w:szCs w:val="22"/>
                <w:highlight w:val="none"/>
                <w:u w:val="none" w:color="auto"/>
                <w:shd w:val="clear" w:color="auto" w:fill="auto"/>
                <w:lang w:val="en-US" w:eastAsia="zh-CN"/>
                <w14:textFill>
                  <w14:solidFill>
                    <w14:schemeClr w14:val="tx1"/>
                  </w14:solidFill>
                </w14:textFill>
              </w:rPr>
              <w:t>防护</w:t>
            </w:r>
            <w:r>
              <w:rPr>
                <w:rFonts w:hint="default" w:ascii="Times New Roman" w:hAnsi="Times New Roman" w:eastAsia="宋体" w:cs="Times New Roman"/>
                <w:color w:val="000000" w:themeColor="text1"/>
                <w:kern w:val="0"/>
                <w:sz w:val="24"/>
                <w:szCs w:val="22"/>
                <w:highlight w:val="none"/>
                <w:u w:val="none" w:color="auto"/>
                <w:shd w:val="clear" w:color="auto" w:fill="auto"/>
                <w14:textFill>
                  <w14:solidFill>
                    <w14:schemeClr w14:val="tx1"/>
                  </w14:solidFill>
                </w14:textFill>
              </w:rPr>
              <w:t>的原则，主要是对阶段性</w:t>
            </w:r>
            <w:r>
              <w:rPr>
                <w:rFonts w:hint="eastAsia" w:ascii="Times New Roman" w:hAnsi="Times New Roman" w:eastAsia="宋体" w:cs="Times New Roman"/>
                <w:color w:val="000000" w:themeColor="text1"/>
                <w:kern w:val="0"/>
                <w:sz w:val="24"/>
                <w:szCs w:val="22"/>
                <w:highlight w:val="none"/>
                <w:u w:val="none" w:color="auto"/>
                <w:shd w:val="clear" w:color="auto" w:fill="auto"/>
                <w:lang w:eastAsia="zh-CN"/>
                <w14:textFill>
                  <w14:solidFill>
                    <w14:schemeClr w14:val="tx1"/>
                  </w14:solidFill>
                </w14:textFill>
              </w:rPr>
              <w:t>开挖</w:t>
            </w:r>
            <w:r>
              <w:rPr>
                <w:rFonts w:hint="default" w:ascii="Times New Roman" w:hAnsi="Times New Roman" w:eastAsia="宋体" w:cs="Times New Roman"/>
                <w:color w:val="000000" w:themeColor="text1"/>
                <w:kern w:val="0"/>
                <w:sz w:val="24"/>
                <w:szCs w:val="22"/>
                <w:highlight w:val="none"/>
                <w:u w:val="none" w:color="auto"/>
                <w:shd w:val="clear" w:color="auto" w:fill="auto"/>
                <w14:textFill>
                  <w14:solidFill>
                    <w14:schemeClr w14:val="tx1"/>
                  </w14:solidFill>
                </w14:textFill>
              </w:rPr>
              <w:t>完成的区域进行</w:t>
            </w:r>
            <w:r>
              <w:rPr>
                <w:rFonts w:hint="eastAsia" w:ascii="Times New Roman" w:hAnsi="Times New Roman" w:eastAsia="宋体" w:cs="Times New Roman"/>
                <w:color w:val="000000" w:themeColor="text1"/>
                <w:kern w:val="0"/>
                <w:sz w:val="24"/>
                <w:szCs w:val="22"/>
                <w:highlight w:val="none"/>
                <w:u w:val="none" w:color="auto"/>
                <w:shd w:val="clear" w:color="auto" w:fill="auto"/>
                <w:lang w:val="en-US" w:eastAsia="zh-CN"/>
                <w14:textFill>
                  <w14:solidFill>
                    <w14:schemeClr w14:val="tx1"/>
                  </w14:solidFill>
                </w14:textFill>
              </w:rPr>
              <w:t>覆盖防护</w:t>
            </w:r>
            <w:r>
              <w:rPr>
                <w:rFonts w:hint="default" w:ascii="Times New Roman" w:hAnsi="Times New Roman" w:eastAsia="宋体" w:cs="Times New Roman"/>
                <w:color w:val="000000" w:themeColor="text1"/>
                <w:kern w:val="0"/>
                <w:sz w:val="24"/>
                <w:szCs w:val="22"/>
                <w:highlight w:val="none"/>
                <w:u w:val="none" w:color="auto"/>
                <w:shd w:val="clear" w:color="auto" w:fill="auto"/>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25" w:hRule="atLeast"/>
          <w:jc w:val="center"/>
        </w:trPr>
        <w:tc>
          <w:tcPr>
            <w:tcW w:w="456" w:type="dxa"/>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firstLineChars="0"/>
              <w:jc w:val="center"/>
              <w:textAlignment w:val="auto"/>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pPr>
            <w: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t>运营期生态环境保护措施</w:t>
            </w:r>
          </w:p>
        </w:tc>
        <w:tc>
          <w:tcPr>
            <w:tcW w:w="8754" w:type="dxa"/>
            <w:vAlign w:val="top"/>
          </w:tcPr>
          <w:p>
            <w:pPr>
              <w:pStyle w:val="11"/>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32"/>
                <w:szCs w:val="32"/>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32"/>
                <w:szCs w:val="32"/>
                <w:highlight w:val="none"/>
                <w:lang w:val="en-US" w:eastAsia="zh-CN"/>
                <w14:textFill>
                  <w14:solidFill>
                    <w14:schemeClr w14:val="tx1"/>
                  </w14:solidFill>
                </w14:textFill>
              </w:rPr>
              <w:t>6运营期防治措施</w:t>
            </w:r>
          </w:p>
          <w:p>
            <w:pPr>
              <w:pageBreakBefore w:val="0"/>
              <w:kinsoku/>
              <w:bidi w:val="0"/>
              <w:spacing w:beforeAutospacing="0" w:afterAutospacing="0" w:line="360" w:lineRule="auto"/>
              <w:ind w:firstLine="482" w:firstLineChars="200"/>
              <w:rPr>
                <w:rFonts w:hint="eastAsia" w:ascii="Times New Roman" w:hAnsi="Times New Roman" w:eastAsia="宋体"/>
                <w:color w:val="000000" w:themeColor="text1"/>
                <w:sz w:val="24"/>
                <w:szCs w:val="24"/>
                <w:highlight w:val="none"/>
                <w:lang w:eastAsia="zh-CN"/>
                <w14:textFill>
                  <w14:solidFill>
                    <w14:schemeClr w14:val="tx1"/>
                  </w14:solidFill>
                </w14:textFill>
              </w:rPr>
            </w:pPr>
            <w:r>
              <w:rPr>
                <w:rFonts w:hint="eastAsia" w:ascii="Times New Roman" w:hAnsi="Times New Roman" w:eastAsia="宋体"/>
                <w:b/>
                <w:bCs/>
                <w:color w:val="000000" w:themeColor="text1"/>
                <w:sz w:val="24"/>
                <w:szCs w:val="24"/>
                <w:highlight w:val="none"/>
                <w:lang w:val="en-US" w:eastAsia="zh-CN"/>
                <w14:textFill>
                  <w14:solidFill>
                    <w14:schemeClr w14:val="tx1"/>
                  </w14:solidFill>
                </w14:textFill>
              </w:rPr>
              <w:t>1、</w:t>
            </w:r>
            <w:r>
              <w:rPr>
                <w:rFonts w:ascii="Times New Roman" w:hAnsi="Times New Roman" w:eastAsia="宋体"/>
                <w:b/>
                <w:bCs/>
                <w:color w:val="000000" w:themeColor="text1"/>
                <w:sz w:val="24"/>
                <w:szCs w:val="24"/>
                <w:highlight w:val="none"/>
                <w14:textFill>
                  <w14:solidFill>
                    <w14:schemeClr w14:val="tx1"/>
                  </w14:solidFill>
                </w14:textFill>
              </w:rPr>
              <w:t>水环境污染防治措施</w:t>
            </w:r>
            <w:r>
              <w:rPr>
                <w:rFonts w:ascii="Times New Roman" w:hAnsi="Times New Roman" w:eastAsia="宋体"/>
                <w:color w:val="000000" w:themeColor="text1"/>
                <w:sz w:val="24"/>
                <w:szCs w:val="24"/>
                <w:highlight w:val="none"/>
                <w14:textFill>
                  <w14:solidFill>
                    <w14:schemeClr w14:val="tx1"/>
                  </w14:solidFill>
                </w14:textFill>
              </w:rPr>
              <w:t>：①经计算本项目初期雨水量约为</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4261</w:t>
            </w:r>
            <w:r>
              <w:rPr>
                <w:rFonts w:ascii="Times New Roman" w:hAnsi="Times New Roman" w:eastAsia="宋体"/>
                <w:color w:val="000000" w:themeColor="text1"/>
                <w:sz w:val="24"/>
                <w:szCs w:val="24"/>
                <w:highlight w:val="none"/>
                <w14:textFill>
                  <w14:solidFill>
                    <w14:schemeClr w14:val="tx1"/>
                  </w14:solidFill>
                </w14:textFill>
              </w:rPr>
              <w:t>t/次，本项目初期雨水设置需满足最大暴雨强度下雨水收集，</w:t>
            </w:r>
            <w:r>
              <w:rPr>
                <w:rFonts w:hint="eastAsia" w:ascii="Times New Roman" w:hAnsi="Times New Roman" w:eastAsia="宋体" w:cs="宋体"/>
                <w:bCs/>
                <w:color w:val="000000" w:themeColor="text1"/>
                <w:sz w:val="24"/>
                <w:szCs w:val="24"/>
                <w:highlight w:val="none"/>
                <w:lang w:eastAsia="zh-CN" w:bidi="ar"/>
                <w14:textFill>
                  <w14:solidFill>
                    <w14:schemeClr w14:val="tx1"/>
                  </w14:solidFill>
                </w14:textFill>
              </w:rPr>
              <w:t>本项目</w:t>
            </w:r>
            <w:r>
              <w:rPr>
                <w:rFonts w:hint="eastAsia" w:ascii="Times New Roman" w:hAnsi="Times New Roman" w:eastAsia="宋体" w:cs="宋体"/>
                <w:bCs/>
                <w:color w:val="000000" w:themeColor="text1"/>
                <w:sz w:val="24"/>
                <w:szCs w:val="24"/>
                <w:highlight w:val="none"/>
                <w:lang w:val="en-US" w:eastAsia="zh-CN" w:bidi="ar"/>
                <w14:textFill>
                  <w14:solidFill>
                    <w14:schemeClr w14:val="tx1"/>
                  </w14:solidFill>
                </w14:textFill>
              </w:rPr>
              <w:t>建设总容积4500</w:t>
            </w:r>
            <w:r>
              <w:rPr>
                <w:rFonts w:hint="eastAsia" w:ascii="Times New Roman" w:hAnsi="Times New Roman" w:eastAsia="宋体"/>
                <w:bCs/>
                <w:color w:val="000000" w:themeColor="text1"/>
                <w:sz w:val="24"/>
                <w:szCs w:val="24"/>
                <w:highlight w:val="none"/>
                <w:lang w:bidi="ar"/>
                <w14:textFill>
                  <w14:solidFill>
                    <w14:schemeClr w14:val="tx1"/>
                  </w14:solidFill>
                </w14:textFill>
              </w:rPr>
              <w:t>m</w:t>
            </w:r>
            <w:r>
              <w:rPr>
                <w:rFonts w:hint="eastAsia" w:ascii="Times New Roman" w:hAnsi="Times New Roman" w:eastAsia="宋体"/>
                <w:bCs/>
                <w:color w:val="000000" w:themeColor="text1"/>
                <w:sz w:val="24"/>
                <w:szCs w:val="24"/>
                <w:highlight w:val="none"/>
                <w:vertAlign w:val="superscript"/>
                <w:lang w:bidi="ar"/>
                <w14:textFill>
                  <w14:solidFill>
                    <w14:schemeClr w14:val="tx1"/>
                  </w14:solidFill>
                </w14:textFill>
              </w:rPr>
              <w:t>3</w:t>
            </w:r>
            <w:r>
              <w:rPr>
                <w:rFonts w:hint="eastAsia" w:ascii="Times New Roman" w:hAnsi="Times New Roman" w:eastAsia="宋体"/>
                <w:bCs/>
                <w:color w:val="000000" w:themeColor="text1"/>
                <w:sz w:val="24"/>
                <w:szCs w:val="24"/>
                <w:highlight w:val="none"/>
                <w:vertAlign w:val="baseline"/>
                <w:lang w:eastAsia="zh-CN" w:bidi="ar"/>
                <w14:textFill>
                  <w14:solidFill>
                    <w14:schemeClr w14:val="tx1"/>
                  </w14:solidFill>
                </w14:textFill>
              </w:rPr>
              <w:t>的雨水收集池，可满足项目初期雨水的收集需要</w:t>
            </w:r>
            <w:r>
              <w:rPr>
                <w:rFonts w:ascii="Times New Roman" w:hAnsi="Times New Roman" w:eastAsia="宋体"/>
                <w:color w:val="000000" w:themeColor="text1"/>
                <w:sz w:val="24"/>
                <w:szCs w:val="24"/>
                <w:highlight w:val="none"/>
                <w14:textFill>
                  <w14:solidFill>
                    <w14:schemeClr w14:val="tx1"/>
                  </w14:solidFill>
                </w14:textFill>
              </w:rPr>
              <w:t>，能满足最大暴雨强度下雨水收集需求。</w:t>
            </w:r>
            <w:r>
              <w:rPr>
                <w:rFonts w:hint="eastAsia" w:ascii="Times New Roman" w:hAnsi="Times New Roman" w:eastAsia="宋体"/>
                <w:color w:val="000000" w:themeColor="text1"/>
                <w:sz w:val="24"/>
                <w:szCs w:val="24"/>
                <w:highlight w:val="none"/>
                <w14:textFill>
                  <w14:solidFill>
                    <w14:schemeClr w14:val="tx1"/>
                  </w14:solidFill>
                </w14:textFill>
              </w:rPr>
              <w:t>根据《排污许可证申请与核发技术规范 码头》中对初期雨水的处理方法，沉淀法符合对初期雨水的处理要求。处理后的水质满足</w:t>
            </w:r>
            <w:r>
              <w:rPr>
                <w:rFonts w:ascii="Times New Roman" w:hAnsi="Times New Roman" w:eastAsia="宋体"/>
                <w:color w:val="000000" w:themeColor="text1"/>
                <w:sz w:val="24"/>
                <w:szCs w:val="24"/>
                <w:highlight w:val="none"/>
                <w14:textFill>
                  <w14:solidFill>
                    <w14:schemeClr w14:val="tx1"/>
                  </w14:solidFill>
                </w14:textFill>
              </w:rPr>
              <w:t>《城市污水再生利用 城市杂用水水质》（GB/T 18920-20</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20</w:t>
            </w:r>
            <w:r>
              <w:rPr>
                <w:rFonts w:ascii="Times New Roman" w:hAnsi="Times New Roman" w:eastAsia="宋体"/>
                <w:color w:val="000000" w:themeColor="text1"/>
                <w:sz w:val="24"/>
                <w:szCs w:val="24"/>
                <w:highlight w:val="none"/>
                <w14:textFill>
                  <w14:solidFill>
                    <w14:schemeClr w14:val="tx1"/>
                  </w14:solidFill>
                </w14:textFill>
              </w:rPr>
              <w:t>）表1中的</w:t>
            </w:r>
            <w:r>
              <w:rPr>
                <w:rFonts w:hint="eastAsia" w:ascii="Times New Roman" w:hAnsi="Times New Roman" w:eastAsia="宋体"/>
                <w:color w:val="000000" w:themeColor="text1"/>
                <w:sz w:val="24"/>
                <w:szCs w:val="24"/>
                <w:highlight w:val="none"/>
                <w14:textFill>
                  <w14:solidFill>
                    <w14:schemeClr w14:val="tx1"/>
                  </w14:solidFill>
                </w14:textFill>
              </w:rPr>
              <w:t>建筑施工中的灰尘抑制</w:t>
            </w:r>
            <w:r>
              <w:rPr>
                <w:rFonts w:ascii="Times New Roman" w:hAnsi="Times New Roman" w:eastAsia="宋体"/>
                <w:color w:val="000000" w:themeColor="text1"/>
                <w:sz w:val="24"/>
                <w:szCs w:val="24"/>
                <w:highlight w:val="none"/>
                <w14:textFill>
                  <w14:solidFill>
                    <w14:schemeClr w14:val="tx1"/>
                  </w14:solidFill>
                </w14:textFill>
              </w:rPr>
              <w:t>标准后用于场地防尘，措施可行。②本项目配套建设</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1</w:t>
            </w:r>
            <w:r>
              <w:rPr>
                <w:rFonts w:ascii="Times New Roman" w:hAnsi="Times New Roman" w:eastAsia="宋体"/>
                <w:color w:val="000000" w:themeColor="text1"/>
                <w:sz w:val="24"/>
                <w:szCs w:val="24"/>
                <w:highlight w:val="none"/>
                <w14:textFill>
                  <w14:solidFill>
                    <w14:schemeClr w14:val="tx1"/>
                  </w14:solidFill>
                </w14:textFill>
              </w:rPr>
              <w:t>座16m</w:t>
            </w:r>
            <w:r>
              <w:rPr>
                <w:rFonts w:ascii="Times New Roman" w:hAnsi="Times New Roman" w:eastAsia="宋体"/>
                <w:color w:val="000000" w:themeColor="text1"/>
                <w:sz w:val="24"/>
                <w:szCs w:val="24"/>
                <w:highlight w:val="none"/>
                <w:vertAlign w:val="superscript"/>
                <w14:textFill>
                  <w14:solidFill>
                    <w14:schemeClr w14:val="tx1"/>
                  </w14:solidFill>
                </w14:textFill>
              </w:rPr>
              <w:t>3</w:t>
            </w:r>
            <w:r>
              <w:rPr>
                <w:rFonts w:ascii="Times New Roman" w:hAnsi="Times New Roman" w:eastAsia="宋体"/>
                <w:color w:val="000000" w:themeColor="text1"/>
                <w:sz w:val="24"/>
                <w:szCs w:val="24"/>
                <w:highlight w:val="none"/>
                <w14:textFill>
                  <w14:solidFill>
                    <w14:schemeClr w14:val="tx1"/>
                  </w14:solidFill>
                </w14:textFill>
              </w:rPr>
              <w:t>化粪池</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办公区东北侧</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ascii="Times New Roman" w:hAnsi="Times New Roman" w:eastAsia="宋体"/>
                <w:color w:val="000000" w:themeColor="text1"/>
                <w:sz w:val="24"/>
                <w:szCs w:val="24"/>
                <w:highlight w:val="none"/>
                <w14:textFill>
                  <w14:solidFill>
                    <w14:schemeClr w14:val="tx1"/>
                  </w14:solidFill>
                </w14:textFill>
              </w:rPr>
              <w:t>。</w:t>
            </w:r>
            <w:r>
              <w:rPr>
                <w:rFonts w:hint="eastAsia" w:ascii="Times New Roman" w:hAnsi="Times New Roman" w:eastAsia="宋体"/>
                <w:color w:val="000000" w:themeColor="text1"/>
                <w:sz w:val="24"/>
                <w:szCs w:val="24"/>
                <w:highlight w:val="none"/>
                <w14:textFill>
                  <w14:solidFill>
                    <w14:schemeClr w14:val="tx1"/>
                  </w14:solidFill>
                </w14:textFill>
              </w:rPr>
              <w:t>项目生活污水量</w:t>
            </w:r>
            <w:r>
              <w:rPr>
                <w:rFonts w:hint="eastAsia" w:ascii="Times New Roman" w:hAnsi="Times New Roman" w:eastAsia="宋体"/>
                <w:color w:val="000000" w:themeColor="text1"/>
                <w:sz w:val="24"/>
                <w:szCs w:val="24"/>
                <w:highlight w:val="none"/>
                <w:lang w:eastAsia="zh-CN"/>
                <w14:textFill>
                  <w14:solidFill>
                    <w14:schemeClr w14:val="tx1"/>
                  </w14:solidFill>
                </w14:textFill>
              </w:rPr>
              <w:t>排放量</w:t>
            </w:r>
            <w:r>
              <w:rPr>
                <w:rFonts w:hint="eastAsia" w:ascii="Times New Roman" w:hAnsi="Times New Roman" w:eastAsia="宋体"/>
                <w:color w:val="000000" w:themeColor="text1"/>
                <w:sz w:val="24"/>
                <w:szCs w:val="24"/>
                <w:highlight w:val="none"/>
                <w14:textFill>
                  <w14:solidFill>
                    <w14:schemeClr w14:val="tx1"/>
                  </w14:solidFill>
                </w14:textFill>
              </w:rPr>
              <w:t>为</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264</w:t>
            </w:r>
            <w:r>
              <w:rPr>
                <w:rFonts w:hint="eastAsia" w:ascii="Times New Roman" w:hAnsi="Times New Roman" w:eastAsia="宋体"/>
                <w:color w:val="000000" w:themeColor="text1"/>
                <w:sz w:val="24"/>
                <w:szCs w:val="24"/>
                <w:highlight w:val="none"/>
                <w14:textFill>
                  <w14:solidFill>
                    <w14:schemeClr w14:val="tx1"/>
                  </w14:solidFill>
                </w14:textFill>
              </w:rPr>
              <w:t>t/a，</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0.8</w:t>
            </w:r>
            <w:r>
              <w:rPr>
                <w:rFonts w:hint="eastAsia" w:ascii="Times New Roman" w:hAnsi="Times New Roman" w:eastAsia="宋体"/>
                <w:color w:val="000000" w:themeColor="text1"/>
                <w:sz w:val="24"/>
                <w:szCs w:val="24"/>
                <w:highlight w:val="none"/>
                <w14:textFill>
                  <w14:solidFill>
                    <w14:schemeClr w14:val="tx1"/>
                  </w14:solidFill>
                </w14:textFill>
              </w:rPr>
              <w:t>t/d，</w:t>
            </w:r>
            <w:r>
              <w:rPr>
                <w:rFonts w:ascii="Times New Roman" w:hAnsi="Times New Roman" w:eastAsia="宋体"/>
                <w:color w:val="000000" w:themeColor="text1"/>
                <w:sz w:val="24"/>
                <w:szCs w:val="24"/>
                <w:highlight w:val="none"/>
                <w14:textFill>
                  <w14:solidFill>
                    <w14:schemeClr w14:val="tx1"/>
                  </w14:solidFill>
                </w14:textFill>
              </w:rPr>
              <w:t>生活污水经化粪池处理后</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由槽罐车运输至福鼎市白琳镇污水处理站处理</w:t>
            </w:r>
            <w:r>
              <w:rPr>
                <w:rFonts w:hint="eastAsia" w:ascii="Times New Roman" w:hAnsi="Times New Roman" w:eastAsia="宋体"/>
                <w:color w:val="000000" w:themeColor="text1"/>
                <w:sz w:val="24"/>
                <w:szCs w:val="24"/>
                <w:highlight w:val="none"/>
                <w14:textFill>
                  <w14:solidFill>
                    <w14:schemeClr w14:val="tx1"/>
                  </w14:solidFill>
                </w14:textFill>
              </w:rPr>
              <w:t>，措施可行。</w:t>
            </w:r>
            <w:r>
              <w:rPr>
                <w:rFonts w:hint="eastAsia" w:ascii="Times New Roman" w:hAnsi="Times New Roman" w:eastAsia="宋体"/>
                <w:color w:val="000000" w:themeColor="text1"/>
                <w:sz w:val="24"/>
                <w:szCs w:val="24"/>
                <w:highlight w:val="none"/>
                <w:lang w:eastAsia="zh-CN"/>
                <w14:textFill>
                  <w14:solidFill>
                    <w14:schemeClr w14:val="tx1"/>
                  </w14:solidFill>
                </w14:textFill>
              </w:rPr>
              <w:t>③船舶废水由船舶自行处理，不在本次评价范围内。</w:t>
            </w:r>
          </w:p>
          <w:p>
            <w:pPr>
              <w:pageBreakBefore w:val="0"/>
              <w:kinsoku/>
              <w:bidi w:val="0"/>
              <w:spacing w:beforeAutospacing="0" w:afterAutospacing="0" w:line="360" w:lineRule="auto"/>
              <w:ind w:firstLine="482" w:firstLineChars="200"/>
              <w:rPr>
                <w:rFonts w:hint="eastAsia" w:ascii="Times New Roman" w:hAnsi="Times New Roman" w:eastAsia="宋体"/>
                <w:color w:val="000000" w:themeColor="text1"/>
                <w:sz w:val="24"/>
                <w:szCs w:val="24"/>
                <w:highlight w:val="none"/>
                <w:lang w:val="en-US" w:eastAsia="zh-CN"/>
                <w14:textFill>
                  <w14:solidFill>
                    <w14:schemeClr w14:val="tx1"/>
                  </w14:solidFill>
                </w14:textFill>
              </w:rPr>
            </w:pPr>
            <w:r>
              <w:rPr>
                <w:rFonts w:ascii="Times New Roman" w:hAnsi="Times New Roman" w:eastAsia="宋体"/>
                <w:b/>
                <w:bCs/>
                <w:color w:val="000000" w:themeColor="text1"/>
                <w:sz w:val="24"/>
                <w:szCs w:val="24"/>
                <w:highlight w:val="none"/>
                <w14:textFill>
                  <w14:solidFill>
                    <w14:schemeClr w14:val="tx1"/>
                  </w14:solidFill>
                </w14:textFill>
              </w:rPr>
              <w:t>2</w:t>
            </w:r>
            <w:r>
              <w:rPr>
                <w:rFonts w:hint="eastAsia" w:ascii="Times New Roman" w:hAnsi="Times New Roman" w:eastAsia="宋体"/>
                <w:b/>
                <w:bCs/>
                <w:color w:val="000000" w:themeColor="text1"/>
                <w:sz w:val="24"/>
                <w:szCs w:val="24"/>
                <w:highlight w:val="none"/>
                <w:lang w:eastAsia="zh-CN"/>
                <w14:textFill>
                  <w14:solidFill>
                    <w14:schemeClr w14:val="tx1"/>
                  </w14:solidFill>
                </w14:textFill>
              </w:rPr>
              <w:t>、</w:t>
            </w:r>
            <w:r>
              <w:rPr>
                <w:rFonts w:ascii="Times New Roman" w:hAnsi="Times New Roman" w:eastAsia="宋体"/>
                <w:b/>
                <w:bCs/>
                <w:color w:val="000000" w:themeColor="text1"/>
                <w:sz w:val="24"/>
                <w:szCs w:val="24"/>
                <w:highlight w:val="none"/>
                <w14:textFill>
                  <w14:solidFill>
                    <w14:schemeClr w14:val="tx1"/>
                  </w14:solidFill>
                </w14:textFill>
              </w:rPr>
              <w:t>大气环境污染防治措施：</w:t>
            </w:r>
            <w:r>
              <w:rPr>
                <w:rFonts w:hint="eastAsia" w:ascii="Times New Roman" w:hAnsi="Times New Roman" w:eastAsia="宋体"/>
                <w:color w:val="000000" w:themeColor="text1"/>
                <w:sz w:val="24"/>
                <w:szCs w:val="24"/>
                <w:highlight w:val="none"/>
                <w:lang w:eastAsia="zh-CN"/>
                <w14:textFill>
                  <w14:solidFill>
                    <w14:schemeClr w14:val="tx1"/>
                  </w14:solidFill>
                </w14:textFill>
              </w:rPr>
              <w:t>本项目货物</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碎石及非金属矿</w:t>
            </w:r>
            <w:r>
              <w:rPr>
                <w:rFonts w:hint="eastAsia" w:ascii="Times New Roman" w:hAnsi="Times New Roman" w:eastAsia="宋体"/>
                <w:color w:val="000000" w:themeColor="text1"/>
                <w:sz w:val="24"/>
                <w:szCs w:val="24"/>
                <w:highlight w:val="none"/>
                <w:lang w:eastAsia="zh-CN"/>
                <w14:textFill>
                  <w14:solidFill>
                    <w14:schemeClr w14:val="tx1"/>
                  </w14:solidFill>
                </w14:textFill>
              </w:rPr>
              <w:t>产生的颗粒物较大较重，不易起尘，本项目货物经由货船运至码头后，有吊机将货物装上货车并运至堆场卸货，在</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碎石、河砂及非金属矿</w:t>
            </w:r>
            <w:r>
              <w:rPr>
                <w:rFonts w:hint="eastAsia" w:ascii="Times New Roman" w:hAnsi="Times New Roman" w:eastAsia="宋体"/>
                <w:color w:val="000000" w:themeColor="text1"/>
                <w:sz w:val="24"/>
                <w:szCs w:val="24"/>
                <w:highlight w:val="none"/>
                <w:lang w:eastAsia="zh-CN"/>
                <w14:textFill>
                  <w14:solidFill>
                    <w14:schemeClr w14:val="tx1"/>
                  </w14:solidFill>
                </w14:textFill>
              </w:rPr>
              <w:t>装卸前对货物表面进行预洒水，降低货物装卸过程中的起尘量，</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为减少货物起尘，本项目在装卸过程中对船舶出料口及装卸场地周边设施防尘网。</w:t>
            </w:r>
            <w:r>
              <w:rPr>
                <w:rFonts w:hint="eastAsia" w:ascii="Times New Roman" w:hAnsi="Times New Roman" w:eastAsia="宋体"/>
                <w:color w:val="000000" w:themeColor="text1"/>
                <w:sz w:val="24"/>
                <w:szCs w:val="24"/>
                <w:highlight w:val="none"/>
                <w:lang w:eastAsia="zh-CN"/>
                <w14:textFill>
                  <w14:solidFill>
                    <w14:schemeClr w14:val="tx1"/>
                  </w14:solidFill>
                </w14:textFill>
              </w:rPr>
              <w:t>货物堆场四周设置</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4m高的防风抑尘网，且限值堆场高度在3.5m以下，</w:t>
            </w:r>
            <w:r>
              <w:rPr>
                <w:rFonts w:hint="eastAsia" w:ascii="Times New Roman" w:hAnsi="Times New Roman" w:eastAsia="宋体"/>
                <w:color w:val="000000" w:themeColor="text1"/>
                <w:sz w:val="24"/>
                <w:szCs w:val="24"/>
                <w:highlight w:val="none"/>
                <w:lang w:eastAsia="zh-CN"/>
                <w14:textFill>
                  <w14:solidFill>
                    <w14:schemeClr w14:val="tx1"/>
                  </w14:solidFill>
                </w14:textFill>
              </w:rPr>
              <w:t>可以降低堆场内的风速，减少起尘量。堆场四周每</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2m设有喷淋装置，定期对堆场内的河砂、碎石及废金属矿进行洒水，防止起尘。对干散货进行防尘网覆盖的方式减少起尘。</w:t>
            </w:r>
          </w:p>
          <w:p>
            <w:pPr>
              <w:pageBreakBefore w:val="0"/>
              <w:kinsoku/>
              <w:bidi w:val="0"/>
              <w:spacing w:beforeAutospacing="0" w:afterAutospacing="0" w:line="360" w:lineRule="auto"/>
              <w:ind w:firstLine="480" w:firstLineChars="200"/>
              <w:rPr>
                <w:rFonts w:hint="eastAsia" w:ascii="Times New Roman" w:hAnsi="Times New Roman" w:eastAsia="宋体"/>
                <w:color w:val="000000" w:themeColor="text1"/>
                <w:sz w:val="24"/>
                <w:szCs w:val="24"/>
                <w:highlight w:val="none"/>
                <w:lang w:eastAsia="zh-CN"/>
                <w14:textFill>
                  <w14:solidFill>
                    <w14:schemeClr w14:val="tx1"/>
                  </w14:solidFill>
                </w14:textFill>
              </w:rPr>
            </w:pPr>
            <w:r>
              <w:rPr>
                <w:rFonts w:hint="eastAsia" w:ascii="Times New Roman" w:hAnsi="Times New Roman" w:eastAsia="宋体"/>
                <w:color w:val="000000" w:themeColor="text1"/>
                <w:sz w:val="24"/>
                <w:szCs w:val="24"/>
                <w:highlight w:val="none"/>
                <w:lang w:eastAsia="zh-CN"/>
                <w14:textFill>
                  <w14:solidFill>
                    <w14:schemeClr w14:val="tx1"/>
                  </w14:solidFill>
                </w14:textFill>
              </w:rPr>
              <w:t>根据《排污许可申请与核发规范 码头》中对堆场废气处理的建议措施中的“防风抑尘：包括防尘网，挡风围墙、防护林等”，湿式除尘/抑尘推荐措施为水雾、干雾、喷枪洒水、高杆喷雾、远程射雾器、洒水车、水力冲洗等污染防治设施。本项目对</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河砂、碎石及废金属矿</w:t>
            </w:r>
            <w:r>
              <w:rPr>
                <w:rFonts w:hint="eastAsia" w:ascii="Times New Roman" w:hAnsi="Times New Roman" w:eastAsia="宋体"/>
                <w:color w:val="000000" w:themeColor="text1"/>
                <w:sz w:val="24"/>
                <w:szCs w:val="24"/>
                <w:highlight w:val="none"/>
                <w:lang w:eastAsia="zh-CN"/>
                <w14:textFill>
                  <w14:solidFill>
                    <w14:schemeClr w14:val="tx1"/>
                  </w14:solidFill>
                </w14:textFill>
              </w:rPr>
              <w:t>采取的洒水抑尘、防尘网抑尘等措施是可行的。</w:t>
            </w:r>
          </w:p>
          <w:p>
            <w:pPr>
              <w:pageBreakBefore w:val="0"/>
              <w:kinsoku/>
              <w:bidi w:val="0"/>
              <w:spacing w:beforeAutospacing="0" w:afterAutospacing="0" w:line="360" w:lineRule="auto"/>
              <w:ind w:firstLine="480" w:firstLineChars="200"/>
              <w:rPr>
                <w:rFonts w:hint="eastAsia" w:ascii="Times New Roman" w:hAnsi="Times New Roman" w:eastAsia="宋体"/>
                <w:color w:val="000000" w:themeColor="text1"/>
                <w:sz w:val="24"/>
                <w:szCs w:val="24"/>
                <w:highlight w:val="none"/>
                <w:lang w:eastAsia="zh-CN"/>
                <w14:textFill>
                  <w14:solidFill>
                    <w14:schemeClr w14:val="tx1"/>
                  </w14:solidFill>
                </w14:textFill>
              </w:rPr>
            </w:pPr>
            <w:r>
              <w:rPr>
                <w:rFonts w:hint="eastAsia" w:ascii="Times New Roman" w:hAnsi="Times New Roman" w:eastAsia="宋体"/>
                <w:color w:val="000000" w:themeColor="text1"/>
                <w:sz w:val="24"/>
                <w:szCs w:val="24"/>
                <w:highlight w:val="none"/>
                <w14:textFill>
                  <w14:solidFill>
                    <w14:schemeClr w14:val="tx1"/>
                  </w14:solidFill>
                </w14:textFill>
              </w:rPr>
              <w:t>装卸设备</w:t>
            </w:r>
            <w:r>
              <w:rPr>
                <w:rFonts w:hint="eastAsia" w:ascii="Times New Roman" w:hAnsi="Times New Roman" w:eastAsia="宋体"/>
                <w:color w:val="000000" w:themeColor="text1"/>
                <w:sz w:val="24"/>
                <w:szCs w:val="24"/>
                <w:highlight w:val="none"/>
                <w:lang w:eastAsia="zh-CN"/>
                <w14:textFill>
                  <w14:solidFill>
                    <w14:schemeClr w14:val="tx1"/>
                  </w14:solidFill>
                </w14:textFill>
              </w:rPr>
              <w:t>在</w:t>
            </w:r>
            <w:r>
              <w:rPr>
                <w:rFonts w:hint="eastAsia" w:ascii="Times New Roman" w:hAnsi="Times New Roman" w:eastAsia="宋体"/>
                <w:color w:val="000000" w:themeColor="text1"/>
                <w:sz w:val="24"/>
                <w:szCs w:val="24"/>
                <w:highlight w:val="none"/>
                <w14:textFill>
                  <w14:solidFill>
                    <w14:schemeClr w14:val="tx1"/>
                  </w14:solidFill>
                </w14:textFill>
              </w:rPr>
              <w:t>选型时，应选用排气污染物符合《非道路移动机械用柴油机排气污染物排放限值及测量方法（中国第三、四阶段）》（GB 20891-2014）表</w:t>
            </w:r>
            <w:r>
              <w:rPr>
                <w:rFonts w:ascii="Times New Roman" w:hAnsi="Times New Roman" w:eastAsia="宋体"/>
                <w:color w:val="000000" w:themeColor="text1"/>
                <w:sz w:val="24"/>
                <w:szCs w:val="24"/>
                <w:highlight w:val="none"/>
                <w14:textFill>
                  <w14:solidFill>
                    <w14:schemeClr w14:val="tx1"/>
                  </w14:solidFill>
                </w14:textFill>
              </w:rPr>
              <w:t>2</w:t>
            </w:r>
            <w:r>
              <w:rPr>
                <w:rFonts w:hint="eastAsia" w:ascii="Times New Roman" w:hAnsi="Times New Roman" w:eastAsia="宋体"/>
                <w:color w:val="000000" w:themeColor="text1"/>
                <w:sz w:val="24"/>
                <w:szCs w:val="24"/>
                <w:highlight w:val="none"/>
                <w14:textFill>
                  <w14:solidFill>
                    <w14:schemeClr w14:val="tx1"/>
                  </w14:solidFill>
                </w14:textFill>
              </w:rPr>
              <w:t>限值的设备</w:t>
            </w:r>
            <w:r>
              <w:rPr>
                <w:rFonts w:hint="eastAsia" w:ascii="Times New Roman" w:hAnsi="Times New Roman" w:eastAsia="宋体"/>
                <w:color w:val="000000" w:themeColor="text1"/>
                <w:sz w:val="24"/>
                <w:szCs w:val="24"/>
                <w:highlight w:val="none"/>
                <w:lang w:eastAsia="zh-CN"/>
                <w14:textFill>
                  <w14:solidFill>
                    <w14:schemeClr w14:val="tx1"/>
                  </w14:solidFill>
                </w14:textFill>
              </w:rPr>
              <w:t>并</w:t>
            </w:r>
            <w:r>
              <w:rPr>
                <w:rFonts w:hint="eastAsia" w:ascii="Times New Roman" w:hAnsi="Times New Roman" w:eastAsia="宋体"/>
                <w:color w:val="000000" w:themeColor="text1"/>
                <w:sz w:val="24"/>
                <w:szCs w:val="24"/>
                <w:highlight w:val="none"/>
                <w14:textFill>
                  <w14:solidFill>
                    <w14:schemeClr w14:val="tx1"/>
                  </w14:solidFill>
                </w14:textFill>
              </w:rPr>
              <w:t>加强装卸设备的日常维护，防止因设备异常造成尾气量增加</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p>
          <w:p>
            <w:pPr>
              <w:pageBreakBefore w:val="0"/>
              <w:kinsoku/>
              <w:bidi w:val="0"/>
              <w:spacing w:beforeAutospacing="0" w:afterAutospacing="0" w:line="360" w:lineRule="auto"/>
              <w:ind w:firstLine="482" w:firstLineChars="200"/>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b/>
                <w:bCs/>
                <w:color w:val="000000" w:themeColor="text1"/>
                <w:sz w:val="24"/>
                <w:szCs w:val="24"/>
                <w:highlight w:val="none"/>
                <w14:textFill>
                  <w14:solidFill>
                    <w14:schemeClr w14:val="tx1"/>
                  </w14:solidFill>
                </w14:textFill>
              </w:rPr>
              <w:t>3</w:t>
            </w:r>
            <w:r>
              <w:rPr>
                <w:rFonts w:hint="eastAsia" w:ascii="Times New Roman" w:hAnsi="Times New Roman" w:eastAsia="宋体"/>
                <w:b/>
                <w:bCs/>
                <w:color w:val="000000" w:themeColor="text1"/>
                <w:sz w:val="24"/>
                <w:szCs w:val="24"/>
                <w:highlight w:val="none"/>
                <w:lang w:eastAsia="zh-CN"/>
                <w14:textFill>
                  <w14:solidFill>
                    <w14:schemeClr w14:val="tx1"/>
                  </w14:solidFill>
                </w14:textFill>
              </w:rPr>
              <w:t>、</w:t>
            </w:r>
            <w:r>
              <w:rPr>
                <w:rFonts w:ascii="Times New Roman" w:hAnsi="Times New Roman" w:eastAsia="宋体"/>
                <w:b/>
                <w:bCs/>
                <w:color w:val="000000" w:themeColor="text1"/>
                <w:sz w:val="24"/>
                <w:szCs w:val="24"/>
                <w:highlight w:val="none"/>
                <w14:textFill>
                  <w14:solidFill>
                    <w14:schemeClr w14:val="tx1"/>
                  </w14:solidFill>
                </w14:textFill>
              </w:rPr>
              <w:t>声环境污染防治措施：</w:t>
            </w:r>
            <w:r>
              <w:rPr>
                <w:rFonts w:ascii="Times New Roman" w:hAnsi="Times New Roman" w:eastAsia="宋体"/>
                <w:color w:val="000000" w:themeColor="text1"/>
                <w:sz w:val="24"/>
                <w:szCs w:val="24"/>
                <w:highlight w:val="none"/>
                <w14:textFill>
                  <w14:solidFill>
                    <w14:schemeClr w14:val="tx1"/>
                  </w14:solidFill>
                </w14:textFill>
              </w:rPr>
              <w:t>①合理布置堆场货物位置，堆场作业过程尽量远离居民点</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ascii="Times New Roman" w:hAnsi="Times New Roman" w:eastAsia="宋体"/>
                <w:color w:val="000000" w:themeColor="text1"/>
                <w:sz w:val="24"/>
                <w:szCs w:val="24"/>
                <w:highlight w:val="none"/>
                <w14:textFill>
                  <w14:solidFill>
                    <w14:schemeClr w14:val="tx1"/>
                  </w14:solidFill>
                </w14:textFill>
              </w:rPr>
              <w:t>②加强装卸设备及船舶的保养，防止装卸设备及船舶运转不正常时噪声异常增高。</w:t>
            </w:r>
          </w:p>
          <w:p>
            <w:pPr>
              <w:pageBreakBefore w:val="0"/>
              <w:kinsoku/>
              <w:bidi w:val="0"/>
              <w:spacing w:beforeAutospacing="0" w:afterAutospacing="0" w:line="360" w:lineRule="auto"/>
              <w:ind w:firstLine="482" w:firstLineChars="200"/>
              <w:rPr>
                <w:rFonts w:hint="eastAsia"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b/>
                <w:bCs/>
                <w:color w:val="000000" w:themeColor="text1"/>
                <w:sz w:val="24"/>
                <w:szCs w:val="24"/>
                <w:highlight w:val="none"/>
                <w14:textFill>
                  <w14:solidFill>
                    <w14:schemeClr w14:val="tx1"/>
                  </w14:solidFill>
                </w14:textFill>
              </w:rPr>
              <w:t>4</w:t>
            </w:r>
            <w:r>
              <w:rPr>
                <w:rFonts w:hint="eastAsia" w:ascii="Times New Roman" w:hAnsi="Times New Roman" w:eastAsia="宋体"/>
                <w:b/>
                <w:bCs/>
                <w:color w:val="000000" w:themeColor="text1"/>
                <w:sz w:val="24"/>
                <w:szCs w:val="24"/>
                <w:highlight w:val="none"/>
                <w:lang w:eastAsia="zh-CN"/>
                <w14:textFill>
                  <w14:solidFill>
                    <w14:schemeClr w14:val="tx1"/>
                  </w14:solidFill>
                </w14:textFill>
              </w:rPr>
              <w:t>、</w:t>
            </w:r>
            <w:r>
              <w:rPr>
                <w:rFonts w:ascii="Times New Roman" w:hAnsi="Times New Roman" w:eastAsia="宋体"/>
                <w:b/>
                <w:bCs/>
                <w:color w:val="000000" w:themeColor="text1"/>
                <w:sz w:val="24"/>
                <w:szCs w:val="24"/>
                <w:highlight w:val="none"/>
                <w14:textFill>
                  <w14:solidFill>
                    <w14:schemeClr w14:val="tx1"/>
                  </w14:solidFill>
                </w14:textFill>
              </w:rPr>
              <w:t>固体废物污染防治措施：</w:t>
            </w:r>
            <w:r>
              <w:rPr>
                <w:rFonts w:ascii="Times New Roman" w:hAnsi="Times New Roman" w:eastAsia="宋体"/>
                <w:color w:val="000000" w:themeColor="text1"/>
                <w:sz w:val="24"/>
                <w:szCs w:val="24"/>
                <w:highlight w:val="none"/>
                <w14:textFill>
                  <w14:solidFill>
                    <w14:schemeClr w14:val="tx1"/>
                  </w14:solidFill>
                </w14:textFill>
              </w:rPr>
              <w:t>生活垃圾设置专门的堆放点，避免露天堆放，及时清理，运至生活垃圾填埋场妥善填埋。雨水沉淀池的泥沙定量清理进行外售</w:t>
            </w:r>
            <w:r>
              <w:rPr>
                <w:rFonts w:hint="eastAsia" w:ascii="Times New Roman" w:hAnsi="Times New Roman" w:eastAsia="宋体"/>
                <w:color w:val="000000" w:themeColor="text1"/>
                <w:sz w:val="24"/>
                <w:szCs w:val="24"/>
                <w:highlight w:val="none"/>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危险废物暂存于危险废物暂存间并委托有相应处理资质的单位进行处理。综上，本项目固体废物经措施后</w:t>
            </w:r>
            <w:r>
              <w:rPr>
                <w:rFonts w:hint="eastAsia" w:ascii="Times New Roman" w:hAnsi="Times New Roman" w:eastAsia="宋体"/>
                <w:color w:val="000000" w:themeColor="text1"/>
                <w:sz w:val="24"/>
                <w:szCs w:val="24"/>
                <w:highlight w:val="none"/>
                <w14:textFill>
                  <w14:solidFill>
                    <w14:schemeClr w14:val="tx1"/>
                  </w14:solidFill>
                </w14:textFill>
              </w:rPr>
              <w:t>对周围环境影响较小。</w:t>
            </w:r>
          </w:p>
          <w:p>
            <w:pPr>
              <w:pageBreakBefore w:val="0"/>
              <w:kinsoku/>
              <w:bidi w:val="0"/>
              <w:spacing w:beforeAutospacing="0" w:afterAutospacing="0" w:line="360" w:lineRule="auto"/>
              <w:ind w:firstLine="480" w:firstLineChars="200"/>
              <w:rPr>
                <w:rFonts w:hint="eastAsia" w:ascii="Times New Roman" w:hAnsi="Times New Roman" w:eastAsia="宋体"/>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危险废物的贮存应满足《危险废物贮存污染控制标准》（GB18597-2023）、</w:t>
            </w:r>
            <w:r>
              <w:rPr>
                <w:rFonts w:hint="eastAsia" w:ascii="Times New Roman" w:hAnsi="Times New Roman" w:eastAsia="宋体"/>
                <w:color w:val="000000" w:themeColor="text1"/>
                <w:sz w:val="24"/>
                <w:lang w:eastAsia="zh-CN"/>
                <w14:textFill>
                  <w14:solidFill>
                    <w14:schemeClr w14:val="tx1"/>
                  </w14:solidFill>
                </w14:textFill>
              </w:rPr>
              <w:t>《危险废物污染防治技术政策》</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的要求。因此，建设单位应分别设置一般固废贮存区和危险废物贮存间，将一般工业固体废物和危险废物分开贮存。同时，危险废物贮存间应满足到以下几点要求：</w:t>
            </w:r>
          </w:p>
          <w:p>
            <w:pPr>
              <w:pageBreakBefore w:val="0"/>
              <w:numPr>
                <w:ilvl w:val="0"/>
                <w:numId w:val="0"/>
              </w:numPr>
              <w:kinsoku/>
              <w:bidi w:val="0"/>
              <w:spacing w:beforeAutospacing="0" w:afterAutospacing="0" w:line="360" w:lineRule="auto"/>
              <w:ind w:firstLine="480" w:firstLineChars="200"/>
              <w:rPr>
                <w:rFonts w:hint="eastAsia" w:ascii="Times New Roman" w:hAnsi="Times New Roman" w:eastAsia="宋体"/>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①各种危险废物应按照不同的类别和性质，分别存放于专门的容器中（防渗），分类存放在各自的堆放区内，分层整齐堆放。堆放时从第一堆放区开始堆放，依此类推。各堆放区之间保留0.8m的间距，堆放区与地沟之间保持0.5m的间距，以保证空气畅通。</w:t>
            </w:r>
          </w:p>
          <w:p>
            <w:pPr>
              <w:pageBreakBefore w:val="0"/>
              <w:kinsoku/>
              <w:bidi w:val="0"/>
              <w:spacing w:beforeAutospacing="0" w:afterAutospacing="0" w:line="360" w:lineRule="auto"/>
              <w:ind w:firstLine="480" w:firstLineChars="200"/>
              <w:rPr>
                <w:rFonts w:hint="eastAsia" w:ascii="Times New Roman" w:hAnsi="Times New Roman" w:eastAsia="宋体"/>
                <w:color w:val="000000" w:themeColor="text1"/>
                <w:sz w:val="24"/>
                <w:lang w:eastAsia="zh-CN"/>
                <w14:textFill>
                  <w14:solidFill>
                    <w14:schemeClr w14:val="tx1"/>
                  </w14:solidFill>
                </w14:textFill>
              </w:rPr>
            </w:pP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②</w:t>
            </w:r>
            <w:r>
              <w:rPr>
                <w:rFonts w:hint="eastAsia" w:ascii="Times New Roman" w:hAnsi="Times New Roman" w:eastAsia="宋体"/>
                <w:color w:val="000000" w:themeColor="text1"/>
                <w:sz w:val="24"/>
                <w:lang w:val="en-US" w:eastAsia="zh-CN"/>
                <w14:textFill>
                  <w14:solidFill>
                    <w14:schemeClr w14:val="tx1"/>
                  </w14:solidFill>
                </w14:textFill>
              </w:rPr>
              <w:t>根据《</w:t>
            </w:r>
            <w:r>
              <w:rPr>
                <w:rFonts w:hint="eastAsia" w:ascii="Times New Roman" w:hAnsi="Times New Roman" w:eastAsia="宋体"/>
                <w:color w:val="000000" w:themeColor="text1"/>
                <w:sz w:val="24"/>
                <w14:textFill>
                  <w14:solidFill>
                    <w14:schemeClr w14:val="tx1"/>
                  </w14:solidFill>
                </w14:textFill>
              </w:rPr>
              <w:t>危险废物贮存污染控制标准》（GB18597-20</w:t>
            </w:r>
            <w:r>
              <w:rPr>
                <w:rFonts w:hint="eastAsia" w:ascii="Times New Roman" w:hAnsi="Times New Roman" w:eastAsia="宋体"/>
                <w:color w:val="000000" w:themeColor="text1"/>
                <w:sz w:val="24"/>
                <w:lang w:val="en-US" w:eastAsia="zh-CN"/>
                <w14:textFill>
                  <w14:solidFill>
                    <w14:schemeClr w14:val="tx1"/>
                  </w14:solidFill>
                </w14:textFill>
              </w:rPr>
              <w:t>23</w:t>
            </w:r>
            <w:r>
              <w:rPr>
                <w:rFonts w:hint="eastAsia" w:ascii="Times New Roman" w:hAnsi="Times New Roman" w:eastAsia="宋体"/>
                <w:color w:val="000000" w:themeColor="text1"/>
                <w:sz w:val="24"/>
                <w14:textFill>
                  <w14:solidFill>
                    <w14:schemeClr w14:val="tx1"/>
                  </w14:solidFill>
                </w14:textFill>
              </w:rPr>
              <w:t>）</w:t>
            </w:r>
            <w:r>
              <w:rPr>
                <w:rFonts w:hint="eastAsia" w:ascii="Times New Roman" w:hAnsi="Times New Roman" w:eastAsia="宋体"/>
                <w:color w:val="000000" w:themeColor="text1"/>
                <w:sz w:val="24"/>
                <w:lang w:eastAsia="zh-CN"/>
                <w14:textFill>
                  <w14:solidFill>
                    <w14:schemeClr w14:val="tx1"/>
                  </w14:solidFill>
                </w14:textFill>
              </w:rPr>
              <w:t>，并</w:t>
            </w:r>
            <w:r>
              <w:rPr>
                <w:rFonts w:hint="eastAsia" w:ascii="Times New Roman" w:hAnsi="Times New Roman" w:eastAsia="宋体"/>
                <w:color w:val="000000" w:themeColor="text1"/>
                <w:sz w:val="24"/>
                <w14:textFill>
                  <w14:solidFill>
                    <w14:schemeClr w14:val="tx1"/>
                  </w14:solidFill>
                </w14:textFill>
              </w:rPr>
              <w:t>参照《危险废物填埋场污染控制标准》（GB18598-2019）进行防渗设计</w:t>
            </w:r>
            <w:r>
              <w:rPr>
                <w:rFonts w:hint="eastAsia" w:ascii="Times New Roman" w:hAnsi="Times New Roman" w:eastAsia="宋体"/>
                <w:color w:val="000000" w:themeColor="text1"/>
                <w:sz w:val="24"/>
                <w:lang w:eastAsia="zh-CN"/>
                <w14:textFill>
                  <w14:solidFill>
                    <w14:schemeClr w14:val="tx1"/>
                  </w14:solidFill>
                </w14:textFill>
              </w:rPr>
              <w:t>，本项目</w:t>
            </w:r>
            <w:r>
              <w:rPr>
                <w:rFonts w:hint="eastAsia" w:ascii="Times New Roman" w:hAnsi="Times New Roman" w:eastAsia="宋体"/>
                <w:color w:val="000000" w:themeColor="text1"/>
                <w:sz w:val="24"/>
                <w14:textFill>
                  <w14:solidFill>
                    <w14:schemeClr w14:val="tx1"/>
                  </w14:solidFill>
                </w14:textFill>
              </w:rPr>
              <w:t>地面基础及内墙采取防渗措施</w:t>
            </w:r>
            <w:r>
              <w:rPr>
                <w:rStyle w:val="41"/>
                <w:rFonts w:hint="eastAsia" w:ascii="Times New Roman" w:hAnsi="Times New Roman" w:eastAsia="宋体"/>
                <w:color w:val="000000" w:themeColor="text1"/>
                <w:lang w:eastAsia="zh-CN"/>
                <w14:textFill>
                  <w14:solidFill>
                    <w14:schemeClr w14:val="tx1"/>
                  </w14:solidFill>
                </w14:textFill>
              </w:rPr>
              <w:t>，</w:t>
            </w:r>
            <w:r>
              <w:rPr>
                <w:rFonts w:hint="eastAsia" w:ascii="Times New Roman" w:hAnsi="Times New Roman" w:eastAsia="宋体"/>
                <w:color w:val="000000" w:themeColor="text1"/>
                <w:sz w:val="24"/>
                <w:lang w:eastAsia="zh-CN"/>
                <w14:textFill>
                  <w14:solidFill>
                    <w14:schemeClr w14:val="tx1"/>
                  </w14:solidFill>
                </w14:textFill>
              </w:rPr>
              <w:t>基础必须做到</w:t>
            </w:r>
            <w:r>
              <w:rPr>
                <w:rFonts w:hint="eastAsia" w:ascii="Times New Roman" w:hAnsi="Times New Roman" w:eastAsia="宋体"/>
                <w:color w:val="000000" w:themeColor="text1"/>
                <w:sz w:val="24"/>
                <w:lang w:val="en-US" w:eastAsia="zh-CN"/>
                <w14:textFill>
                  <w14:solidFill>
                    <w14:schemeClr w14:val="tx1"/>
                  </w14:solidFill>
                </w14:textFill>
              </w:rPr>
              <w:t>1m厚粘土层（渗透系数</w:t>
            </w:r>
            <w:r>
              <w:rPr>
                <w:rFonts w:hint="eastAsia" w:ascii="Times New Roman" w:hAnsi="Times New Roman" w:eastAsia="宋体"/>
                <w:color w:val="000000" w:themeColor="text1"/>
                <w:sz w:val="24"/>
                <w:lang w:val="en-US" w:eastAsia="zh-CN"/>
                <w14:textFill>
                  <w14:solidFill>
                    <w14:schemeClr w14:val="tx1"/>
                  </w14:solidFill>
                </w14:textFill>
              </w:rPr>
              <w:t>10</w:t>
            </w:r>
            <w:r>
              <w:rPr>
                <w:rFonts w:hint="eastAsia" w:ascii="Times New Roman" w:hAnsi="Times New Roman" w:eastAsia="宋体"/>
                <w:color w:val="000000" w:themeColor="text1"/>
                <w:sz w:val="24"/>
                <w:vertAlign w:val="superscript"/>
                <w:lang w:val="en-US" w:eastAsia="zh-CN"/>
                <w14:textFill>
                  <w14:solidFill>
                    <w14:schemeClr w14:val="tx1"/>
                  </w14:solidFill>
                </w14:textFill>
              </w:rPr>
              <w:t>-7</w:t>
            </w:r>
            <w:r>
              <w:rPr>
                <w:rFonts w:hint="eastAsia" w:ascii="Times New Roman" w:hAnsi="Times New Roman" w:eastAsia="宋体"/>
                <w:color w:val="000000" w:themeColor="text1"/>
                <w:sz w:val="24"/>
                <w:lang w:val="en-US" w:eastAsia="zh-CN"/>
                <w14:textFill>
                  <w14:solidFill>
                    <w14:schemeClr w14:val="tx1"/>
                  </w14:solidFill>
                </w14:textFill>
              </w:rPr>
              <w:t>cm/s）或者2mm厚高密度聚乙烯，或至少2mm厚（渗透系</w:t>
            </w:r>
            <w:r>
              <w:rPr>
                <w:rFonts w:hint="eastAsia" w:ascii="Times New Roman" w:hAnsi="Times New Roman" w:eastAsia="宋体"/>
                <w:color w:val="000000" w:themeColor="text1"/>
                <w:sz w:val="24"/>
                <w:lang w:val="en-US" w:eastAsia="zh-CN"/>
                <w14:textFill>
                  <w14:solidFill>
                    <w14:schemeClr w14:val="tx1"/>
                  </w14:solidFill>
                </w14:textFill>
              </w:rPr>
              <w:t>数10</w:t>
            </w:r>
            <w:r>
              <w:rPr>
                <w:rFonts w:hint="eastAsia" w:ascii="Times New Roman" w:hAnsi="Times New Roman" w:eastAsia="宋体"/>
                <w:color w:val="000000" w:themeColor="text1"/>
                <w:sz w:val="24"/>
                <w:vertAlign w:val="superscript"/>
                <w:lang w:val="en-US" w:eastAsia="zh-CN"/>
                <w14:textFill>
                  <w14:solidFill>
                    <w14:schemeClr w14:val="tx1"/>
                  </w14:solidFill>
                </w14:textFill>
              </w:rPr>
              <w:t>-10</w:t>
            </w:r>
            <w:r>
              <w:rPr>
                <w:rFonts w:hint="eastAsia" w:ascii="Times New Roman" w:hAnsi="Times New Roman" w:eastAsia="宋体"/>
                <w:color w:val="000000" w:themeColor="text1"/>
                <w:sz w:val="24"/>
                <w:lang w:val="en-US" w:eastAsia="zh-CN"/>
                <w14:textFill>
                  <w14:solidFill>
                    <w14:schemeClr w14:val="tx1"/>
                  </w14:solidFill>
                </w14:textFill>
              </w:rPr>
              <w:t>cm/s）的其他防渗材料</w:t>
            </w:r>
            <w:r>
              <w:rPr>
                <w:rFonts w:hint="eastAsia" w:ascii="Times New Roman" w:hAnsi="Times New Roman" w:eastAsia="宋体"/>
                <w:color w:val="000000" w:themeColor="text1"/>
                <w:sz w:val="24"/>
                <w14:textFill>
                  <w14:solidFill>
                    <w14:schemeClr w14:val="tx1"/>
                  </w14:solidFill>
                </w14:textFill>
              </w:rPr>
              <w:t>。</w:t>
            </w:r>
            <w:r>
              <w:rPr>
                <w:rFonts w:hint="eastAsia" w:ascii="Times New Roman" w:hAnsi="Times New Roman" w:eastAsia="宋体"/>
                <w:color w:val="000000" w:themeColor="text1"/>
                <w:sz w:val="24"/>
                <w:lang w:eastAsia="zh-CN"/>
                <w14:textFill>
                  <w14:solidFill>
                    <w14:schemeClr w14:val="tx1"/>
                  </w14:solidFill>
                </w14:textFill>
              </w:rPr>
              <w:t>用于存放液体危险废物的地方，还需有耐腐蚀的硬化地面，地表无裂缝。</w:t>
            </w:r>
          </w:p>
          <w:p>
            <w:pPr>
              <w:pageBreakBefore w:val="0"/>
              <w:numPr>
                <w:ilvl w:val="0"/>
                <w:numId w:val="0"/>
              </w:numPr>
              <w:kinsoku/>
              <w:bidi w:val="0"/>
              <w:spacing w:beforeAutospacing="0" w:afterAutospacing="0" w:line="360" w:lineRule="auto"/>
              <w:ind w:firstLine="480" w:firstLineChars="20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③应建有堵截泄漏的裙角，地面与裙角要用坚固防渗材料建造。应有隔离设施、报警装置和防风、防雨、防晒等措施。</w:t>
            </w:r>
          </w:p>
          <w:p>
            <w:pPr>
              <w:pageBreakBefore w:val="0"/>
              <w:numPr>
                <w:ilvl w:val="0"/>
                <w:numId w:val="0"/>
              </w:numPr>
              <w:kinsoku/>
              <w:bidi w:val="0"/>
              <w:spacing w:beforeAutospacing="0" w:afterAutospacing="0"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贮存能力分析：</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本项目危废产生量为12.7t/a，本项目在机修仓库西南侧设置了一座面积10m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的危废暂存间，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在正常转运和贮存的情况下，</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可满足本项目需求。</w:t>
            </w:r>
          </w:p>
          <w:p>
            <w:pPr>
              <w:pageBreakBefore w:val="0"/>
              <w:numPr>
                <w:ilvl w:val="0"/>
                <w:numId w:val="0"/>
              </w:numPr>
              <w:kinsoku/>
              <w:bidi w:val="0"/>
              <w:spacing w:beforeAutospacing="0" w:afterAutospacing="0" w:line="360" w:lineRule="auto"/>
              <w:ind w:firstLine="480" w:firstLineChars="20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本项目危险废物转运过程中工作人员应该熟悉危险废物特性并配备相应的防护装备，本项目危险废物主要为废机油及废机油桶，转运过程中应该认真检查危险废物容积的密封情况，避免转运过程中因容器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泄漏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造成的环境污染。</w:t>
            </w:r>
          </w:p>
          <w:p>
            <w:pPr>
              <w:pStyle w:val="144"/>
              <w:pageBreakBefore w:val="0"/>
              <w:kinsoku/>
              <w:bidi w:val="0"/>
              <w:adjustRightInd w:val="0"/>
              <w:snapToGrid w:val="0"/>
              <w:spacing w:beforeAutospacing="0" w:afterAutospacing="0" w:line="360" w:lineRule="auto"/>
              <w:ind w:firstLine="420"/>
              <w:jc w:val="left"/>
              <w:rPr>
                <w:rFonts w:hint="eastAsia" w:ascii="Times New Roman" w:hAnsi="Times New Roman" w:eastAsia="宋体"/>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b/>
                <w:bCs/>
                <w:color w:val="000000" w:themeColor="text1"/>
                <w:sz w:val="24"/>
                <w:szCs w:val="24"/>
                <w:highlight w:val="none"/>
                <w:lang w:val="en-US" w:eastAsia="zh-CN"/>
                <w14:textFill>
                  <w14:solidFill>
                    <w14:schemeClr w14:val="tx1"/>
                  </w14:solidFill>
                </w14:textFill>
              </w:rPr>
              <w:t>5、生态环境防治措施</w:t>
            </w:r>
          </w:p>
          <w:p>
            <w:pPr>
              <w:pStyle w:val="144"/>
              <w:pageBreakBefore w:val="0"/>
              <w:kinsoku/>
              <w:bidi w:val="0"/>
              <w:adjustRightInd w:val="0"/>
              <w:snapToGrid w:val="0"/>
              <w:spacing w:beforeAutospacing="0" w:afterAutospacing="0" w:line="360" w:lineRule="auto"/>
              <w:ind w:firstLine="420"/>
              <w:jc w:val="left"/>
              <w:rPr>
                <w:rFonts w:hint="eastAsia" w:ascii="Times New Roman" w:hAnsi="Times New Roman" w:eastAsia="宋体"/>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4"/>
                <w:szCs w:val="24"/>
                <w:highlight w:val="none"/>
                <w:lang w:val="en-US" w:eastAsia="zh-CN"/>
                <w14:textFill>
                  <w14:solidFill>
                    <w14:schemeClr w14:val="tx1"/>
                  </w14:solidFill>
                </w14:textFill>
              </w:rPr>
              <w:t>①加强生态环境及生物多样性保护的宣教和管理力度，做好对水上作业人员环境保护、生物多样性保护方面的宣传教育，严禁捕杀鱼类等水生生物。</w:t>
            </w:r>
          </w:p>
          <w:p>
            <w:pPr>
              <w:pStyle w:val="144"/>
              <w:pageBreakBefore w:val="0"/>
              <w:kinsoku/>
              <w:bidi w:val="0"/>
              <w:adjustRightInd w:val="0"/>
              <w:snapToGrid w:val="0"/>
              <w:spacing w:beforeAutospacing="0" w:afterAutospacing="0" w:line="360" w:lineRule="auto"/>
              <w:ind w:firstLine="420"/>
              <w:jc w:val="left"/>
              <w:rPr>
                <w:rFonts w:hint="eastAsia" w:ascii="Times New Roman" w:hAnsi="Times New Roman" w:eastAsia="宋体"/>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4"/>
                <w:szCs w:val="24"/>
                <w:highlight w:val="none"/>
                <w:lang w:val="en-US" w:eastAsia="zh-CN"/>
                <w14:textFill>
                  <w14:solidFill>
                    <w14:schemeClr w14:val="tx1"/>
                  </w14:solidFill>
                </w14:textFill>
              </w:rPr>
              <w:t>②到岸船舶不得在码头水域内排放船舶舱底油污水和生活污水，由本码头接收后应交由有资质的单位处置。</w:t>
            </w:r>
          </w:p>
          <w:p>
            <w:pPr>
              <w:pStyle w:val="144"/>
              <w:pageBreakBefore w:val="0"/>
              <w:kinsoku/>
              <w:bidi w:val="0"/>
              <w:adjustRightInd w:val="0"/>
              <w:snapToGrid w:val="0"/>
              <w:spacing w:beforeAutospacing="0" w:afterAutospacing="0" w:line="360" w:lineRule="auto"/>
              <w:ind w:firstLine="420"/>
              <w:jc w:val="left"/>
              <w:rPr>
                <w:rFonts w:hint="eastAsia" w:ascii="Times New Roman" w:hAnsi="Times New Roman" w:eastAsia="宋体"/>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4"/>
                <w:szCs w:val="24"/>
                <w:highlight w:val="none"/>
                <w:lang w:val="en-US" w:eastAsia="zh-CN"/>
                <w14:textFill>
                  <w14:solidFill>
                    <w14:schemeClr w14:val="tx1"/>
                  </w14:solidFill>
                </w14:textFill>
              </w:rPr>
              <w:t>③船舶废物不得向水域排放或堆放在水域附近，由本码头收集上岸后由环卫部门统一处置。</w:t>
            </w:r>
          </w:p>
          <w:p>
            <w:pPr>
              <w:pStyle w:val="144"/>
              <w:pageBreakBefore w:val="0"/>
              <w:kinsoku/>
              <w:bidi w:val="0"/>
              <w:adjustRightInd w:val="0"/>
              <w:snapToGrid w:val="0"/>
              <w:spacing w:beforeAutospacing="0" w:afterAutospacing="0" w:line="360" w:lineRule="auto"/>
              <w:ind w:firstLine="420"/>
              <w:jc w:val="left"/>
              <w:rPr>
                <w:rFonts w:hint="eastAsia" w:ascii="Times New Roman" w:hAnsi="Times New Roman" w:eastAsia="宋体"/>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4"/>
                <w:szCs w:val="24"/>
                <w:highlight w:val="none"/>
                <w:lang w:val="en-US" w:eastAsia="zh-CN"/>
                <w14:textFill>
                  <w14:solidFill>
                    <w14:schemeClr w14:val="tx1"/>
                  </w14:solidFill>
                </w14:textFill>
              </w:rPr>
              <w:t>④营运期码头装卸作业完成后及时对码头面进行清扫，防止码头面雨水可能形成的污染，各种固体废物均进行收集处理，不得随意抛弃至河流中。</w:t>
            </w:r>
          </w:p>
          <w:p>
            <w:pPr>
              <w:pStyle w:val="144"/>
              <w:pageBreakBefore w:val="0"/>
              <w:kinsoku/>
              <w:bidi w:val="0"/>
              <w:adjustRightInd w:val="0"/>
              <w:snapToGrid w:val="0"/>
              <w:spacing w:beforeAutospacing="0" w:afterAutospacing="0" w:line="360" w:lineRule="auto"/>
              <w:ind w:firstLine="420"/>
              <w:jc w:val="left"/>
              <w:rPr>
                <w:rFonts w:hint="default" w:ascii="Times New Roman" w:hAnsi="Times New Roman" w:eastAsia="宋体"/>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b w:val="0"/>
                <w:bCs w:val="0"/>
                <w:color w:val="000000" w:themeColor="text1"/>
                <w:sz w:val="24"/>
                <w:szCs w:val="24"/>
                <w:highlight w:val="none"/>
                <w:lang w:val="en-US" w:eastAsia="zh-CN"/>
                <w14:textFill>
                  <w14:solidFill>
                    <w14:schemeClr w14:val="tx1"/>
                  </w14:solidFill>
                </w14:textFill>
              </w:rPr>
              <w:t>⑤严格执行本报告提出的事故风险防范与应急措施，杜绝发生事故排放，制定应急预案，避免由于事故排放导致串场河水生态环境改变等现象的发生。</w:t>
            </w:r>
          </w:p>
          <w:p>
            <w:pPr>
              <w:pStyle w:val="144"/>
              <w:pageBreakBefore w:val="0"/>
              <w:kinsoku/>
              <w:bidi w:val="0"/>
              <w:adjustRightInd w:val="0"/>
              <w:snapToGrid w:val="0"/>
              <w:spacing w:beforeAutospacing="0" w:afterAutospacing="0" w:line="360" w:lineRule="auto"/>
              <w:ind w:firstLine="420"/>
              <w:jc w:val="left"/>
              <w:rPr>
                <w:rFonts w:ascii="Times New Roman" w:hAnsi="Times New Roman" w:eastAsia="宋体"/>
                <w:b/>
                <w:bCs/>
                <w:color w:val="000000" w:themeColor="text1"/>
                <w:sz w:val="24"/>
                <w:szCs w:val="24"/>
                <w:highlight w:val="none"/>
                <w14:textFill>
                  <w14:solidFill>
                    <w14:schemeClr w14:val="tx1"/>
                  </w14:solidFill>
                </w14:textFill>
              </w:rPr>
            </w:pPr>
            <w:r>
              <w:rPr>
                <w:rFonts w:hint="eastAsia" w:ascii="Times New Roman" w:hAnsi="Times New Roman" w:eastAsia="宋体"/>
                <w:b/>
                <w:bCs/>
                <w:color w:val="000000" w:themeColor="text1"/>
                <w:sz w:val="24"/>
                <w:szCs w:val="24"/>
                <w:highlight w:val="none"/>
                <w:lang w:val="en-US" w:eastAsia="zh-CN"/>
                <w14:textFill>
                  <w14:solidFill>
                    <w14:schemeClr w14:val="tx1"/>
                  </w14:solidFill>
                </w14:textFill>
              </w:rPr>
              <w:t>6</w:t>
            </w:r>
            <w:r>
              <w:rPr>
                <w:rFonts w:hint="eastAsia" w:ascii="Times New Roman" w:hAnsi="Times New Roman" w:eastAsia="宋体"/>
                <w:b/>
                <w:bCs/>
                <w:color w:val="000000" w:themeColor="text1"/>
                <w:sz w:val="24"/>
                <w:szCs w:val="24"/>
                <w:highlight w:val="none"/>
                <w:lang w:eastAsia="zh-CN"/>
                <w14:textFill>
                  <w14:solidFill>
                    <w14:schemeClr w14:val="tx1"/>
                  </w14:solidFill>
                </w14:textFill>
              </w:rPr>
              <w:t>、环境风险</w:t>
            </w:r>
            <w:r>
              <w:rPr>
                <w:rFonts w:ascii="Times New Roman" w:hAnsi="Times New Roman" w:eastAsia="宋体"/>
                <w:b/>
                <w:bCs/>
                <w:color w:val="000000" w:themeColor="text1"/>
                <w:sz w:val="24"/>
                <w:szCs w:val="24"/>
                <w:highlight w:val="none"/>
                <w14:textFill>
                  <w14:solidFill>
                    <w14:schemeClr w14:val="tx1"/>
                  </w14:solidFill>
                </w14:textFill>
              </w:rPr>
              <w:t>防治措施：</w:t>
            </w:r>
          </w:p>
          <w:p>
            <w:pPr>
              <w:pStyle w:val="144"/>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20"/>
              <w:jc w:val="both"/>
              <w:textAlignment w:val="auto"/>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 xml:space="preserve">①实施船舶码头靠泊和锚地锚泊制度，以防锚地船只脱锚、碰撞、挤压、搁浅、触礁等事故发生。 </w:t>
            </w:r>
          </w:p>
          <w:p>
            <w:pPr>
              <w:pStyle w:val="144"/>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20"/>
              <w:jc w:val="both"/>
              <w:textAlignment w:val="auto"/>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②码头应根据靠泊船型，装备符合工程要求的系船设施和防撞靠泊设施。</w:t>
            </w:r>
          </w:p>
          <w:p>
            <w:pPr>
              <w:pStyle w:val="144"/>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firstLine="420"/>
              <w:jc w:val="both"/>
              <w:textAlignment w:val="auto"/>
              <w:rPr>
                <w:rFonts w:ascii="Times New Roman" w:hAnsi="Times New Roman" w:eastAsia="宋体" w:cs="Times New Roman"/>
                <w:color w:val="000000" w:themeColor="text1"/>
                <w:sz w:val="24"/>
                <w:szCs w:val="24"/>
                <w:highlight w:val="none"/>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③注意做好</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与其他</w:t>
            </w:r>
            <w:r>
              <w:rPr>
                <w:rFonts w:ascii="Times New Roman" w:hAnsi="Times New Roman" w:eastAsia="宋体" w:cs="Times New Roman"/>
                <w:color w:val="000000" w:themeColor="text1"/>
                <w:sz w:val="24"/>
                <w:szCs w:val="24"/>
                <w:highlight w:val="none"/>
                <w14:textFill>
                  <w14:solidFill>
                    <w14:schemeClr w14:val="tx1"/>
                  </w14:solidFill>
                </w14:textFill>
              </w:rPr>
              <w:t xml:space="preserve">泊位作业船舶的协调工作，防范由于调度失误引起的船舶碰撞和溢油事故。 </w:t>
            </w:r>
          </w:p>
          <w:p>
            <w:pPr>
              <w:pStyle w:val="22"/>
              <w:keepNext w:val="0"/>
              <w:keepLines w:val="0"/>
              <w:pageBreakBefore w:val="0"/>
              <w:widowControl w:val="0"/>
              <w:kinsoku/>
              <w:wordWrap/>
              <w:overflowPunct/>
              <w:topLinePunct w:val="0"/>
              <w:autoSpaceDE/>
              <w:autoSpaceDN/>
              <w:bidi w:val="0"/>
              <w:spacing w:beforeAutospacing="0" w:after="0" w:afterAutospacing="0" w:line="360" w:lineRule="auto"/>
              <w:ind w:left="0" w:leftChars="0"/>
              <w:jc w:val="both"/>
              <w:textAlignment w:val="auto"/>
              <w:rPr>
                <w:rFonts w:hint="eastAsia" w:ascii="Times New Roman" w:hAnsi="Times New Roman" w:eastAsia="宋体"/>
                <w:color w:val="000000" w:themeColor="text1"/>
                <w:highlight w:val="none"/>
                <w:lang w:val="en-US" w:eastAsia="zh-CN"/>
                <w14:textFill>
                  <w14:solidFill>
                    <w14:schemeClr w14:val="tx1"/>
                  </w14:solidFill>
                </w14:textFill>
              </w:rPr>
            </w:pPr>
            <w:r>
              <w:rPr>
                <w:rFonts w:ascii="Times New Roman" w:hAnsi="Times New Roman" w:eastAsia="宋体" w:cs="Times New Roman"/>
                <w:color w:val="000000" w:themeColor="text1"/>
                <w:sz w:val="24"/>
                <w:szCs w:val="24"/>
                <w:highlight w:val="none"/>
                <w14:textFill>
                  <w14:solidFill>
                    <w14:schemeClr w14:val="tx1"/>
                  </w14:solidFill>
                </w14:textFill>
              </w:rPr>
              <w:t>④</w:t>
            </w:r>
            <w:r>
              <w:rPr>
                <w:rFonts w:ascii="Times New Roman" w:hAnsi="Times New Roman" w:eastAsia="宋体"/>
                <w:color w:val="000000" w:themeColor="text1"/>
                <w:sz w:val="24"/>
                <w:szCs w:val="24"/>
                <w:highlight w:val="none"/>
                <w14:textFill>
                  <w14:solidFill>
                    <w14:schemeClr w14:val="tx1"/>
                  </w14:solidFill>
                </w14:textFill>
              </w:rPr>
              <w:t>建立准确、高效的事故防范机制。加强环境管理，对进出港船舶应制定严格管理制度，包括船舶进出港区、进出锚地的引航员制度、引航员职责、业务技术培训与考核及锚泊间距、值班制度等，减少船舶事故发生可能性。</w:t>
            </w:r>
          </w:p>
          <w:p>
            <w:pPr>
              <w:pageBreakBefore w:val="0"/>
              <w:widowControl w:val="0"/>
              <w:kinsoku/>
              <w:autoSpaceDE w:val="0"/>
              <w:autoSpaceDN w:val="0"/>
              <w:bidi w:val="0"/>
              <w:adjustRightInd w:val="0"/>
              <w:snapToGrid w:val="0"/>
              <w:spacing w:beforeAutospacing="0" w:afterAutospacing="0" w:line="360" w:lineRule="auto"/>
              <w:ind w:firstLine="480" w:firstLineChars="200"/>
              <w:jc w:val="both"/>
              <w:rPr>
                <w:rFonts w:hint="default" w:ascii="Times New Roman" w:hAnsi="Times New Roman" w:eastAsia="宋体" w:cs="Times New Roman"/>
                <w:color w:val="000000" w:themeColor="text1"/>
                <w:sz w:val="24"/>
                <w:szCs w:val="24"/>
                <w:highlight w:val="none"/>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456" w:type="dxa"/>
            <w:vAlign w:val="center"/>
          </w:tcPr>
          <w:p>
            <w:pPr>
              <w:pageBreakBefore w:val="0"/>
              <w:kinsoku/>
              <w:bidi w:val="0"/>
              <w:adjustRightInd w:val="0"/>
              <w:snapToGrid w:val="0"/>
              <w:spacing w:beforeAutospacing="0" w:afterAutospacing="0"/>
              <w:jc w:val="center"/>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其他</w:t>
            </w:r>
          </w:p>
        </w:tc>
        <w:tc>
          <w:tcPr>
            <w:tcW w:w="8754" w:type="dxa"/>
            <w:vAlign w:val="top"/>
          </w:tcPr>
          <w:p>
            <w:pPr>
              <w:pStyle w:val="11"/>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pPr>
            <w:bookmarkStart w:id="76" w:name="_Toc28665"/>
            <w:bookmarkStart w:id="77" w:name="_Toc20414"/>
            <w:bookmarkStart w:id="78" w:name="_Toc522182569"/>
            <w:bookmarkStart w:id="79" w:name="_Toc519504002"/>
            <w:r>
              <w:rPr>
                <w:rFonts w:hint="eastAsia" w:ascii="Times New Roman" w:hAnsi="Times New Roman" w:eastAsia="宋体" w:cs="Times New Roman"/>
                <w:color w:val="000000" w:themeColor="text1"/>
                <w:sz w:val="32"/>
                <w:szCs w:val="32"/>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32"/>
                <w:szCs w:val="32"/>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环境管理</w:t>
            </w:r>
            <w:bookmarkEnd w:id="76"/>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环境管理是采用技术、经济、法律等多种手段，强化保护环境、协调生产和经济发展，对项目而言，通过加强环境保护工作，可树立良好的形象，减轻项目对环境的不良影响。</w:t>
            </w:r>
          </w:p>
          <w:p>
            <w:pPr>
              <w:pStyle w:val="1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bookmarkStart w:id="80" w:name="_Toc419321187"/>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5.7</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.1环境管理及监督计划</w:t>
            </w:r>
            <w:bookmarkEnd w:id="80"/>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根据项目所在区域的环境特点，在运行主管单位分设环境管理部门，配备相应专业的管理人员1人。</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环境管理人员的职能为：</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（1）制定和实施各项环境监督管理计划；</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（2）检查各治理设施运行情况，及时处理出现的问题，保证治理设施的正常运行；</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（3）协调配合上级环保主管部门所进行的环境调查等活动。</w:t>
            </w:r>
          </w:p>
          <w:p>
            <w:pPr>
              <w:pStyle w:val="1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bookmarkStart w:id="81" w:name="_Toc419321188"/>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5.7</w:t>
            </w:r>
            <w:r>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t>.2环境管理内容</w:t>
            </w:r>
            <w:bookmarkEnd w:id="77"/>
            <w:bookmarkEnd w:id="78"/>
            <w:bookmarkEnd w:id="79"/>
            <w:bookmarkEnd w:id="81"/>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bookmarkStart w:id="82" w:name="_Toc11482"/>
            <w:bookmarkStart w:id="83" w:name="_Toc519504003"/>
            <w:bookmarkStart w:id="84" w:name="_Toc522182570"/>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施工现场的环境管理包括施工期污废水处理、防尘降噪、固废处理、生态保护等。组织落实环境监测计划、分析、整理监测结果。并进行有关环保法规的宣传，对</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相关</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人员进行环保培训</w:t>
            </w:r>
            <w:bookmarkEnd w:id="82"/>
            <w:bookmarkEnd w:id="83"/>
            <w:bookmarkEnd w:id="84"/>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，提高工作人员的环保意识。</w:t>
            </w:r>
          </w:p>
          <w:p>
            <w:pPr>
              <w:pStyle w:val="11"/>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32"/>
                <w:szCs w:val="32"/>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环境监测要求</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0" w:firstLineChars="200"/>
              <w:jc w:val="both"/>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根据《排污单位自行监测技术指南总则》（HJ819-2017）、《排污许可证申请与核发技术规范</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sz w:val="24"/>
                <w:szCs w:val="24"/>
                <w:highlight w:val="none"/>
                <w14:textFill>
                  <w14:solidFill>
                    <w14:schemeClr w14:val="tx1"/>
                  </w14:solidFill>
                </w14:textFill>
              </w:rPr>
              <w:t>码头》（HJ1107-2020）中的相关要求制定营运期污染源监测计划，详见下表。具体监测要求如表</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bCs/>
                <w:color w:val="000000" w:themeColor="text1"/>
                <w:sz w:val="24"/>
                <w:szCs w:val="24"/>
                <w:highlight w:val="none"/>
                <w14:textFill>
                  <w14:solidFill>
                    <w14:schemeClr w14:val="tx1"/>
                  </w14:solidFill>
                </w14:textFill>
              </w:rPr>
              <w:t>1。</w:t>
            </w:r>
          </w:p>
          <w:p>
            <w:pPr>
              <w:pStyle w:val="23"/>
              <w:pageBreakBefore w:val="0"/>
              <w:kinsoku/>
              <w:bidi w:val="0"/>
              <w:spacing w:before="0" w:beforeAutospacing="0" w:after="0" w:afterAutospacing="0" w:line="240" w:lineRule="auto"/>
              <w:ind w:right="0" w:firstLine="0" w:firstLineChars="0"/>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表</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5.</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1  监测内容一览表</w:t>
            </w:r>
          </w:p>
          <w:tbl>
            <w:tblPr>
              <w:tblStyle w:val="33"/>
              <w:tblW w:w="853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2613"/>
              <w:gridCol w:w="2150"/>
              <w:gridCol w:w="1306"/>
              <w:gridCol w:w="11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3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监测项目</w:t>
                  </w:r>
                </w:p>
              </w:tc>
              <w:tc>
                <w:tcPr>
                  <w:tcW w:w="2613" w:type="dxa"/>
                  <w:tcBorders>
                    <w:tl2br w:val="nil"/>
                    <w:tr2bl w:val="nil"/>
                  </w:tcBorders>
                  <w:tcMar>
                    <w:left w:w="6"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监测点位</w:t>
                  </w:r>
                </w:p>
              </w:tc>
              <w:tc>
                <w:tcPr>
                  <w:tcW w:w="2150" w:type="dxa"/>
                  <w:tcBorders>
                    <w:tl2br w:val="nil"/>
                    <w:tr2bl w:val="nil"/>
                  </w:tcBorders>
                  <w:tcMar>
                    <w:left w:w="6"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监测因子</w:t>
                  </w:r>
                </w:p>
              </w:tc>
              <w:tc>
                <w:tcPr>
                  <w:tcW w:w="1306" w:type="dxa"/>
                  <w:tcBorders>
                    <w:tl2br w:val="nil"/>
                    <w:tr2bl w:val="nil"/>
                  </w:tcBorders>
                  <w:tcMar>
                    <w:left w:w="6"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监测频率</w:t>
                  </w:r>
                </w:p>
              </w:tc>
              <w:tc>
                <w:tcPr>
                  <w:tcW w:w="1137" w:type="dxa"/>
                  <w:tcBorders>
                    <w:tl2br w:val="nil"/>
                    <w:tr2bl w:val="nil"/>
                  </w:tcBorders>
                  <w:tcMar>
                    <w:left w:w="6"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监测单位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8535"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both"/>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施工期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32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废气</w:t>
                  </w:r>
                </w:p>
              </w:tc>
              <w:tc>
                <w:tcPr>
                  <w:tcW w:w="2613" w:type="dxa"/>
                  <w:tcBorders>
                    <w:tl2br w:val="nil"/>
                    <w:tr2bl w:val="nil"/>
                  </w:tcBorders>
                  <w:tcMar>
                    <w:left w:w="6"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搅拌料仓顶排气筒</w:t>
                  </w:r>
                </w:p>
              </w:tc>
              <w:tc>
                <w:tcPr>
                  <w:tcW w:w="2150" w:type="dxa"/>
                  <w:tcBorders>
                    <w:tl2br w:val="nil"/>
                    <w:tr2bl w:val="nil"/>
                  </w:tcBorders>
                  <w:tcMar>
                    <w:left w:w="6"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颗粒物</w:t>
                  </w:r>
                </w:p>
              </w:tc>
              <w:tc>
                <w:tcPr>
                  <w:tcW w:w="1306" w:type="dxa"/>
                  <w:tcBorders>
                    <w:tl2br w:val="nil"/>
                    <w:tr2bl w:val="nil"/>
                  </w:tcBorders>
                  <w:tcMar>
                    <w:left w:w="6"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1次/年</w:t>
                  </w:r>
                </w:p>
              </w:tc>
              <w:tc>
                <w:tcPr>
                  <w:tcW w:w="1137" w:type="dxa"/>
                  <w:vMerge w:val="restart"/>
                  <w:tcBorders>
                    <w:tl2br w:val="nil"/>
                    <w:tr2bl w:val="nil"/>
                  </w:tcBorders>
                  <w:tcMar>
                    <w:left w:w="6"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有资质单位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32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2613" w:type="dxa"/>
                  <w:tcBorders>
                    <w:tl2br w:val="nil"/>
                    <w:tr2bl w:val="nil"/>
                  </w:tcBorders>
                  <w:tcMar>
                    <w:left w:w="6"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厂界无组织</w:t>
                  </w:r>
                </w:p>
              </w:tc>
              <w:tc>
                <w:tcPr>
                  <w:tcW w:w="2150" w:type="dxa"/>
                  <w:tcBorders>
                    <w:tl2br w:val="nil"/>
                    <w:tr2bl w:val="nil"/>
                  </w:tcBorders>
                  <w:tcMar>
                    <w:left w:w="6"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颗粒物</w:t>
                  </w:r>
                </w:p>
              </w:tc>
              <w:tc>
                <w:tcPr>
                  <w:tcW w:w="1306" w:type="dxa"/>
                  <w:tcBorders>
                    <w:tl2br w:val="nil"/>
                    <w:tr2bl w:val="nil"/>
                  </w:tcBorders>
                  <w:tcMar>
                    <w:left w:w="6"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1次/</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半</w:t>
                  </w:r>
                  <w:r>
                    <w:rPr>
                      <w:rFonts w:hint="default" w:ascii="Times New Roman" w:hAnsi="Times New Roman" w:eastAsia="宋体" w:cs="Times New Roman"/>
                      <w:color w:val="000000" w:themeColor="text1"/>
                      <w:sz w:val="21"/>
                      <w:szCs w:val="21"/>
                      <w:highlight w:val="none"/>
                      <w14:textFill>
                        <w14:solidFill>
                          <w14:schemeClr w14:val="tx1"/>
                        </w14:solidFill>
                      </w14:textFill>
                    </w:rPr>
                    <w:t>年</w:t>
                  </w:r>
                </w:p>
              </w:tc>
              <w:tc>
                <w:tcPr>
                  <w:tcW w:w="1137" w:type="dxa"/>
                  <w:vMerge w:val="continue"/>
                  <w:tcBorders>
                    <w:tl2br w:val="nil"/>
                    <w:tr2bl w:val="nil"/>
                  </w:tcBorders>
                  <w:tcMar>
                    <w:left w:w="6"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65" w:hRule="exact"/>
                <w:jc w:val="center"/>
              </w:trPr>
              <w:tc>
                <w:tcPr>
                  <w:tcW w:w="13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生活污水</w:t>
                  </w:r>
                </w:p>
              </w:tc>
              <w:tc>
                <w:tcPr>
                  <w:tcW w:w="2613" w:type="dxa"/>
                  <w:tcBorders>
                    <w:tl2br w:val="nil"/>
                    <w:tr2bl w:val="nil"/>
                  </w:tcBorders>
                  <w:tcMar>
                    <w:left w:w="6"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生活污水排放口</w:t>
                  </w:r>
                </w:p>
              </w:tc>
              <w:tc>
                <w:tcPr>
                  <w:tcW w:w="2150" w:type="dxa"/>
                  <w:tcBorders>
                    <w:tl2br w:val="nil"/>
                    <w:tr2bl w:val="nil"/>
                  </w:tcBorders>
                  <w:tcMar>
                    <w:left w:w="6"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pH、化学需氧量</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（CODCr）、悬浮物、氨氮、磷酸盐（总磷）</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306" w:type="dxa"/>
                  <w:tcBorders>
                    <w:tl2br w:val="nil"/>
                    <w:tr2bl w:val="nil"/>
                  </w:tcBorders>
                  <w:tcMar>
                    <w:left w:w="6"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1次/年</w:t>
                  </w:r>
                </w:p>
              </w:tc>
              <w:tc>
                <w:tcPr>
                  <w:tcW w:w="1137" w:type="dxa"/>
                  <w:vMerge w:val="continue"/>
                  <w:tcBorders>
                    <w:tl2br w:val="nil"/>
                    <w:tr2bl w:val="nil"/>
                  </w:tcBorders>
                  <w:tcMar>
                    <w:left w:w="6"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8535" w:type="dxa"/>
                  <w:gridSpan w:val="5"/>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both"/>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运营期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3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噪声</w:t>
                  </w:r>
                </w:p>
              </w:tc>
              <w:tc>
                <w:tcPr>
                  <w:tcW w:w="2613" w:type="dxa"/>
                  <w:tcBorders>
                    <w:tl2br w:val="nil"/>
                    <w:tr2bl w:val="nil"/>
                  </w:tcBorders>
                  <w:tcMar>
                    <w:left w:w="6"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厂界</w:t>
                  </w:r>
                </w:p>
              </w:tc>
              <w:tc>
                <w:tcPr>
                  <w:tcW w:w="2150" w:type="dxa"/>
                  <w:tcBorders>
                    <w:tl2br w:val="nil"/>
                    <w:tr2bl w:val="nil"/>
                  </w:tcBorders>
                  <w:tcMar>
                    <w:left w:w="6"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等效连续A声级</w:t>
                  </w:r>
                </w:p>
              </w:tc>
              <w:tc>
                <w:tcPr>
                  <w:tcW w:w="1306" w:type="dxa"/>
                  <w:tcBorders>
                    <w:tl2br w:val="nil"/>
                    <w:tr2bl w:val="nil"/>
                  </w:tcBorders>
                  <w:tcMar>
                    <w:left w:w="6"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1次/季</w:t>
                  </w:r>
                </w:p>
              </w:tc>
              <w:tc>
                <w:tcPr>
                  <w:tcW w:w="1137" w:type="dxa"/>
                  <w:vMerge w:val="restart"/>
                  <w:tcBorders>
                    <w:tl2br w:val="nil"/>
                    <w:tr2bl w:val="nil"/>
                  </w:tcBorders>
                  <w:tcMar>
                    <w:left w:w="6"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有资质单位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exact"/>
                <w:jc w:val="center"/>
              </w:trPr>
              <w:tc>
                <w:tcPr>
                  <w:tcW w:w="13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废气</w:t>
                  </w:r>
                </w:p>
              </w:tc>
              <w:tc>
                <w:tcPr>
                  <w:tcW w:w="2613" w:type="dxa"/>
                  <w:tcBorders>
                    <w:tl2br w:val="nil"/>
                    <w:tr2bl w:val="nil"/>
                  </w:tcBorders>
                  <w:tcMar>
                    <w:left w:w="6"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厂界无组织</w:t>
                  </w:r>
                </w:p>
              </w:tc>
              <w:tc>
                <w:tcPr>
                  <w:tcW w:w="2150" w:type="dxa"/>
                  <w:tcBorders>
                    <w:tl2br w:val="nil"/>
                    <w:tr2bl w:val="nil"/>
                  </w:tcBorders>
                  <w:tcMar>
                    <w:left w:w="6"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颗粒物</w:t>
                  </w:r>
                </w:p>
              </w:tc>
              <w:tc>
                <w:tcPr>
                  <w:tcW w:w="1306" w:type="dxa"/>
                  <w:tcBorders>
                    <w:tl2br w:val="nil"/>
                    <w:tr2bl w:val="nil"/>
                  </w:tcBorders>
                  <w:tcMar>
                    <w:left w:w="6"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1次/</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半</w:t>
                  </w:r>
                  <w:r>
                    <w:rPr>
                      <w:rFonts w:hint="default" w:ascii="Times New Roman" w:hAnsi="Times New Roman" w:eastAsia="宋体" w:cs="Times New Roman"/>
                      <w:color w:val="000000" w:themeColor="text1"/>
                      <w:sz w:val="21"/>
                      <w:szCs w:val="21"/>
                      <w:highlight w:val="none"/>
                      <w14:textFill>
                        <w14:solidFill>
                          <w14:schemeClr w14:val="tx1"/>
                        </w14:solidFill>
                      </w14:textFill>
                    </w:rPr>
                    <w:t>年</w:t>
                  </w:r>
                </w:p>
              </w:tc>
              <w:tc>
                <w:tcPr>
                  <w:tcW w:w="1137" w:type="dxa"/>
                  <w:vMerge w:val="continue"/>
                  <w:tcBorders>
                    <w:tl2br w:val="nil"/>
                    <w:tr2bl w:val="nil"/>
                  </w:tcBorders>
                  <w:tcMar>
                    <w:left w:w="6"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350" w:hRule="exact"/>
                <w:jc w:val="center"/>
              </w:trPr>
              <w:tc>
                <w:tcPr>
                  <w:tcW w:w="13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生活污水</w:t>
                  </w:r>
                </w:p>
              </w:tc>
              <w:tc>
                <w:tcPr>
                  <w:tcW w:w="2613" w:type="dxa"/>
                  <w:tcBorders>
                    <w:tl2br w:val="nil"/>
                    <w:tr2bl w:val="nil"/>
                  </w:tcBorders>
                  <w:tcMar>
                    <w:left w:w="6"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生活污水排放口</w:t>
                  </w:r>
                </w:p>
              </w:tc>
              <w:tc>
                <w:tcPr>
                  <w:tcW w:w="2150" w:type="dxa"/>
                  <w:tcBorders>
                    <w:tl2br w:val="nil"/>
                    <w:tr2bl w:val="nil"/>
                  </w:tcBorders>
                  <w:tcMar>
                    <w:left w:w="6"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pH、化学需氧量（CODCr）、悬浮 物、氨氮、磷酸盐（总磷）</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p>
              </w:tc>
              <w:tc>
                <w:tcPr>
                  <w:tcW w:w="1306" w:type="dxa"/>
                  <w:tcBorders>
                    <w:tl2br w:val="nil"/>
                    <w:tr2bl w:val="nil"/>
                  </w:tcBorders>
                  <w:tcMar>
                    <w:left w:w="6"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1次/年</w:t>
                  </w:r>
                </w:p>
              </w:tc>
              <w:tc>
                <w:tcPr>
                  <w:tcW w:w="1137" w:type="dxa"/>
                  <w:vMerge w:val="continue"/>
                  <w:tcBorders>
                    <w:tl2br w:val="nil"/>
                    <w:tr2bl w:val="nil"/>
                  </w:tcBorders>
                  <w:tcMar>
                    <w:left w:w="6" w:type="dxa"/>
                    <w:right w:w="6" w:type="dxa"/>
                  </w:tcMar>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bl>
          <w:p>
            <w:pPr>
              <w:pStyle w:val="11"/>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32"/>
                <w:szCs w:val="32"/>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环境</w:t>
            </w:r>
            <w:r>
              <w:rPr>
                <w:rFonts w:hint="eastAsia" w:ascii="Times New Roman" w:hAnsi="Times New Roman" w:eastAsia="宋体" w:cs="Times New Roman"/>
                <w:color w:val="000000" w:themeColor="text1"/>
                <w:sz w:val="32"/>
                <w:szCs w:val="32"/>
                <w:highlight w:val="none"/>
                <w:lang w:val="en-US" w:eastAsia="zh-CN"/>
                <w14:textFill>
                  <w14:solidFill>
                    <w14:schemeClr w14:val="tx1"/>
                  </w14:solidFill>
                </w14:textFill>
              </w:rPr>
              <w:t>监理</w:t>
            </w:r>
          </w:p>
          <w:p>
            <w:pPr>
              <w:pStyle w:val="1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rPr>
                <w:rFonts w:hint="default"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5.9.1环境监理工作</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依据国家相关主管部门制定、颁发的有关法律、法规的规定，本项目的建设应开展环境监理工作。环境监理单位应秉承独立、科学、公正的精神，按环境监理服务的范围和内容，履行环境监理义务，使工程建设达到环境保护要求。</w:t>
            </w:r>
          </w:p>
          <w:p>
            <w:pPr>
              <w:pStyle w:val="1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5.9.2环境监理机构</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0" w:firstLineChars="200"/>
              <w:jc w:val="both"/>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本项目的环境监理机构由工程建设单位委托具有环境监理资质的单位确定。由于本项目未开始施工，为了保证监理计划的有效执行，建设单位应立即与环境监理单位签订本项目的环境监理合同，及时完成环境监理方案编制、工程设计文件环保核查等工作，尽早开展环境监理工作</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p>
          <w:p>
            <w:pPr>
              <w:pStyle w:val="12"/>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8"/>
                <w:szCs w:val="28"/>
                <w:highlight w:val="none"/>
                <w:lang w:val="en-US" w:eastAsia="zh-CN"/>
                <w14:textFill>
                  <w14:solidFill>
                    <w14:schemeClr w14:val="tx1"/>
                  </w14:solidFill>
                </w14:textFill>
              </w:rPr>
              <w:t>5.9.3环境监理主要内容</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（1）设计阶段环境监理内容</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本阶段的工作内容包括收集环境保护相关文件如环评、环评批复，并以此为基础，对初步设计、施工图设计的工程内容进行复核。主要关注的内容包括工程变化尤其是涉及环境敏感区的工程内容变化情况；项目初步设计、施工图设计中落实环境保护要求的情况；以及项目的施工组织设计、环保工程工艺路线选择、设计方案及环保设施的设计内容等。</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（2）施工期环境监理内容</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①注意对环境敏感目标的保护。要监督检查施工对周围环境敏感目标的影响，要求施工单位按照本评价提出的施工要求，落实污染防治措施，防止施工中水、土、气、渣等污染物排放对居民区等敏感目标造成污染损害。具体内容见表</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5.9-1</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②对突发性的环境污染事故应立即采取应对措施，并及时向有关部门反馈、通报，做好善后工作。</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③认真配合有关部门做好施工期间的水、气、声环境的监督监测工作。</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0" w:firstLineChars="200"/>
              <w:jc w:val="both"/>
              <w:rPr>
                <w:rFonts w:hint="default" w:ascii="Times New Roman" w:hAnsi="Times New Roman" w:eastAsia="宋体" w:cs="Times New Roman"/>
                <w:color w:val="000000" w:themeColor="text1"/>
                <w:sz w:val="24"/>
                <w:u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④所有的监督检查计划、检查和处理情况都应当有现场的文字记录，并定期总结、归档。</w:t>
            </w:r>
          </w:p>
          <w:p>
            <w:pPr>
              <w:pageBreakBefore w:val="0"/>
              <w:kinsoku/>
              <w:bidi w:val="0"/>
              <w:spacing w:beforeAutospacing="0" w:afterAutospacing="0"/>
              <w:ind w:firstLine="482"/>
              <w:jc w:val="center"/>
              <w:rPr>
                <w:rFonts w:hint="default" w:ascii="Times New Roman" w:hAnsi="Times New Roman" w:eastAsia="宋体" w:cs="Times New Roman"/>
                <w:b/>
                <w:bCs/>
                <w:color w:val="000000" w:themeColor="text1"/>
                <w:kern w:val="0"/>
                <w:sz w:val="24"/>
                <w:szCs w:val="24"/>
                <w:highlight w:val="none"/>
                <w:u w:val="none" w:color="auto"/>
                <w:shd w:val="clear" w:color="auto" w:fill="auto"/>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u w:val="none" w:color="auto"/>
                <w:shd w:val="clear" w:color="auto" w:fill="auto"/>
                <w:lang w:val="en-US" w:eastAsia="zh-CN" w:bidi="ar-SA"/>
                <w14:textFill>
                  <w14:solidFill>
                    <w14:schemeClr w14:val="tx1"/>
                  </w14:solidFill>
                </w14:textFill>
              </w:rPr>
              <w:t xml:space="preserve">表 </w:t>
            </w:r>
            <w:r>
              <w:rPr>
                <w:rFonts w:hint="eastAsia" w:ascii="Times New Roman" w:hAnsi="Times New Roman" w:eastAsia="宋体" w:cs="Times New Roman"/>
                <w:b/>
                <w:bCs/>
                <w:color w:val="000000" w:themeColor="text1"/>
                <w:kern w:val="0"/>
                <w:sz w:val="24"/>
                <w:szCs w:val="24"/>
                <w:highlight w:val="none"/>
                <w:u w:val="none" w:color="auto"/>
                <w:shd w:val="clear" w:color="auto" w:fill="auto"/>
                <w:lang w:val="en-US" w:eastAsia="zh-CN" w:bidi="ar-SA"/>
                <w14:textFill>
                  <w14:solidFill>
                    <w14:schemeClr w14:val="tx1"/>
                  </w14:solidFill>
                </w14:textFill>
              </w:rPr>
              <w:t>5.9-</w:t>
            </w:r>
            <w:r>
              <w:rPr>
                <w:rFonts w:hint="default" w:ascii="Times New Roman" w:hAnsi="Times New Roman" w:eastAsia="宋体" w:cs="Times New Roman"/>
                <w:b/>
                <w:bCs/>
                <w:color w:val="000000" w:themeColor="text1"/>
                <w:kern w:val="0"/>
                <w:sz w:val="24"/>
                <w:szCs w:val="24"/>
                <w:highlight w:val="none"/>
                <w:u w:val="none" w:color="auto"/>
                <w:shd w:val="clear" w:color="auto" w:fill="auto"/>
                <w:lang w:val="en-US" w:eastAsia="zh-CN" w:bidi="ar-SA"/>
                <w14:textFill>
                  <w14:solidFill>
                    <w14:schemeClr w14:val="tx1"/>
                  </w14:solidFill>
                </w14:textFill>
              </w:rPr>
              <w:fldChar w:fldCharType="begin"/>
            </w:r>
            <w:r>
              <w:rPr>
                <w:rFonts w:hint="default" w:ascii="Times New Roman" w:hAnsi="Times New Roman" w:eastAsia="宋体" w:cs="Times New Roman"/>
                <w:b/>
                <w:bCs/>
                <w:color w:val="000000" w:themeColor="text1"/>
                <w:kern w:val="0"/>
                <w:sz w:val="24"/>
                <w:szCs w:val="24"/>
                <w:highlight w:val="none"/>
                <w:u w:val="none" w:color="auto"/>
                <w:shd w:val="clear" w:color="auto" w:fill="auto"/>
                <w:lang w:val="en-US" w:eastAsia="zh-CN" w:bidi="ar-SA"/>
                <w14:textFill>
                  <w14:solidFill>
                    <w14:schemeClr w14:val="tx1"/>
                  </w14:solidFill>
                </w14:textFill>
              </w:rPr>
              <w:instrText xml:space="preserve"> SEQ 表 \* ARABIC \s 2 </w:instrText>
            </w:r>
            <w:r>
              <w:rPr>
                <w:rFonts w:hint="default" w:ascii="Times New Roman" w:hAnsi="Times New Roman" w:eastAsia="宋体" w:cs="Times New Roman"/>
                <w:b/>
                <w:bCs/>
                <w:color w:val="000000" w:themeColor="text1"/>
                <w:kern w:val="0"/>
                <w:sz w:val="24"/>
                <w:szCs w:val="24"/>
                <w:highlight w:val="none"/>
                <w:u w:val="none" w:color="auto"/>
                <w:shd w:val="clear" w:color="auto" w:fill="auto"/>
                <w:lang w:val="en-US" w:eastAsia="zh-CN" w:bidi="ar-SA"/>
                <w14:textFill>
                  <w14:solidFill>
                    <w14:schemeClr w14:val="tx1"/>
                  </w14:solidFill>
                </w14:textFill>
              </w:rPr>
              <w:fldChar w:fldCharType="separate"/>
            </w:r>
            <w:r>
              <w:rPr>
                <w:rFonts w:hint="default" w:ascii="Times New Roman" w:hAnsi="Times New Roman" w:eastAsia="宋体" w:cs="Times New Roman"/>
                <w:b/>
                <w:bCs/>
                <w:color w:val="000000" w:themeColor="text1"/>
                <w:kern w:val="0"/>
                <w:sz w:val="24"/>
                <w:szCs w:val="24"/>
                <w:highlight w:val="none"/>
                <w:u w:val="none" w:color="auto"/>
                <w:shd w:val="clear" w:color="auto" w:fill="auto"/>
                <w:lang w:val="en-US" w:eastAsia="zh-CN" w:bidi="ar-SA"/>
                <w14:textFill>
                  <w14:solidFill>
                    <w14:schemeClr w14:val="tx1"/>
                  </w14:solidFill>
                </w14:textFill>
              </w:rPr>
              <w:t>1</w:t>
            </w:r>
            <w:r>
              <w:rPr>
                <w:rFonts w:hint="default" w:ascii="Times New Roman" w:hAnsi="Times New Roman" w:eastAsia="宋体" w:cs="Times New Roman"/>
                <w:b/>
                <w:bCs/>
                <w:color w:val="000000" w:themeColor="text1"/>
                <w:kern w:val="0"/>
                <w:sz w:val="24"/>
                <w:szCs w:val="24"/>
                <w:highlight w:val="none"/>
                <w:u w:val="none" w:color="auto"/>
                <w:shd w:val="clear" w:color="auto" w:fill="auto"/>
                <w:lang w:val="en-US" w:eastAsia="zh-CN" w:bidi="ar-SA"/>
                <w14:textFill>
                  <w14:solidFill>
                    <w14:schemeClr w14:val="tx1"/>
                  </w14:solidFill>
                </w14:textFill>
              </w:rPr>
              <w:fldChar w:fldCharType="end"/>
            </w:r>
            <w:r>
              <w:rPr>
                <w:rFonts w:hint="default" w:ascii="Times New Roman" w:hAnsi="Times New Roman" w:eastAsia="宋体" w:cs="Times New Roman"/>
                <w:b/>
                <w:bCs/>
                <w:color w:val="000000" w:themeColor="text1"/>
                <w:kern w:val="0"/>
                <w:sz w:val="24"/>
                <w:szCs w:val="24"/>
                <w:highlight w:val="none"/>
                <w:u w:val="none" w:color="auto"/>
                <w:shd w:val="clear" w:color="auto" w:fill="auto"/>
                <w:lang w:val="en-US" w:eastAsia="zh-CN" w:bidi="ar-SA"/>
                <w14:textFill>
                  <w14:solidFill>
                    <w14:schemeClr w14:val="tx1"/>
                  </w14:solidFill>
                </w14:textFill>
              </w:rPr>
              <w:t xml:space="preserve">  施工期环境监理内容</w:t>
            </w:r>
          </w:p>
          <w:tbl>
            <w:tblPr>
              <w:tblStyle w:val="33"/>
              <w:tblW w:w="853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 w:type="dxa"/>
                <w:bottom w:w="0" w:type="dxa"/>
                <w:right w:w="10" w:type="dxa"/>
              </w:tblCellMar>
            </w:tblPr>
            <w:tblGrid>
              <w:gridCol w:w="448"/>
              <w:gridCol w:w="1179"/>
              <w:gridCol w:w="69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jc w:val="center"/>
              </w:trPr>
              <w:tc>
                <w:tcPr>
                  <w:tcW w:w="1627" w:type="dxa"/>
                  <w:gridSpan w:val="2"/>
                  <w:shd w:val="clear" w:color="auto" w:fill="FFFFFF"/>
                  <w:vAlign w:val="center"/>
                </w:tcPr>
                <w:p>
                  <w:pPr>
                    <w:pageBreakBefore w:val="0"/>
                    <w:kinsoku/>
                    <w:bidi w:val="0"/>
                    <w:spacing w:beforeAutospacing="0" w:afterAutospacing="0"/>
                    <w:jc w:val="center"/>
                    <w:rPr>
                      <w:rFonts w:hint="default" w:ascii="Times New Roman" w:hAnsi="Times New Roman" w:eastAsia="宋体" w:cs="Times New Roman"/>
                      <w:b w:val="0"/>
                      <w:bCs w:val="0"/>
                      <w:color w:val="000000" w:themeColor="text1"/>
                      <w:szCs w:val="21"/>
                      <w:u w:val="none"/>
                      <w14:textFill>
                        <w14:solidFill>
                          <w14:schemeClr w14:val="tx1"/>
                        </w14:solidFill>
                      </w14:textFill>
                    </w:rPr>
                  </w:pPr>
                  <w:r>
                    <w:rPr>
                      <w:rFonts w:hint="default" w:ascii="Times New Roman" w:hAnsi="Times New Roman" w:eastAsia="宋体" w:cs="Times New Roman"/>
                      <w:b w:val="0"/>
                      <w:bCs w:val="0"/>
                      <w:color w:val="000000" w:themeColor="text1"/>
                      <w:szCs w:val="21"/>
                      <w:u w:val="none"/>
                      <w14:textFill>
                        <w14:solidFill>
                          <w14:schemeClr w14:val="tx1"/>
                        </w14:solidFill>
                      </w14:textFill>
                    </w:rPr>
                    <w:t>环境问题</w:t>
                  </w:r>
                </w:p>
              </w:tc>
              <w:tc>
                <w:tcPr>
                  <w:tcW w:w="6911" w:type="dxa"/>
                  <w:shd w:val="clear" w:color="auto" w:fill="FFFFFF"/>
                  <w:vAlign w:val="center"/>
                </w:tcPr>
                <w:p>
                  <w:pPr>
                    <w:pageBreakBefore w:val="0"/>
                    <w:kinsoku/>
                    <w:bidi w:val="0"/>
                    <w:spacing w:beforeAutospacing="0" w:afterAutospacing="0"/>
                    <w:jc w:val="center"/>
                    <w:rPr>
                      <w:rFonts w:hint="default" w:ascii="Times New Roman" w:hAnsi="Times New Roman" w:eastAsia="宋体" w:cs="Times New Roman"/>
                      <w:b w:val="0"/>
                      <w:bCs w:val="0"/>
                      <w:color w:val="000000" w:themeColor="text1"/>
                      <w:szCs w:val="21"/>
                      <w:u w:val="none"/>
                      <w14:textFill>
                        <w14:solidFill>
                          <w14:schemeClr w14:val="tx1"/>
                        </w14:solidFill>
                      </w14:textFill>
                    </w:rPr>
                  </w:pPr>
                  <w:r>
                    <w:rPr>
                      <w:rFonts w:hint="default" w:ascii="Times New Roman" w:hAnsi="Times New Roman" w:eastAsia="宋体" w:cs="Times New Roman"/>
                      <w:b w:val="0"/>
                      <w:bCs w:val="0"/>
                      <w:color w:val="000000" w:themeColor="text1"/>
                      <w:szCs w:val="21"/>
                      <w:u w:val="none"/>
                      <w14:textFill>
                        <w14:solidFill>
                          <w14:schemeClr w14:val="tx1"/>
                        </w14:solidFill>
                      </w14:textFill>
                    </w:rPr>
                    <w:t>监理内容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jc w:val="center"/>
              </w:trPr>
              <w:tc>
                <w:tcPr>
                  <w:tcW w:w="448" w:type="dxa"/>
                  <w:shd w:val="clear" w:color="auto" w:fill="FFFFFF"/>
                  <w:vAlign w:val="center"/>
                </w:tcPr>
                <w:p>
                  <w:pPr>
                    <w:pageBreakBefore w:val="0"/>
                    <w:kinsoku/>
                    <w:bidi w:val="0"/>
                    <w:spacing w:beforeAutospacing="0" w:afterAutospacing="0"/>
                    <w:jc w:val="center"/>
                    <w:rPr>
                      <w:rFonts w:hint="default" w:ascii="Times New Roman" w:hAnsi="Times New Roman" w:eastAsia="宋体" w:cs="Times New Roman"/>
                      <w:color w:val="000000" w:themeColor="text1"/>
                      <w:u w:val="none"/>
                      <w14:textFill>
                        <w14:solidFill>
                          <w14:schemeClr w14:val="tx1"/>
                        </w14:solidFill>
                      </w14:textFill>
                    </w:rPr>
                  </w:pPr>
                  <w:r>
                    <w:rPr>
                      <w:rFonts w:hint="default" w:ascii="Times New Roman" w:hAnsi="Times New Roman" w:eastAsia="宋体" w:cs="Times New Roman"/>
                      <w:color w:val="000000" w:themeColor="text1"/>
                      <w:u w:val="none"/>
                      <w14:textFill>
                        <w14:solidFill>
                          <w14:schemeClr w14:val="tx1"/>
                        </w14:solidFill>
                      </w14:textFill>
                    </w:rPr>
                    <w:t>1</w:t>
                  </w:r>
                </w:p>
              </w:tc>
              <w:tc>
                <w:tcPr>
                  <w:tcW w:w="1179" w:type="dxa"/>
                  <w:shd w:val="clear" w:color="auto" w:fill="FFFFFF"/>
                  <w:vAlign w:val="center"/>
                </w:tcPr>
                <w:p>
                  <w:pPr>
                    <w:pageBreakBefore w:val="0"/>
                    <w:kinsoku/>
                    <w:bidi w:val="0"/>
                    <w:spacing w:beforeAutospacing="0" w:afterAutospacing="0"/>
                    <w:jc w:val="center"/>
                    <w:rPr>
                      <w:rFonts w:hint="default" w:ascii="Times New Roman" w:hAnsi="Times New Roman" w:eastAsia="宋体" w:cs="Times New Roman"/>
                      <w:color w:val="000000" w:themeColor="text1"/>
                      <w:u w:val="none"/>
                      <w14:textFill>
                        <w14:solidFill>
                          <w14:schemeClr w14:val="tx1"/>
                        </w14:solidFill>
                      </w14:textFill>
                    </w:rPr>
                  </w:pPr>
                  <w:r>
                    <w:rPr>
                      <w:rFonts w:hint="default" w:ascii="Times New Roman" w:hAnsi="Times New Roman" w:eastAsia="宋体" w:cs="Times New Roman"/>
                      <w:color w:val="000000" w:themeColor="text1"/>
                      <w:u w:val="none"/>
                      <w14:textFill>
                        <w14:solidFill>
                          <w14:schemeClr w14:val="tx1"/>
                        </w14:solidFill>
                      </w14:textFill>
                    </w:rPr>
                    <w:t>扬尘污染</w:t>
                  </w:r>
                </w:p>
              </w:tc>
              <w:tc>
                <w:tcPr>
                  <w:tcW w:w="6911" w:type="dxa"/>
                  <w:shd w:val="clear" w:color="auto" w:fill="FFFFFF"/>
                  <w:vAlign w:val="center"/>
                </w:tcPr>
                <w:p>
                  <w:pPr>
                    <w:pageBreakBefore w:val="0"/>
                    <w:kinsoku/>
                    <w:bidi w:val="0"/>
                    <w:spacing w:beforeAutospacing="0" w:afterAutospacing="0"/>
                    <w:rPr>
                      <w:rFonts w:hint="default" w:ascii="Times New Roman" w:hAnsi="Times New Roman" w:eastAsia="宋体" w:cs="Times New Roman"/>
                      <w:color w:val="000000" w:themeColor="text1"/>
                      <w:u w:val="none"/>
                      <w14:textFill>
                        <w14:solidFill>
                          <w14:schemeClr w14:val="tx1"/>
                        </w14:solidFill>
                      </w14:textFill>
                    </w:rPr>
                  </w:pPr>
                  <w:r>
                    <w:rPr>
                      <w:rFonts w:hint="default" w:ascii="Times New Roman" w:hAnsi="Times New Roman" w:eastAsia="宋体" w:cs="Times New Roman"/>
                      <w:color w:val="000000" w:themeColor="text1"/>
                      <w:u w:val="none"/>
                      <w14:textFill>
                        <w14:solidFill>
                          <w14:schemeClr w14:val="tx1"/>
                        </w14:solidFill>
                      </w14:textFill>
                    </w:rPr>
                    <w:t>•施工场地应采取洒水等措施，以降低场地施工扬尘，减少大气污染。洒水次数视当地土质、天气情况决定。</w:t>
                  </w:r>
                </w:p>
                <w:p>
                  <w:pPr>
                    <w:pageBreakBefore w:val="0"/>
                    <w:kinsoku/>
                    <w:bidi w:val="0"/>
                    <w:spacing w:beforeAutospacing="0" w:afterAutospacing="0"/>
                    <w:rPr>
                      <w:rFonts w:hint="default" w:ascii="Times New Roman" w:hAnsi="Times New Roman" w:eastAsia="宋体" w:cs="Times New Roman"/>
                      <w:color w:val="000000" w:themeColor="text1"/>
                      <w:u w:val="none"/>
                      <w14:textFill>
                        <w14:solidFill>
                          <w14:schemeClr w14:val="tx1"/>
                        </w14:solidFill>
                      </w14:textFill>
                    </w:rPr>
                  </w:pPr>
                  <w:r>
                    <w:rPr>
                      <w:rFonts w:hint="default" w:ascii="Times New Roman" w:hAnsi="Times New Roman" w:eastAsia="宋体" w:cs="Times New Roman"/>
                      <w:color w:val="000000" w:themeColor="text1"/>
                      <w:u w:val="none"/>
                      <w14:textFill>
                        <w14:solidFill>
                          <w14:schemeClr w14:val="tx1"/>
                        </w14:solidFill>
                      </w14:textFill>
                    </w:rPr>
                    <w:t>•运送材料的车辆采取帆布等遮盖措施，减少跑冒滴漏。</w:t>
                  </w:r>
                </w:p>
                <w:p>
                  <w:pPr>
                    <w:pageBreakBefore w:val="0"/>
                    <w:kinsoku/>
                    <w:bidi w:val="0"/>
                    <w:spacing w:beforeAutospacing="0" w:afterAutospacing="0"/>
                    <w:rPr>
                      <w:rFonts w:hint="default" w:ascii="Times New Roman" w:hAnsi="Times New Roman" w:eastAsia="宋体" w:cs="Times New Roman"/>
                      <w:color w:val="000000" w:themeColor="text1"/>
                      <w:u w:val="none"/>
                      <w14:textFill>
                        <w14:solidFill>
                          <w14:schemeClr w14:val="tx1"/>
                        </w14:solidFill>
                      </w14:textFill>
                    </w:rPr>
                  </w:pPr>
                  <w:r>
                    <w:rPr>
                      <w:rFonts w:hint="default" w:ascii="Times New Roman" w:hAnsi="Times New Roman" w:eastAsia="宋体" w:cs="Times New Roman"/>
                      <w:color w:val="000000" w:themeColor="text1"/>
                      <w:u w:val="none"/>
                      <w14:textFill>
                        <w14:solidFill>
                          <w14:schemeClr w14:val="tx1"/>
                        </w14:solidFill>
                      </w14:textFill>
                    </w:rPr>
                    <w:t>•主要运料道路在无雨天气应定期洒水，防止尘土飞扬。</w:t>
                  </w:r>
                </w:p>
                <w:p>
                  <w:pPr>
                    <w:pageBreakBefore w:val="0"/>
                    <w:kinsoku/>
                    <w:bidi w:val="0"/>
                    <w:spacing w:beforeAutospacing="0" w:afterAutospacing="0"/>
                    <w:rPr>
                      <w:rFonts w:hint="default" w:ascii="Times New Roman" w:hAnsi="Times New Roman" w:eastAsia="宋体" w:cs="Times New Roman"/>
                      <w:color w:val="000000" w:themeColor="text1"/>
                      <w:u w:val="none"/>
                      <w14:textFill>
                        <w14:solidFill>
                          <w14:schemeClr w14:val="tx1"/>
                        </w14:solidFill>
                      </w14:textFill>
                    </w:rPr>
                  </w:pPr>
                  <w:r>
                    <w:rPr>
                      <w:rFonts w:hint="default" w:ascii="Times New Roman" w:hAnsi="Times New Roman" w:eastAsia="宋体" w:cs="Times New Roman"/>
                      <w:color w:val="000000" w:themeColor="text1"/>
                      <w:u w:val="none"/>
                      <w14:textFill>
                        <w14:solidFill>
                          <w14:schemeClr w14:val="tx1"/>
                        </w14:solidFill>
                      </w14:textFill>
                    </w:rPr>
                    <w:t>•监督运输车辆经过附近村庄时应减速慢行。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jc w:val="center"/>
              </w:trPr>
              <w:tc>
                <w:tcPr>
                  <w:tcW w:w="448" w:type="dxa"/>
                  <w:shd w:val="clear" w:color="auto" w:fill="FFFFFF"/>
                  <w:vAlign w:val="center"/>
                </w:tcPr>
                <w:p>
                  <w:pPr>
                    <w:pageBreakBefore w:val="0"/>
                    <w:kinsoku/>
                    <w:bidi w:val="0"/>
                    <w:spacing w:beforeAutospacing="0" w:afterAutospacing="0"/>
                    <w:jc w:val="center"/>
                    <w:rPr>
                      <w:rFonts w:hint="default" w:ascii="Times New Roman" w:hAnsi="Times New Roman" w:eastAsia="宋体" w:cs="Times New Roman"/>
                      <w:color w:val="000000" w:themeColor="text1"/>
                      <w:u w:val="none"/>
                      <w14:textFill>
                        <w14:solidFill>
                          <w14:schemeClr w14:val="tx1"/>
                        </w14:solidFill>
                      </w14:textFill>
                    </w:rPr>
                  </w:pPr>
                  <w:r>
                    <w:rPr>
                      <w:rFonts w:hint="default" w:ascii="Times New Roman" w:hAnsi="Times New Roman" w:eastAsia="宋体" w:cs="Times New Roman"/>
                      <w:color w:val="000000" w:themeColor="text1"/>
                      <w:u w:val="none"/>
                      <w14:textFill>
                        <w14:solidFill>
                          <w14:schemeClr w14:val="tx1"/>
                        </w14:solidFill>
                      </w14:textFill>
                    </w:rPr>
                    <w:t>2</w:t>
                  </w:r>
                </w:p>
              </w:tc>
              <w:tc>
                <w:tcPr>
                  <w:tcW w:w="1179" w:type="dxa"/>
                  <w:shd w:val="clear" w:color="auto" w:fill="FFFFFF"/>
                  <w:vAlign w:val="center"/>
                </w:tcPr>
                <w:p>
                  <w:pPr>
                    <w:pageBreakBefore w:val="0"/>
                    <w:kinsoku/>
                    <w:bidi w:val="0"/>
                    <w:spacing w:beforeAutospacing="0" w:afterAutospacing="0"/>
                    <w:jc w:val="center"/>
                    <w:rPr>
                      <w:rFonts w:hint="default" w:ascii="Times New Roman" w:hAnsi="Times New Roman" w:eastAsia="宋体" w:cs="Times New Roman"/>
                      <w:color w:val="000000" w:themeColor="text1"/>
                      <w:u w:val="none"/>
                      <w14:textFill>
                        <w14:solidFill>
                          <w14:schemeClr w14:val="tx1"/>
                        </w14:solidFill>
                      </w14:textFill>
                    </w:rPr>
                  </w:pPr>
                  <w:r>
                    <w:rPr>
                      <w:rFonts w:hint="default" w:ascii="Times New Roman" w:hAnsi="Times New Roman" w:eastAsia="宋体" w:cs="Times New Roman"/>
                      <w:color w:val="000000" w:themeColor="text1"/>
                      <w:u w:val="none"/>
                      <w14:textFill>
                        <w14:solidFill>
                          <w14:schemeClr w14:val="tx1"/>
                        </w14:solidFill>
                      </w14:textFill>
                    </w:rPr>
                    <w:t>水污染</w:t>
                  </w:r>
                </w:p>
              </w:tc>
              <w:tc>
                <w:tcPr>
                  <w:tcW w:w="6911" w:type="dxa"/>
                  <w:shd w:val="clear" w:color="auto" w:fill="FFFFFF"/>
                  <w:vAlign w:val="center"/>
                </w:tcPr>
                <w:p>
                  <w:pPr>
                    <w:pageBreakBefore w:val="0"/>
                    <w:kinsoku/>
                    <w:bidi w:val="0"/>
                    <w:spacing w:beforeAutospacing="0" w:afterAutospacing="0"/>
                    <w:rPr>
                      <w:rFonts w:hint="default" w:ascii="Times New Roman" w:hAnsi="Times New Roman" w:eastAsia="宋体" w:cs="Times New Roman"/>
                      <w:color w:val="000000" w:themeColor="text1"/>
                      <w:u w:val="none"/>
                      <w14:textFill>
                        <w14:solidFill>
                          <w14:schemeClr w14:val="tx1"/>
                        </w14:solidFill>
                      </w14:textFill>
                    </w:rPr>
                  </w:pPr>
                  <w:r>
                    <w:rPr>
                      <w:rFonts w:hint="default" w:ascii="Times New Roman" w:hAnsi="Times New Roman" w:eastAsia="宋体" w:cs="Times New Roman"/>
                      <w:color w:val="000000" w:themeColor="text1"/>
                      <w:u w:val="none"/>
                      <w14:textFill>
                        <w14:solidFill>
                          <w14:schemeClr w14:val="tx1"/>
                        </w14:solidFill>
                      </w14:textFill>
                    </w:rPr>
                    <w:t>•施工营地应设置临时化粪池，生活污水经处理达标后</w:t>
                  </w:r>
                  <w:r>
                    <w:rPr>
                      <w:rFonts w:hint="eastAsia" w:ascii="Times New Roman" w:hAnsi="Times New Roman" w:eastAsia="宋体" w:cs="Times New Roman"/>
                      <w:color w:val="000000" w:themeColor="text1"/>
                      <w:u w:val="none"/>
                      <w:lang w:val="en-US" w:eastAsia="zh-CN"/>
                      <w14:textFill>
                        <w14:solidFill>
                          <w14:schemeClr w14:val="tx1"/>
                        </w14:solidFill>
                      </w14:textFill>
                    </w:rPr>
                    <w:t>由槽罐车运输至福鼎市白琳镇污水处理站</w:t>
                  </w:r>
                  <w:r>
                    <w:rPr>
                      <w:rFonts w:hint="default" w:ascii="Times New Roman" w:hAnsi="Times New Roman" w:eastAsia="宋体" w:cs="Times New Roman"/>
                      <w:color w:val="000000" w:themeColor="text1"/>
                      <w:u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jc w:val="center"/>
              </w:trPr>
              <w:tc>
                <w:tcPr>
                  <w:tcW w:w="448" w:type="dxa"/>
                  <w:shd w:val="clear" w:color="auto" w:fill="FFFFFF"/>
                  <w:vAlign w:val="center"/>
                </w:tcPr>
                <w:p>
                  <w:pPr>
                    <w:pageBreakBefore w:val="0"/>
                    <w:kinsoku/>
                    <w:bidi w:val="0"/>
                    <w:spacing w:beforeAutospacing="0" w:afterAutospacing="0"/>
                    <w:jc w:val="center"/>
                    <w:rPr>
                      <w:rFonts w:hint="default" w:ascii="Times New Roman" w:hAnsi="Times New Roman" w:eastAsia="宋体" w:cs="Times New Roman"/>
                      <w:color w:val="000000" w:themeColor="text1"/>
                      <w:u w:val="none"/>
                      <w14:textFill>
                        <w14:solidFill>
                          <w14:schemeClr w14:val="tx1"/>
                        </w14:solidFill>
                      </w14:textFill>
                    </w:rPr>
                  </w:pPr>
                  <w:r>
                    <w:rPr>
                      <w:rFonts w:hint="default" w:ascii="Times New Roman" w:hAnsi="Times New Roman" w:eastAsia="宋体" w:cs="Times New Roman"/>
                      <w:color w:val="000000" w:themeColor="text1"/>
                      <w:u w:val="none"/>
                      <w14:textFill>
                        <w14:solidFill>
                          <w14:schemeClr w14:val="tx1"/>
                        </w14:solidFill>
                      </w14:textFill>
                    </w:rPr>
                    <w:t>3</w:t>
                  </w:r>
                </w:p>
              </w:tc>
              <w:tc>
                <w:tcPr>
                  <w:tcW w:w="1179" w:type="dxa"/>
                  <w:shd w:val="clear" w:color="auto" w:fill="FFFFFF"/>
                  <w:vAlign w:val="center"/>
                </w:tcPr>
                <w:p>
                  <w:pPr>
                    <w:pageBreakBefore w:val="0"/>
                    <w:kinsoku/>
                    <w:bidi w:val="0"/>
                    <w:spacing w:beforeAutospacing="0" w:afterAutospacing="0"/>
                    <w:jc w:val="center"/>
                    <w:rPr>
                      <w:rFonts w:hint="default" w:ascii="Times New Roman" w:hAnsi="Times New Roman" w:eastAsia="宋体" w:cs="Times New Roman"/>
                      <w:color w:val="000000" w:themeColor="text1"/>
                      <w:u w:val="none"/>
                      <w14:textFill>
                        <w14:solidFill>
                          <w14:schemeClr w14:val="tx1"/>
                        </w14:solidFill>
                      </w14:textFill>
                    </w:rPr>
                  </w:pPr>
                  <w:r>
                    <w:rPr>
                      <w:rFonts w:hint="default" w:ascii="Times New Roman" w:hAnsi="Times New Roman" w:eastAsia="宋体" w:cs="Times New Roman"/>
                      <w:color w:val="000000" w:themeColor="text1"/>
                      <w:u w:val="none"/>
                      <w14:textFill>
                        <w14:solidFill>
                          <w14:schemeClr w14:val="tx1"/>
                        </w14:solidFill>
                      </w14:textFill>
                    </w:rPr>
                    <w:t>噪声</w:t>
                  </w:r>
                </w:p>
              </w:tc>
              <w:tc>
                <w:tcPr>
                  <w:tcW w:w="6911" w:type="dxa"/>
                  <w:shd w:val="clear" w:color="auto" w:fill="FFFFFF"/>
                  <w:vAlign w:val="center"/>
                </w:tcPr>
                <w:p>
                  <w:pPr>
                    <w:pageBreakBefore w:val="0"/>
                    <w:kinsoku/>
                    <w:bidi w:val="0"/>
                    <w:spacing w:beforeAutospacing="0" w:afterAutospacing="0"/>
                    <w:rPr>
                      <w:rFonts w:hint="default" w:ascii="Times New Roman" w:hAnsi="Times New Roman" w:eastAsia="宋体" w:cs="Times New Roman"/>
                      <w:color w:val="000000" w:themeColor="text1"/>
                      <w:u w:val="none"/>
                      <w14:textFill>
                        <w14:solidFill>
                          <w14:schemeClr w14:val="tx1"/>
                        </w14:solidFill>
                      </w14:textFill>
                    </w:rPr>
                  </w:pPr>
                  <w:r>
                    <w:rPr>
                      <w:rFonts w:hint="default" w:ascii="Times New Roman" w:hAnsi="Times New Roman" w:eastAsia="宋体" w:cs="Times New Roman"/>
                      <w:color w:val="000000" w:themeColor="text1"/>
                      <w:u w:val="none"/>
                      <w14:textFill>
                        <w14:solidFill>
                          <w14:schemeClr w14:val="tx1"/>
                        </w14:solidFill>
                      </w14:textFill>
                    </w:rPr>
                    <w:t>•加强机械和车辆的维修和保养，保持设备的较低噪声水平。</w:t>
                  </w:r>
                </w:p>
                <w:p>
                  <w:pPr>
                    <w:pageBreakBefore w:val="0"/>
                    <w:kinsoku/>
                    <w:bidi w:val="0"/>
                    <w:spacing w:beforeAutospacing="0" w:afterAutospacing="0"/>
                    <w:rPr>
                      <w:rFonts w:hint="default" w:ascii="Times New Roman" w:hAnsi="Times New Roman" w:eastAsia="宋体" w:cs="Times New Roman"/>
                      <w:color w:val="000000" w:themeColor="text1"/>
                      <w:u w:val="none"/>
                      <w14:textFill>
                        <w14:solidFill>
                          <w14:schemeClr w14:val="tx1"/>
                        </w14:solidFill>
                      </w14:textFill>
                    </w:rPr>
                  </w:pPr>
                  <w:r>
                    <w:rPr>
                      <w:rFonts w:hint="default" w:ascii="Times New Roman" w:hAnsi="Times New Roman" w:eastAsia="宋体" w:cs="Times New Roman"/>
                      <w:color w:val="000000" w:themeColor="text1"/>
                      <w:u w:val="none"/>
                      <w14:textFill>
                        <w14:solidFill>
                          <w14:schemeClr w14:val="tx1"/>
                        </w14:solidFill>
                      </w14:textFill>
                    </w:rPr>
                    <w:t>•产噪设备使用时间的合理安排，检查施工噪声监测记录。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jc w:val="center"/>
              </w:trPr>
              <w:tc>
                <w:tcPr>
                  <w:tcW w:w="448" w:type="dxa"/>
                  <w:shd w:val="clear" w:color="auto" w:fill="FFFFFF"/>
                  <w:vAlign w:val="center"/>
                </w:tcPr>
                <w:p>
                  <w:pPr>
                    <w:pageBreakBefore w:val="0"/>
                    <w:kinsoku/>
                    <w:bidi w:val="0"/>
                    <w:spacing w:beforeAutospacing="0" w:afterAutospacing="0"/>
                    <w:jc w:val="center"/>
                    <w:rPr>
                      <w:rFonts w:hint="default" w:ascii="Times New Roman" w:hAnsi="Times New Roman" w:eastAsia="宋体" w:cs="Times New Roman"/>
                      <w:color w:val="000000" w:themeColor="text1"/>
                      <w:u w:val="none"/>
                      <w14:textFill>
                        <w14:solidFill>
                          <w14:schemeClr w14:val="tx1"/>
                        </w14:solidFill>
                      </w14:textFill>
                    </w:rPr>
                  </w:pPr>
                  <w:r>
                    <w:rPr>
                      <w:rFonts w:hint="default" w:ascii="Times New Roman" w:hAnsi="Times New Roman" w:eastAsia="宋体" w:cs="Times New Roman"/>
                      <w:color w:val="000000" w:themeColor="text1"/>
                      <w:u w:val="none"/>
                      <w14:textFill>
                        <w14:solidFill>
                          <w14:schemeClr w14:val="tx1"/>
                        </w14:solidFill>
                      </w14:textFill>
                    </w:rPr>
                    <w:t>5</w:t>
                  </w:r>
                </w:p>
              </w:tc>
              <w:tc>
                <w:tcPr>
                  <w:tcW w:w="1179" w:type="dxa"/>
                  <w:shd w:val="clear" w:color="auto" w:fill="FFFFFF"/>
                  <w:vAlign w:val="center"/>
                </w:tcPr>
                <w:p>
                  <w:pPr>
                    <w:pageBreakBefore w:val="0"/>
                    <w:kinsoku/>
                    <w:bidi w:val="0"/>
                    <w:spacing w:beforeAutospacing="0" w:afterAutospacing="0"/>
                    <w:jc w:val="center"/>
                    <w:rPr>
                      <w:rFonts w:hint="default" w:ascii="Times New Roman" w:hAnsi="Times New Roman" w:eastAsia="宋体" w:cs="Times New Roman"/>
                      <w:color w:val="000000" w:themeColor="text1"/>
                      <w:u w:val="none"/>
                      <w14:textFill>
                        <w14:solidFill>
                          <w14:schemeClr w14:val="tx1"/>
                        </w14:solidFill>
                      </w14:textFill>
                    </w:rPr>
                  </w:pPr>
                  <w:r>
                    <w:rPr>
                      <w:rFonts w:hint="default" w:ascii="Times New Roman" w:hAnsi="Times New Roman" w:eastAsia="宋体" w:cs="Times New Roman"/>
                      <w:color w:val="000000" w:themeColor="text1"/>
                      <w:u w:val="none"/>
                      <w14:textFill>
                        <w14:solidFill>
                          <w14:schemeClr w14:val="tx1"/>
                        </w14:solidFill>
                      </w14:textFill>
                    </w:rPr>
                    <w:t>文明施工</w:t>
                  </w:r>
                </w:p>
              </w:tc>
              <w:tc>
                <w:tcPr>
                  <w:tcW w:w="6911" w:type="dxa"/>
                  <w:shd w:val="clear" w:color="auto" w:fill="FFFFFF"/>
                  <w:vAlign w:val="center"/>
                </w:tcPr>
                <w:p>
                  <w:pPr>
                    <w:pageBreakBefore w:val="0"/>
                    <w:kinsoku/>
                    <w:bidi w:val="0"/>
                    <w:spacing w:beforeAutospacing="0" w:afterAutospacing="0"/>
                    <w:rPr>
                      <w:rFonts w:hint="default" w:ascii="Times New Roman" w:hAnsi="Times New Roman" w:eastAsia="宋体" w:cs="Times New Roman"/>
                      <w:color w:val="000000" w:themeColor="text1"/>
                      <w:u w:val="none"/>
                      <w14:textFill>
                        <w14:solidFill>
                          <w14:schemeClr w14:val="tx1"/>
                        </w14:solidFill>
                      </w14:textFill>
                    </w:rPr>
                  </w:pPr>
                  <w:r>
                    <w:rPr>
                      <w:rFonts w:hint="default" w:ascii="Times New Roman" w:hAnsi="Times New Roman" w:eastAsia="宋体" w:cs="Times New Roman"/>
                      <w:color w:val="000000" w:themeColor="text1"/>
                      <w:u w:val="none"/>
                      <w14:textFill>
                        <w14:solidFill>
                          <w14:schemeClr w14:val="tx1"/>
                        </w14:solidFill>
                      </w14:textFill>
                    </w:rPr>
                    <w:t>•加强对施工人员的环境教育。</w:t>
                  </w:r>
                </w:p>
                <w:p>
                  <w:pPr>
                    <w:pageBreakBefore w:val="0"/>
                    <w:kinsoku/>
                    <w:bidi w:val="0"/>
                    <w:spacing w:beforeAutospacing="0" w:afterAutospacing="0"/>
                    <w:rPr>
                      <w:rFonts w:hint="default" w:ascii="Times New Roman" w:hAnsi="Times New Roman" w:eastAsia="宋体" w:cs="Times New Roman"/>
                      <w:color w:val="000000" w:themeColor="text1"/>
                      <w:u w:val="none"/>
                      <w14:textFill>
                        <w14:solidFill>
                          <w14:schemeClr w14:val="tx1"/>
                        </w14:solidFill>
                      </w14:textFill>
                    </w:rPr>
                  </w:pPr>
                  <w:r>
                    <w:rPr>
                      <w:rFonts w:hint="default" w:ascii="Times New Roman" w:hAnsi="Times New Roman" w:eastAsia="宋体" w:cs="Times New Roman"/>
                      <w:color w:val="000000" w:themeColor="text1"/>
                      <w:u w:val="none"/>
                      <w14:textFill>
                        <w14:solidFill>
                          <w14:schemeClr w14:val="tx1"/>
                        </w14:solidFill>
                      </w14:textFill>
                    </w:rPr>
                    <w:t>•在施工场地应设置垃圾箱和卫生处理设施。</w:t>
                  </w:r>
                </w:p>
                <w:p>
                  <w:pPr>
                    <w:pageBreakBefore w:val="0"/>
                    <w:kinsoku/>
                    <w:bidi w:val="0"/>
                    <w:spacing w:beforeAutospacing="0" w:afterAutospacing="0"/>
                    <w:rPr>
                      <w:rFonts w:hint="default" w:ascii="Times New Roman" w:hAnsi="Times New Roman" w:eastAsia="宋体" w:cs="Times New Roman"/>
                      <w:color w:val="000000" w:themeColor="text1"/>
                      <w:u w:val="none"/>
                      <w14:textFill>
                        <w14:solidFill>
                          <w14:schemeClr w14:val="tx1"/>
                        </w14:solidFill>
                      </w14:textFill>
                    </w:rPr>
                  </w:pPr>
                  <w:r>
                    <w:rPr>
                      <w:rFonts w:hint="default" w:ascii="Times New Roman" w:hAnsi="Times New Roman" w:eastAsia="宋体" w:cs="Times New Roman"/>
                      <w:color w:val="000000" w:themeColor="text1"/>
                      <w:u w:val="none"/>
                      <w14:textFill>
                        <w14:solidFill>
                          <w14:schemeClr w14:val="tx1"/>
                        </w14:solidFill>
                      </w14:textFill>
                    </w:rPr>
                    <w:t>•防止施工场地生活污水和固体废弃物污染水体。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jc w:val="center"/>
              </w:trPr>
              <w:tc>
                <w:tcPr>
                  <w:tcW w:w="448" w:type="dxa"/>
                  <w:shd w:val="clear" w:color="auto" w:fill="FFFFFF"/>
                  <w:vAlign w:val="center"/>
                </w:tcPr>
                <w:p>
                  <w:pPr>
                    <w:pageBreakBefore w:val="0"/>
                    <w:kinsoku/>
                    <w:bidi w:val="0"/>
                    <w:spacing w:beforeAutospacing="0" w:afterAutospacing="0"/>
                    <w:jc w:val="center"/>
                    <w:rPr>
                      <w:rFonts w:hint="default" w:ascii="Times New Roman" w:hAnsi="Times New Roman" w:eastAsia="宋体" w:cs="Times New Roman"/>
                      <w:color w:val="000000" w:themeColor="text1"/>
                      <w:u w:val="none"/>
                      <w14:textFill>
                        <w14:solidFill>
                          <w14:schemeClr w14:val="tx1"/>
                        </w14:solidFill>
                      </w14:textFill>
                    </w:rPr>
                  </w:pPr>
                  <w:r>
                    <w:rPr>
                      <w:rFonts w:hint="default" w:ascii="Times New Roman" w:hAnsi="Times New Roman" w:eastAsia="宋体" w:cs="Times New Roman"/>
                      <w:color w:val="000000" w:themeColor="text1"/>
                      <w:u w:val="none"/>
                      <w14:textFill>
                        <w14:solidFill>
                          <w14:schemeClr w14:val="tx1"/>
                        </w14:solidFill>
                      </w14:textFill>
                    </w:rPr>
                    <w:t>6</w:t>
                  </w:r>
                </w:p>
              </w:tc>
              <w:tc>
                <w:tcPr>
                  <w:tcW w:w="1179" w:type="dxa"/>
                  <w:shd w:val="clear" w:color="auto" w:fill="FFFFFF"/>
                  <w:vAlign w:val="center"/>
                </w:tcPr>
                <w:p>
                  <w:pPr>
                    <w:pageBreakBefore w:val="0"/>
                    <w:kinsoku/>
                    <w:bidi w:val="0"/>
                    <w:spacing w:beforeAutospacing="0" w:afterAutospacing="0"/>
                    <w:jc w:val="center"/>
                    <w:rPr>
                      <w:rFonts w:hint="default" w:ascii="Times New Roman" w:hAnsi="Times New Roman" w:eastAsia="宋体" w:cs="Times New Roman"/>
                      <w:color w:val="000000" w:themeColor="text1"/>
                      <w:u w:val="none"/>
                      <w14:textFill>
                        <w14:solidFill>
                          <w14:schemeClr w14:val="tx1"/>
                        </w14:solidFill>
                      </w14:textFill>
                    </w:rPr>
                  </w:pPr>
                  <w:r>
                    <w:rPr>
                      <w:rFonts w:hint="default" w:ascii="Times New Roman" w:hAnsi="Times New Roman" w:eastAsia="宋体" w:cs="Times New Roman"/>
                      <w:color w:val="000000" w:themeColor="text1"/>
                      <w:u w:val="none"/>
                      <w14:textFill>
                        <w14:solidFill>
                          <w14:schemeClr w14:val="tx1"/>
                        </w14:solidFill>
                      </w14:textFill>
                    </w:rPr>
                    <w:t>施工安全</w:t>
                  </w:r>
                </w:p>
              </w:tc>
              <w:tc>
                <w:tcPr>
                  <w:tcW w:w="6911" w:type="dxa"/>
                  <w:shd w:val="clear" w:color="auto" w:fill="FFFFFF"/>
                  <w:vAlign w:val="center"/>
                </w:tcPr>
                <w:p>
                  <w:pPr>
                    <w:pageBreakBefore w:val="0"/>
                    <w:kinsoku/>
                    <w:bidi w:val="0"/>
                    <w:spacing w:beforeAutospacing="0" w:afterAutospacing="0"/>
                    <w:rPr>
                      <w:rFonts w:hint="default" w:ascii="Times New Roman" w:hAnsi="Times New Roman" w:eastAsia="宋体" w:cs="Times New Roman"/>
                      <w:color w:val="000000" w:themeColor="text1"/>
                      <w:u w:val="none"/>
                      <w14:textFill>
                        <w14:solidFill>
                          <w14:schemeClr w14:val="tx1"/>
                        </w14:solidFill>
                      </w14:textFill>
                    </w:rPr>
                  </w:pPr>
                  <w:r>
                    <w:rPr>
                      <w:rFonts w:hint="default" w:ascii="Times New Roman" w:hAnsi="Times New Roman" w:eastAsia="宋体" w:cs="Times New Roman"/>
                      <w:color w:val="000000" w:themeColor="text1"/>
                      <w:u w:val="none"/>
                      <w14:textFill>
                        <w14:solidFill>
                          <w14:schemeClr w14:val="tx1"/>
                        </w14:solidFill>
                      </w14:textFill>
                    </w:rPr>
                    <w:t>•注意施工协调和管理，保证施工安全。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jc w:val="center"/>
              </w:trPr>
              <w:tc>
                <w:tcPr>
                  <w:tcW w:w="448" w:type="dxa"/>
                  <w:shd w:val="clear" w:color="auto" w:fill="FFFFFF"/>
                  <w:vAlign w:val="center"/>
                </w:tcPr>
                <w:p>
                  <w:pPr>
                    <w:pageBreakBefore w:val="0"/>
                    <w:kinsoku/>
                    <w:bidi w:val="0"/>
                    <w:spacing w:beforeAutospacing="0" w:afterAutospacing="0"/>
                    <w:jc w:val="center"/>
                    <w:rPr>
                      <w:rFonts w:hint="default" w:ascii="Times New Roman" w:hAnsi="Times New Roman" w:eastAsia="宋体" w:cs="Times New Roman"/>
                      <w:color w:val="000000" w:themeColor="text1"/>
                      <w:u w:val="none"/>
                      <w14:textFill>
                        <w14:solidFill>
                          <w14:schemeClr w14:val="tx1"/>
                        </w14:solidFill>
                      </w14:textFill>
                    </w:rPr>
                  </w:pPr>
                  <w:r>
                    <w:rPr>
                      <w:rFonts w:hint="default" w:ascii="Times New Roman" w:hAnsi="Times New Roman" w:eastAsia="宋体" w:cs="Times New Roman"/>
                      <w:color w:val="000000" w:themeColor="text1"/>
                      <w:u w:val="none"/>
                      <w14:textFill>
                        <w14:solidFill>
                          <w14:schemeClr w14:val="tx1"/>
                        </w14:solidFill>
                      </w14:textFill>
                    </w:rPr>
                    <w:t>7</w:t>
                  </w:r>
                </w:p>
              </w:tc>
              <w:tc>
                <w:tcPr>
                  <w:tcW w:w="1179" w:type="dxa"/>
                  <w:shd w:val="clear" w:color="auto" w:fill="FFFFFF"/>
                  <w:vAlign w:val="center"/>
                </w:tcPr>
                <w:p>
                  <w:pPr>
                    <w:pageBreakBefore w:val="0"/>
                    <w:kinsoku/>
                    <w:bidi w:val="0"/>
                    <w:spacing w:beforeAutospacing="0" w:afterAutospacing="0"/>
                    <w:jc w:val="center"/>
                    <w:rPr>
                      <w:rFonts w:hint="default" w:ascii="Times New Roman" w:hAnsi="Times New Roman" w:eastAsia="宋体" w:cs="Times New Roman"/>
                      <w:color w:val="000000" w:themeColor="text1"/>
                      <w:u w:val="none"/>
                      <w14:textFill>
                        <w14:solidFill>
                          <w14:schemeClr w14:val="tx1"/>
                        </w14:solidFill>
                      </w14:textFill>
                    </w:rPr>
                  </w:pPr>
                  <w:r>
                    <w:rPr>
                      <w:rFonts w:hint="default" w:ascii="Times New Roman" w:hAnsi="Times New Roman" w:eastAsia="宋体" w:cs="Times New Roman"/>
                      <w:color w:val="000000" w:themeColor="text1"/>
                      <w:u w:val="none"/>
                      <w14:textFill>
                        <w14:solidFill>
                          <w14:schemeClr w14:val="tx1"/>
                        </w14:solidFill>
                      </w14:textFill>
                    </w:rPr>
                    <w:t>运输管理</w:t>
                  </w:r>
                </w:p>
              </w:tc>
              <w:tc>
                <w:tcPr>
                  <w:tcW w:w="6911" w:type="dxa"/>
                  <w:shd w:val="clear" w:color="auto" w:fill="FFFFFF"/>
                  <w:vAlign w:val="center"/>
                </w:tcPr>
                <w:p>
                  <w:pPr>
                    <w:pageBreakBefore w:val="0"/>
                    <w:kinsoku/>
                    <w:bidi w:val="0"/>
                    <w:spacing w:beforeAutospacing="0" w:afterAutospacing="0"/>
                    <w:rPr>
                      <w:rFonts w:hint="default" w:ascii="Times New Roman" w:hAnsi="Times New Roman" w:eastAsia="宋体" w:cs="Times New Roman"/>
                      <w:color w:val="000000" w:themeColor="text1"/>
                      <w:u w:val="none"/>
                      <w14:textFill>
                        <w14:solidFill>
                          <w14:schemeClr w14:val="tx1"/>
                        </w14:solidFill>
                      </w14:textFill>
                    </w:rPr>
                  </w:pPr>
                  <w:r>
                    <w:rPr>
                      <w:rFonts w:hint="default" w:ascii="Times New Roman" w:hAnsi="Times New Roman" w:eastAsia="宋体" w:cs="Times New Roman"/>
                      <w:color w:val="000000" w:themeColor="text1"/>
                      <w:u w:val="none"/>
                      <w14:textFill>
                        <w14:solidFill>
                          <w14:schemeClr w14:val="tx1"/>
                        </w14:solidFill>
                      </w14:textFill>
                    </w:rPr>
                    <w:t>•建筑材料的运送路线应仔细选定，避免长途运输，应尽量避免影响现有的交通设施，减少粉尘和噪声污染。</w:t>
                  </w:r>
                </w:p>
                <w:p>
                  <w:pPr>
                    <w:pageBreakBefore w:val="0"/>
                    <w:kinsoku/>
                    <w:bidi w:val="0"/>
                    <w:spacing w:beforeAutospacing="0" w:afterAutospacing="0"/>
                    <w:rPr>
                      <w:rFonts w:hint="default" w:ascii="Times New Roman" w:hAnsi="Times New Roman" w:eastAsia="宋体" w:cs="Times New Roman"/>
                      <w:color w:val="000000" w:themeColor="text1"/>
                      <w:u w:val="none"/>
                      <w14:textFill>
                        <w14:solidFill>
                          <w14:schemeClr w14:val="tx1"/>
                        </w14:solidFill>
                      </w14:textFill>
                    </w:rPr>
                  </w:pPr>
                  <w:r>
                    <w:rPr>
                      <w:rFonts w:hint="default" w:ascii="Times New Roman" w:hAnsi="Times New Roman" w:eastAsia="宋体" w:cs="Times New Roman"/>
                      <w:color w:val="000000" w:themeColor="text1"/>
                      <w:u w:val="none"/>
                      <w14:textFill>
                        <w14:solidFill>
                          <w14:schemeClr w14:val="tx1"/>
                        </w14:solidFill>
                      </w14:textFill>
                    </w:rPr>
                    <w:t>•应咨询交通和公安部门，指导交通运行，施工期间防止交通阻塞和降低其运输效率。</w:t>
                  </w:r>
                </w:p>
                <w:p>
                  <w:pPr>
                    <w:pageBreakBefore w:val="0"/>
                    <w:kinsoku/>
                    <w:bidi w:val="0"/>
                    <w:spacing w:beforeAutospacing="0" w:afterAutospacing="0"/>
                    <w:rPr>
                      <w:rFonts w:hint="default" w:ascii="Times New Roman" w:hAnsi="Times New Roman" w:eastAsia="宋体" w:cs="Times New Roman"/>
                      <w:color w:val="000000" w:themeColor="text1"/>
                      <w:u w:val="none"/>
                      <w14:textFill>
                        <w14:solidFill>
                          <w14:schemeClr w14:val="tx1"/>
                        </w14:solidFill>
                      </w14:textFill>
                    </w:rPr>
                  </w:pPr>
                  <w:r>
                    <w:rPr>
                      <w:rFonts w:hint="default" w:ascii="Times New Roman" w:hAnsi="Times New Roman" w:eastAsia="宋体" w:cs="Times New Roman"/>
                      <w:color w:val="000000" w:themeColor="text1"/>
                      <w:u w:val="none"/>
                      <w14:textFill>
                        <w14:solidFill>
                          <w14:schemeClr w14:val="tx1"/>
                        </w14:solidFill>
                      </w14:textFill>
                    </w:rPr>
                    <w:t>•制订合适的建筑材料运输计划，避开现有道路交通高峰。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jc w:val="center"/>
              </w:trPr>
              <w:tc>
                <w:tcPr>
                  <w:tcW w:w="448" w:type="dxa"/>
                  <w:shd w:val="clear" w:color="auto" w:fill="FFFFFF"/>
                  <w:vAlign w:val="center"/>
                </w:tcPr>
                <w:p>
                  <w:pPr>
                    <w:pageBreakBefore w:val="0"/>
                    <w:kinsoku/>
                    <w:bidi w:val="0"/>
                    <w:spacing w:beforeAutospacing="0" w:afterAutospacing="0"/>
                    <w:jc w:val="center"/>
                    <w:rPr>
                      <w:rFonts w:hint="default" w:ascii="Times New Roman" w:hAnsi="Times New Roman" w:eastAsia="宋体" w:cs="Times New Roman"/>
                      <w:color w:val="000000" w:themeColor="text1"/>
                      <w:u w:val="none"/>
                      <w14:textFill>
                        <w14:solidFill>
                          <w14:schemeClr w14:val="tx1"/>
                        </w14:solidFill>
                      </w14:textFill>
                    </w:rPr>
                  </w:pPr>
                  <w:r>
                    <w:rPr>
                      <w:rFonts w:hint="default" w:ascii="Times New Roman" w:hAnsi="Times New Roman" w:eastAsia="宋体" w:cs="Times New Roman"/>
                      <w:color w:val="000000" w:themeColor="text1"/>
                      <w:u w:val="none"/>
                      <w14:textFill>
                        <w14:solidFill>
                          <w14:schemeClr w14:val="tx1"/>
                        </w14:solidFill>
                      </w14:textFill>
                    </w:rPr>
                    <w:t>8</w:t>
                  </w:r>
                </w:p>
              </w:tc>
              <w:tc>
                <w:tcPr>
                  <w:tcW w:w="1179" w:type="dxa"/>
                  <w:shd w:val="clear" w:color="auto" w:fill="FFFFFF"/>
                  <w:vAlign w:val="center"/>
                </w:tcPr>
                <w:p>
                  <w:pPr>
                    <w:pageBreakBefore w:val="0"/>
                    <w:kinsoku/>
                    <w:bidi w:val="0"/>
                    <w:spacing w:beforeAutospacing="0" w:afterAutospacing="0"/>
                    <w:jc w:val="center"/>
                    <w:rPr>
                      <w:rFonts w:hint="default" w:ascii="Times New Roman" w:hAnsi="Times New Roman" w:eastAsia="宋体" w:cs="Times New Roman"/>
                      <w:color w:val="000000" w:themeColor="text1"/>
                      <w:u w:val="none"/>
                      <w14:textFill>
                        <w14:solidFill>
                          <w14:schemeClr w14:val="tx1"/>
                        </w14:solidFill>
                      </w14:textFill>
                    </w:rPr>
                  </w:pPr>
                  <w:r>
                    <w:rPr>
                      <w:rFonts w:hint="default" w:ascii="Times New Roman" w:hAnsi="Times New Roman" w:eastAsia="宋体" w:cs="Times New Roman"/>
                      <w:color w:val="000000" w:themeColor="text1"/>
                      <w:u w:val="none"/>
                      <w14:textFill>
                        <w14:solidFill>
                          <w14:schemeClr w14:val="tx1"/>
                        </w14:solidFill>
                      </w14:textFill>
                    </w:rPr>
                    <w:t>环保设施</w:t>
                  </w:r>
                </w:p>
              </w:tc>
              <w:tc>
                <w:tcPr>
                  <w:tcW w:w="6911" w:type="dxa"/>
                  <w:shd w:val="clear" w:color="auto" w:fill="FFFFFF"/>
                  <w:vAlign w:val="center"/>
                </w:tcPr>
                <w:p>
                  <w:pPr>
                    <w:pageBreakBefore w:val="0"/>
                    <w:kinsoku/>
                    <w:bidi w:val="0"/>
                    <w:spacing w:beforeAutospacing="0" w:afterAutospacing="0"/>
                    <w:rPr>
                      <w:rFonts w:hint="default" w:ascii="Times New Roman" w:hAnsi="Times New Roman" w:eastAsia="宋体" w:cs="Times New Roman"/>
                      <w:color w:val="000000" w:themeColor="text1"/>
                      <w:u w:val="none"/>
                      <w14:textFill>
                        <w14:solidFill>
                          <w14:schemeClr w14:val="tx1"/>
                        </w14:solidFill>
                      </w14:textFill>
                    </w:rPr>
                  </w:pPr>
                  <w:r>
                    <w:rPr>
                      <w:rFonts w:hint="default" w:ascii="Times New Roman" w:hAnsi="Times New Roman" w:eastAsia="宋体" w:cs="Times New Roman"/>
                      <w:color w:val="000000" w:themeColor="text1"/>
                      <w:u w:val="none"/>
                      <w14:textFill>
                        <w14:solidFill>
                          <w14:schemeClr w14:val="tx1"/>
                        </w14:solidFill>
                      </w14:textFill>
                    </w:rPr>
                    <w:t>•环评报告及环保部门批复的环保设施应与主体工程同时施工建设。</w:t>
                  </w:r>
                </w:p>
              </w:tc>
            </w:tr>
          </w:tbl>
          <w:p>
            <w:pPr>
              <w:pStyle w:val="23"/>
              <w:pageBreakBefore w:val="0"/>
              <w:kinsoku/>
              <w:bidi w:val="0"/>
              <w:spacing w:before="0" w:beforeAutospacing="0" w:after="0" w:afterAutospacing="0" w:line="360" w:lineRule="auto"/>
              <w:ind w:right="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（3）生产调试阶段环境监理内容</w:t>
            </w:r>
          </w:p>
          <w:p>
            <w:pPr>
              <w:pStyle w:val="23"/>
              <w:pageBreakBefore w:val="0"/>
              <w:kinsoku/>
              <w:bidi w:val="0"/>
              <w:spacing w:before="0" w:beforeAutospacing="0" w:after="0" w:afterAutospacing="0" w:line="360" w:lineRule="auto"/>
              <w:ind w:right="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①检查施工所在地建筑固废、生活垃圾、工地平整的清理情况。检查施工占领的工棚、料场、仓库等临时占地的清整情况。</w:t>
            </w:r>
          </w:p>
          <w:p>
            <w:pPr>
              <w:pStyle w:val="23"/>
              <w:pageBreakBefore w:val="0"/>
              <w:kinsoku/>
              <w:bidi w:val="0"/>
              <w:spacing w:before="0" w:beforeAutospacing="0" w:after="0" w:afterAutospacing="0" w:line="360" w:lineRule="auto"/>
              <w:ind w:right="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②生产调试运行前，检查与主体工程同步建设的防治污染和保护生态的措施是否完善。</w:t>
            </w:r>
          </w:p>
          <w:p>
            <w:pPr>
              <w:pStyle w:val="23"/>
              <w:pageBreakBefore w:val="0"/>
              <w:kinsoku/>
              <w:bidi w:val="0"/>
              <w:spacing w:before="0" w:beforeAutospacing="0" w:after="0" w:afterAutospacing="0" w:line="360" w:lineRule="auto"/>
              <w:ind w:right="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③项目完成后协助建设单位进行生产调试，编制环境监理阶段报告。</w:t>
            </w:r>
          </w:p>
          <w:p>
            <w:pPr>
              <w:pStyle w:val="23"/>
              <w:pageBreakBefore w:val="0"/>
              <w:kinsoku/>
              <w:bidi w:val="0"/>
              <w:spacing w:before="0" w:beforeAutospacing="0" w:after="0" w:afterAutospacing="0" w:line="360" w:lineRule="auto"/>
              <w:ind w:right="0" w:firstLineChars="200"/>
              <w:jc w:val="both"/>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④生产调试阶段，协助建设单位完善主体工程配套环保设施和生态保护措施，健全环境管理体系并有效运转。</w:t>
            </w:r>
          </w:p>
          <w:p>
            <w:pPr>
              <w:pStyle w:val="2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ind w:right="0" w:firstLineChars="200"/>
              <w:jc w:val="both"/>
              <w:textAlignment w:val="auto"/>
              <w:rPr>
                <w:rFonts w:hint="default" w:ascii="Times New Roman" w:hAnsi="Times New Roman" w:eastAsia="宋体" w:cs="Times New Roman"/>
                <w:bCs/>
                <w:color w:val="000000" w:themeColor="text1"/>
                <w:spacing w:val="10"/>
                <w:szCs w:val="21"/>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⑤协助建设单位组织开展建设项目竣工环境保护验收准备工作，编制环境监理总报告，向建设单位移交环境监理档案资料</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91" w:hRule="atLeast"/>
          <w:jc w:val="center"/>
        </w:trPr>
        <w:tc>
          <w:tcPr>
            <w:tcW w:w="456" w:type="dxa"/>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ind w:firstLine="0" w:firstLineChars="0"/>
              <w:jc w:val="center"/>
              <w:textAlignment w:val="auto"/>
              <w:rPr>
                <w:rFonts w:hint="default" w:ascii="Times New Roman" w:hAnsi="Times New Roman" w:eastAsia="宋体" w:cs="Times New Roman"/>
                <w:bCs/>
                <w:color w:val="000000" w:themeColor="text1"/>
                <w:spacing w:val="10"/>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环保投资</w:t>
            </w:r>
          </w:p>
        </w:tc>
        <w:tc>
          <w:tcPr>
            <w:tcW w:w="8754" w:type="dxa"/>
            <w:vAlign w:val="top"/>
          </w:tcPr>
          <w:p>
            <w:pPr>
              <w:pStyle w:val="11"/>
              <w:pageBreakBefore w:val="0"/>
              <w:kinsoku/>
              <w:bidi w:val="0"/>
              <w:spacing w:beforeAutospacing="0" w:afterAutospacing="0"/>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pPr>
            <w:bookmarkStart w:id="85" w:name="_Toc30417"/>
            <w:bookmarkStart w:id="86" w:name="_Toc18651"/>
            <w:bookmarkStart w:id="87" w:name="_Toc20314"/>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5.</w:t>
            </w:r>
            <w:r>
              <w:rPr>
                <w:rFonts w:hint="eastAsia" w:ascii="Times New Roman" w:hAnsi="Times New Roman" w:eastAsia="宋体" w:cs="Times New Roman"/>
                <w:color w:val="000000" w:themeColor="text1"/>
                <w:sz w:val="32"/>
                <w:szCs w:val="32"/>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32"/>
                <w:szCs w:val="32"/>
                <w:highlight w:val="none"/>
                <w:lang w:val="en-US" w:eastAsia="zh-CN"/>
                <w14:textFill>
                  <w14:solidFill>
                    <w14:schemeClr w14:val="tx1"/>
                  </w14:solidFill>
                </w14:textFill>
              </w:rPr>
              <w:t>环保投资</w:t>
            </w:r>
            <w:bookmarkEnd w:id="85"/>
            <w:bookmarkEnd w:id="86"/>
            <w:bookmarkEnd w:id="87"/>
          </w:p>
          <w:p>
            <w:pPr>
              <w:pageBreakBefore w:val="0"/>
              <w:kinsoku/>
              <w:bidi w:val="0"/>
              <w:spacing w:beforeAutospacing="0" w:afterAutospacing="0"/>
              <w:ind w:firstLine="482"/>
              <w:jc w:val="center"/>
              <w:rPr>
                <w:rFonts w:hint="default" w:ascii="Times New Roman" w:hAnsi="Times New Roman" w:eastAsia="宋体" w:cs="Times New Roman"/>
                <w:b/>
                <w:bCs/>
                <w:color w:val="000000" w:themeColor="text1"/>
                <w:kern w:val="0"/>
                <w:sz w:val="24"/>
                <w:szCs w:val="24"/>
                <w:highlight w:val="none"/>
                <w:u w:val="none" w:color="auto"/>
                <w:shd w:val="clear" w:color="auto" w:fill="auto"/>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u w:val="none" w:color="auto"/>
                <w:shd w:val="clear" w:color="auto" w:fill="auto"/>
                <w:lang w:val="en-US" w:eastAsia="zh-CN" w:bidi="ar-SA"/>
                <w14:textFill>
                  <w14:solidFill>
                    <w14:schemeClr w14:val="tx1"/>
                  </w14:solidFill>
                </w14:textFill>
              </w:rPr>
              <w:t>表5.</w:t>
            </w:r>
            <w:r>
              <w:rPr>
                <w:rFonts w:hint="eastAsia" w:ascii="Times New Roman" w:hAnsi="Times New Roman" w:eastAsia="宋体" w:cs="Times New Roman"/>
                <w:b/>
                <w:bCs/>
                <w:color w:val="000000" w:themeColor="text1"/>
                <w:kern w:val="0"/>
                <w:sz w:val="24"/>
                <w:szCs w:val="24"/>
                <w:highlight w:val="none"/>
                <w:u w:val="none" w:color="auto"/>
                <w:shd w:val="clear" w:color="auto" w:fill="auto"/>
                <w:lang w:val="en-US" w:eastAsia="zh-CN" w:bidi="ar-SA"/>
                <w14:textFill>
                  <w14:solidFill>
                    <w14:schemeClr w14:val="tx1"/>
                  </w14:solidFill>
                </w14:textFill>
              </w:rPr>
              <w:t>10-</w:t>
            </w:r>
            <w:r>
              <w:rPr>
                <w:rFonts w:hint="default" w:ascii="Times New Roman" w:hAnsi="Times New Roman" w:eastAsia="宋体" w:cs="Times New Roman"/>
                <w:b/>
                <w:bCs/>
                <w:color w:val="000000" w:themeColor="text1"/>
                <w:kern w:val="0"/>
                <w:sz w:val="24"/>
                <w:szCs w:val="24"/>
                <w:highlight w:val="none"/>
                <w:u w:val="none" w:color="auto"/>
                <w:shd w:val="clear" w:color="auto" w:fill="auto"/>
                <w:lang w:val="en-US" w:eastAsia="zh-CN" w:bidi="ar-SA"/>
                <w14:textFill>
                  <w14:solidFill>
                    <w14:schemeClr w14:val="tx1"/>
                  </w14:solidFill>
                </w14:textFill>
              </w:rPr>
              <w:t>1  环境保护投资概算一览表</w:t>
            </w:r>
          </w:p>
          <w:tbl>
            <w:tblPr>
              <w:tblStyle w:val="33"/>
              <w:tblW w:w="852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8"/>
              <w:gridCol w:w="948"/>
              <w:gridCol w:w="1718"/>
              <w:gridCol w:w="3696"/>
              <w:gridCol w:w="15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8" w:type="dxa"/>
                  <w:tcBorders>
                    <w:tl2br w:val="nil"/>
                    <w:tr2bl w:val="nil"/>
                  </w:tcBorders>
                  <w:vAlign w:val="center"/>
                </w:tcPr>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shd w:val="clear" w:color="auto" w:fill="auto"/>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u w:val="none" w:color="auto"/>
                      <w:shd w:val="clear" w:color="auto" w:fill="auto"/>
                      <w:lang w:val="en-US" w:eastAsia="zh-CN" w:bidi="ar"/>
                      <w14:textFill>
                        <w14:solidFill>
                          <w14:schemeClr w14:val="tx1"/>
                        </w14:solidFill>
                      </w14:textFill>
                    </w:rPr>
                    <w:t>序号</w:t>
                  </w:r>
                </w:p>
              </w:tc>
              <w:tc>
                <w:tcPr>
                  <w:tcW w:w="948" w:type="dxa"/>
                  <w:tcBorders>
                    <w:tl2br w:val="nil"/>
                    <w:tr2bl w:val="nil"/>
                  </w:tcBorders>
                  <w:vAlign w:val="center"/>
                </w:tcPr>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shd w:val="clear" w:color="auto" w:fill="auto"/>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u w:val="none" w:color="auto"/>
                      <w:shd w:val="clear" w:color="auto" w:fill="auto"/>
                      <w:lang w:val="en-US" w:eastAsia="zh-CN" w:bidi="ar"/>
                      <w14:textFill>
                        <w14:solidFill>
                          <w14:schemeClr w14:val="tx1"/>
                        </w14:solidFill>
                      </w14:textFill>
                    </w:rPr>
                    <w:t>污染源</w:t>
                  </w:r>
                </w:p>
              </w:tc>
              <w:tc>
                <w:tcPr>
                  <w:tcW w:w="1718" w:type="dxa"/>
                  <w:tcBorders>
                    <w:tl2br w:val="nil"/>
                    <w:tr2bl w:val="nil"/>
                  </w:tcBorders>
                  <w:vAlign w:val="center"/>
                </w:tcPr>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shd w:val="clear" w:color="auto" w:fill="auto"/>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u w:val="none" w:color="auto"/>
                      <w:shd w:val="clear" w:color="auto" w:fill="auto"/>
                      <w:lang w:val="en-US" w:eastAsia="zh-CN" w:bidi="ar"/>
                      <w14:textFill>
                        <w14:solidFill>
                          <w14:schemeClr w14:val="tx1"/>
                        </w14:solidFill>
                      </w14:textFill>
                    </w:rPr>
                    <w:t>治理对象</w:t>
                  </w:r>
                </w:p>
              </w:tc>
              <w:tc>
                <w:tcPr>
                  <w:tcW w:w="3696" w:type="dxa"/>
                  <w:tcBorders>
                    <w:tl2br w:val="nil"/>
                    <w:tr2bl w:val="nil"/>
                  </w:tcBorders>
                  <w:vAlign w:val="center"/>
                </w:tcPr>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shd w:val="clear" w:color="auto" w:fill="auto"/>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u w:val="none" w:color="auto"/>
                      <w:shd w:val="clear" w:color="auto" w:fill="auto"/>
                      <w:lang w:val="en-US" w:eastAsia="zh-CN" w:bidi="ar"/>
                      <w14:textFill>
                        <w14:solidFill>
                          <w14:schemeClr w14:val="tx1"/>
                        </w14:solidFill>
                      </w14:textFill>
                    </w:rPr>
                    <w:t>治理措施</w:t>
                  </w:r>
                </w:p>
              </w:tc>
              <w:tc>
                <w:tcPr>
                  <w:tcW w:w="1501" w:type="dxa"/>
                  <w:tcBorders>
                    <w:tl2br w:val="nil"/>
                    <w:tr2bl w:val="nil"/>
                  </w:tcBorders>
                  <w:vAlign w:val="center"/>
                </w:tcPr>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kern w:val="2"/>
                      <w:sz w:val="21"/>
                      <w:szCs w:val="21"/>
                      <w:highlight w:val="none"/>
                      <w:u w:val="none" w:color="auto"/>
                      <w:shd w:val="clear" w:color="auto" w:fill="auto"/>
                      <w14:textFill>
                        <w14:solidFill>
                          <w14:schemeClr w14:val="tx1"/>
                        </w14:solidFill>
                      </w14:textFill>
                    </w:rPr>
                  </w:pPr>
                  <w:r>
                    <w:rPr>
                      <w:rFonts w:hint="default" w:ascii="Times New Roman" w:hAnsi="Times New Roman" w:eastAsia="宋体" w:cs="Times New Roman"/>
                      <w:b w:val="0"/>
                      <w:bCs w:val="0"/>
                      <w:snapToGrid/>
                      <w:color w:val="000000" w:themeColor="text1"/>
                      <w:kern w:val="2"/>
                      <w:sz w:val="21"/>
                      <w:szCs w:val="21"/>
                      <w:highlight w:val="none"/>
                      <w:u w:val="none" w:color="auto"/>
                      <w:shd w:val="clear" w:color="auto" w:fill="auto"/>
                      <w:lang w:val="en-US" w:eastAsia="zh-CN" w:bidi="ar"/>
                      <w14:textFill>
                        <w14:solidFill>
                          <w14:schemeClr w14:val="tx1"/>
                        </w14:solidFill>
                      </w14:textFill>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1" w:hRule="atLeast"/>
                <w:jc w:val="center"/>
              </w:trPr>
              <w:tc>
                <w:tcPr>
                  <w:tcW w:w="658" w:type="dxa"/>
                  <w:tcBorders>
                    <w:tl2br w:val="nil"/>
                    <w:tr2bl w:val="nil"/>
                  </w:tcBorders>
                  <w:vAlign w:val="center"/>
                </w:tcPr>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szCs w:val="21"/>
                      <w:highlight w:val="none"/>
                      <w:u w:val="none" w:color="auto"/>
                      <w:shd w:val="clear" w:color="auto" w:fill="auto"/>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u w:val="none" w:color="auto"/>
                      <w:shd w:val="clear" w:color="auto" w:fill="auto"/>
                      <w:lang w:val="en-US" w:eastAsia="zh-CN" w:bidi="ar"/>
                      <w14:textFill>
                        <w14:solidFill>
                          <w14:schemeClr w14:val="tx1"/>
                        </w14:solidFill>
                      </w14:textFill>
                    </w:rPr>
                    <w:t>1</w:t>
                  </w:r>
                </w:p>
              </w:tc>
              <w:tc>
                <w:tcPr>
                  <w:tcW w:w="948" w:type="dxa"/>
                  <w:tcBorders>
                    <w:tl2br w:val="nil"/>
                    <w:tr2bl w:val="nil"/>
                  </w:tcBorders>
                  <w:vAlign w:val="center"/>
                </w:tcPr>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u w:val="none" w:color="auto"/>
                      <w:shd w:val="clear" w:color="auto" w:fill="auto"/>
                      <w:lang w:val="en-US" w:eastAsia="zh-CN" w:bidi="ar"/>
                      <w14:textFill>
                        <w14:solidFill>
                          <w14:schemeClr w14:val="tx1"/>
                        </w14:solidFill>
                      </w14:textFill>
                    </w:rPr>
                    <w:t>废水</w:t>
                  </w:r>
                </w:p>
              </w:tc>
              <w:tc>
                <w:tcPr>
                  <w:tcW w:w="1718" w:type="dxa"/>
                  <w:tcBorders>
                    <w:tl2br w:val="nil"/>
                    <w:tr2bl w:val="nil"/>
                  </w:tcBorders>
                  <w:vAlign w:val="center"/>
                </w:tcPr>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u w:val="non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color="auto"/>
                      <w:shd w:val="clear" w:color="auto" w:fill="auto"/>
                      <w:lang w:val="en-US" w:eastAsia="zh-CN"/>
                      <w14:textFill>
                        <w14:solidFill>
                          <w14:schemeClr w14:val="tx1"/>
                        </w14:solidFill>
                      </w14:textFill>
                    </w:rPr>
                    <w:t>生产废水</w:t>
                  </w:r>
                </w:p>
              </w:tc>
              <w:tc>
                <w:tcPr>
                  <w:tcW w:w="3696" w:type="dxa"/>
                  <w:tcBorders>
                    <w:tl2br w:val="nil"/>
                    <w:tr2bl w:val="nil"/>
                  </w:tcBorders>
                  <w:vAlign w:val="center"/>
                </w:tcPr>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both"/>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lang w:val="en-US"/>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修建截水沟，将</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场地平整区</w:t>
                  </w:r>
                  <w:r>
                    <w:rPr>
                      <w:rFonts w:hint="default" w:ascii="Times New Roman" w:hAnsi="Times New Roman" w:eastAsia="宋体" w:cs="Times New Roman"/>
                      <w:color w:val="000000" w:themeColor="text1"/>
                      <w:sz w:val="21"/>
                      <w:szCs w:val="21"/>
                      <w:highlight w:val="none"/>
                      <w14:textFill>
                        <w14:solidFill>
                          <w14:schemeClr w14:val="tx1"/>
                        </w14:solidFill>
                      </w14:textFill>
                    </w:rPr>
                    <w:t>上方雨水截流排往场外</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洗车废水经5m</w:t>
                  </w:r>
                  <w:r>
                    <w:rPr>
                      <w:rFonts w:hint="eastAsia" w:ascii="Times New Roman" w:hAnsi="Times New Roman" w:eastAsia="宋体" w:cs="Times New Roman"/>
                      <w:bCs/>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隔油池和沉淀池隔油、沉淀处理后回用；初期雨水池经沉淀池收集沉淀（总容积约4500m</w:t>
                  </w:r>
                  <w:r>
                    <w:rPr>
                      <w:rFonts w:hint="eastAsia" w:ascii="Times New Roman" w:hAnsi="Times New Roman" w:eastAsia="宋体" w:cs="Times New Roman"/>
                      <w:bCs/>
                      <w:color w:val="000000" w:themeColor="text1"/>
                      <w:sz w:val="21"/>
                      <w:szCs w:val="21"/>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1"/>
                      <w:szCs w:val="21"/>
                      <w:highlight w:val="none"/>
                      <w14:textFill>
                        <w14:solidFill>
                          <w14:schemeClr w14:val="tx1"/>
                        </w14:solidFill>
                      </w14:textFill>
                    </w:rPr>
                    <w:t>处</w:t>
                  </w:r>
                  <w:r>
                    <w:rPr>
                      <w:rFonts w:hint="eastAsia" w:ascii="Times New Roman" w:hAnsi="Times New Roman" w:eastAsia="宋体"/>
                      <w:bCs/>
                      <w:color w:val="000000" w:themeColor="text1"/>
                      <w:sz w:val="21"/>
                      <w:szCs w:val="21"/>
                      <w:highlight w:val="none"/>
                      <w14:textFill>
                        <w14:solidFill>
                          <w14:schemeClr w14:val="tx1"/>
                        </w14:solidFill>
                      </w14:textFill>
                    </w:rPr>
                    <w:t>理后回用</w:t>
                  </w: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生产</w:t>
                  </w:r>
                  <w:r>
                    <w:rPr>
                      <w:rFonts w:hint="eastAsia" w:ascii="Times New Roman" w:hAnsi="Times New Roman" w:eastAsia="宋体"/>
                      <w:bCs/>
                      <w:color w:val="000000" w:themeColor="text1"/>
                      <w:sz w:val="21"/>
                      <w:szCs w:val="21"/>
                      <w:highlight w:val="none"/>
                      <w14:textFill>
                        <w14:solidFill>
                          <w14:schemeClr w14:val="tx1"/>
                        </w14:solidFill>
                      </w14:textFill>
                    </w:rPr>
                    <w:t>，不外排</w:t>
                  </w:r>
                </w:p>
              </w:tc>
              <w:tc>
                <w:tcPr>
                  <w:tcW w:w="1501" w:type="dxa"/>
                  <w:tcBorders>
                    <w:tl2br w:val="nil"/>
                    <w:tr2bl w:val="nil"/>
                  </w:tcBorders>
                  <w:vAlign w:val="center"/>
                </w:tcPr>
                <w:p>
                  <w:pPr>
                    <w:keepNext w:val="0"/>
                    <w:keepLines w:val="0"/>
                    <w:pageBreakBefore w:val="0"/>
                    <w:widowControl/>
                    <w:suppressLineNumbers w:val="0"/>
                    <w:kinsoku/>
                    <w:bidi w:val="0"/>
                    <w:spacing w:beforeAutospacing="0" w:afterAutospacing="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658" w:type="dxa"/>
                  <w:tcBorders>
                    <w:tl2br w:val="nil"/>
                    <w:tr2bl w:val="nil"/>
                  </w:tcBorders>
                  <w:vAlign w:val="center"/>
                </w:tcPr>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shd w:val="clear" w:color="auto" w:fill="auto"/>
                      <w:lang w:val="en-US" w:eastAsia="zh-CN" w:bidi="ar"/>
                      <w14:textFill>
                        <w14:solidFill>
                          <w14:schemeClr w14:val="tx1"/>
                        </w14:solidFill>
                      </w14:textFill>
                    </w:rPr>
                    <w:t>2</w:t>
                  </w:r>
                </w:p>
              </w:tc>
              <w:tc>
                <w:tcPr>
                  <w:tcW w:w="948" w:type="dxa"/>
                  <w:tcBorders>
                    <w:tl2br w:val="nil"/>
                    <w:tr2bl w:val="nil"/>
                  </w:tcBorders>
                  <w:vAlign w:val="center"/>
                </w:tcPr>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shd w:val="clear" w:color="auto" w:fill="auto"/>
                      <w:lang w:val="en-US" w:eastAsia="zh-CN" w:bidi="ar"/>
                      <w14:textFill>
                        <w14:solidFill>
                          <w14:schemeClr w14:val="tx1"/>
                        </w14:solidFill>
                      </w14:textFill>
                    </w:rPr>
                    <w:t>施工期</w:t>
                  </w:r>
                  <w:r>
                    <w:rPr>
                      <w:rFonts w:hint="default" w:ascii="Times New Roman" w:hAnsi="Times New Roman" w:eastAsia="宋体" w:cs="Times New Roman"/>
                      <w:snapToGrid/>
                      <w:color w:val="000000" w:themeColor="text1"/>
                      <w:kern w:val="2"/>
                      <w:sz w:val="21"/>
                      <w:szCs w:val="21"/>
                      <w:highlight w:val="none"/>
                      <w:u w:val="none" w:color="auto"/>
                      <w:shd w:val="clear" w:color="auto" w:fill="auto"/>
                      <w:lang w:val="en-US" w:eastAsia="zh-CN" w:bidi="ar"/>
                      <w14:textFill>
                        <w14:solidFill>
                          <w14:schemeClr w14:val="tx1"/>
                        </w14:solidFill>
                      </w14:textFill>
                    </w:rPr>
                    <w:t>废气</w:t>
                  </w:r>
                </w:p>
              </w:tc>
              <w:tc>
                <w:tcPr>
                  <w:tcW w:w="1718" w:type="dxa"/>
                  <w:tcBorders>
                    <w:tl2br w:val="nil"/>
                    <w:tr2bl w:val="nil"/>
                  </w:tcBorders>
                  <w:vAlign w:val="center"/>
                </w:tcPr>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szCs w:val="21"/>
                      <w:highlight w:val="none"/>
                      <w:u w:val="none" w:color="auto"/>
                      <w:shd w:val="clear" w:color="auto" w:fill="auto"/>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u w:val="none" w:color="auto"/>
                      <w:shd w:val="clear" w:color="auto" w:fill="auto"/>
                      <w:lang w:val="en-US" w:eastAsia="zh-CN" w:bidi="ar"/>
                      <w14:textFill>
                        <w14:solidFill>
                          <w14:schemeClr w14:val="tx1"/>
                        </w14:solidFill>
                      </w14:textFill>
                    </w:rPr>
                    <w:t>颗粒物</w:t>
                  </w:r>
                </w:p>
              </w:tc>
              <w:tc>
                <w:tcPr>
                  <w:tcW w:w="3696" w:type="dxa"/>
                  <w:tcBorders>
                    <w:tl2br w:val="nil"/>
                    <w:tr2bl w:val="nil"/>
                  </w:tcBorders>
                  <w:vAlign w:val="center"/>
                </w:tcPr>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szCs w:val="21"/>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喷雾</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洒水</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抑尘</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、覆盖篷布等抑尘措施</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、干式除尘器</w:t>
                  </w:r>
                </w:p>
              </w:tc>
              <w:tc>
                <w:tcPr>
                  <w:tcW w:w="1501" w:type="dxa"/>
                  <w:tcBorders>
                    <w:tl2br w:val="nil"/>
                    <w:tr2bl w:val="nil"/>
                  </w:tcBorders>
                  <w:vAlign w:val="center"/>
                </w:tcPr>
                <w:p>
                  <w:pPr>
                    <w:keepNext w:val="0"/>
                    <w:keepLines w:val="0"/>
                    <w:pageBreakBefore w:val="0"/>
                    <w:widowControl/>
                    <w:suppressLineNumbers w:val="0"/>
                    <w:kinsoku/>
                    <w:bidi w:val="0"/>
                    <w:spacing w:beforeAutospacing="0" w:afterAutospacing="0"/>
                    <w:jc w:val="center"/>
                    <w:textAlignment w:val="center"/>
                    <w:rPr>
                      <w:rFonts w:hint="default" w:ascii="Times New Roman" w:hAnsi="Times New Roman" w:eastAsia="宋体" w:cs="Times New Roman"/>
                      <w:color w:val="000000" w:themeColor="text1"/>
                      <w:kern w:val="2"/>
                      <w:sz w:val="21"/>
                      <w:szCs w:val="21"/>
                      <w:highlight w:val="none"/>
                      <w:u w:val="none" w:color="auto"/>
                      <w:shd w:val="clear" w:color="auto" w:fill="auto"/>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658" w:type="dxa"/>
                  <w:tcBorders>
                    <w:tl2br w:val="nil"/>
                    <w:tr2bl w:val="nil"/>
                  </w:tcBorders>
                  <w:vAlign w:val="center"/>
                </w:tcPr>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1"/>
                      <w:szCs w:val="21"/>
                      <w:highlight w:val="none"/>
                      <w:u w:val="none" w:color="auto"/>
                      <w:shd w:val="clear" w:color="auto" w:fill="auto"/>
                      <w:lang w:val="en-US" w:eastAsia="zh-CN" w:bidi="ar-SA"/>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shd w:val="clear" w:color="auto" w:fill="auto"/>
                      <w:lang w:val="en-US" w:eastAsia="zh-CN" w:bidi="ar"/>
                      <w14:textFill>
                        <w14:solidFill>
                          <w14:schemeClr w14:val="tx1"/>
                        </w14:solidFill>
                      </w14:textFill>
                    </w:rPr>
                    <w:t>3</w:t>
                  </w:r>
                </w:p>
              </w:tc>
              <w:tc>
                <w:tcPr>
                  <w:tcW w:w="948" w:type="dxa"/>
                  <w:tcBorders>
                    <w:tl2br w:val="nil"/>
                    <w:tr2bl w:val="nil"/>
                  </w:tcBorders>
                  <w:vAlign w:val="center"/>
                </w:tcPr>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szCs w:val="21"/>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snapToGrid/>
                      <w:color w:val="000000" w:themeColor="text1"/>
                      <w:kern w:val="2"/>
                      <w:sz w:val="21"/>
                      <w:szCs w:val="21"/>
                      <w:highlight w:val="none"/>
                      <w:u w:val="none" w:color="auto"/>
                      <w:shd w:val="clear" w:color="auto" w:fill="auto"/>
                      <w:lang w:val="en-US" w:eastAsia="zh-CN" w:bidi="ar"/>
                      <w14:textFill>
                        <w14:solidFill>
                          <w14:schemeClr w14:val="tx1"/>
                        </w14:solidFill>
                      </w14:textFill>
                    </w:rPr>
                    <w:t>运营期废气</w:t>
                  </w:r>
                </w:p>
              </w:tc>
              <w:tc>
                <w:tcPr>
                  <w:tcW w:w="1718" w:type="dxa"/>
                  <w:tcBorders>
                    <w:tl2br w:val="nil"/>
                    <w:tr2bl w:val="nil"/>
                  </w:tcBorders>
                  <w:vAlign w:val="center"/>
                </w:tcPr>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napToGrid/>
                      <w:color w:val="000000" w:themeColor="text1"/>
                      <w:kern w:val="2"/>
                      <w:sz w:val="21"/>
                      <w:szCs w:val="21"/>
                      <w:highlight w:val="none"/>
                      <w:u w:val="none" w:color="auto"/>
                      <w:shd w:val="clear" w:color="auto" w:fill="auto"/>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u w:val="none" w:color="auto"/>
                      <w:shd w:val="clear" w:color="auto" w:fill="auto"/>
                      <w:lang w:val="en-US" w:eastAsia="zh-CN" w:bidi="ar"/>
                      <w14:textFill>
                        <w14:solidFill>
                          <w14:schemeClr w14:val="tx1"/>
                        </w14:solidFill>
                      </w14:textFill>
                    </w:rPr>
                    <w:t>颗粒物</w:t>
                  </w:r>
                </w:p>
              </w:tc>
              <w:tc>
                <w:tcPr>
                  <w:tcW w:w="3696" w:type="dxa"/>
                  <w:tcBorders>
                    <w:tl2br w:val="nil"/>
                    <w:tr2bl w:val="nil"/>
                  </w:tcBorders>
                  <w:vAlign w:val="center"/>
                </w:tcPr>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snapToGrid/>
                      <w:color w:val="000000" w:themeColor="text1"/>
                      <w:kern w:val="2"/>
                      <w:sz w:val="21"/>
                      <w:szCs w:val="21"/>
                      <w:highlight w:val="none"/>
                      <w:u w:val="none" w:color="auto"/>
                      <w:shd w:val="clear" w:color="auto" w:fill="auto"/>
                      <w:lang w:val="en-US" w:eastAsia="zh-CN" w:bidi="ar"/>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喷雾</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洒水</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抑尘</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、覆盖篷布等抑尘措施</w:t>
                  </w:r>
                </w:p>
              </w:tc>
              <w:tc>
                <w:tcPr>
                  <w:tcW w:w="1501" w:type="dxa"/>
                  <w:tcBorders>
                    <w:tl2br w:val="nil"/>
                    <w:tr2bl w:val="nil"/>
                  </w:tcBorders>
                  <w:vAlign w:val="center"/>
                </w:tcPr>
                <w:p>
                  <w:pPr>
                    <w:keepNext w:val="0"/>
                    <w:keepLines w:val="0"/>
                    <w:pageBreakBefore w:val="0"/>
                    <w:widowControl/>
                    <w:suppressLineNumbers w:val="0"/>
                    <w:kinsoku/>
                    <w:bidi w:val="0"/>
                    <w:spacing w:beforeAutospacing="0" w:afterAutospacing="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8" w:type="dxa"/>
                  <w:tcBorders>
                    <w:tl2br w:val="nil"/>
                    <w:tr2bl w:val="nil"/>
                  </w:tcBorders>
                  <w:vAlign w:val="center"/>
                </w:tcPr>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color="auto"/>
                      <w:shd w:val="clear" w:color="auto" w:fill="auto"/>
                      <w:lang w:val="en-US" w:eastAsia="zh-CN"/>
                      <w14:textFill>
                        <w14:solidFill>
                          <w14:schemeClr w14:val="tx1"/>
                        </w14:solidFill>
                      </w14:textFill>
                    </w:rPr>
                    <w:t>4</w:t>
                  </w:r>
                </w:p>
              </w:tc>
              <w:tc>
                <w:tcPr>
                  <w:tcW w:w="948" w:type="dxa"/>
                  <w:tcBorders>
                    <w:tl2br w:val="nil"/>
                    <w:tr2bl w:val="nil"/>
                  </w:tcBorders>
                  <w:vAlign w:val="center"/>
                </w:tcPr>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u w:val="none" w:color="auto"/>
                      <w:shd w:val="clear" w:color="auto" w:fill="auto"/>
                      <w:lang w:val="en-US" w:eastAsia="zh-CN" w:bidi="ar"/>
                      <w14:textFill>
                        <w14:solidFill>
                          <w14:schemeClr w14:val="tx1"/>
                        </w14:solidFill>
                      </w14:textFill>
                    </w:rPr>
                    <w:t>噪声</w:t>
                  </w:r>
                </w:p>
              </w:tc>
              <w:tc>
                <w:tcPr>
                  <w:tcW w:w="1718" w:type="dxa"/>
                  <w:tcBorders>
                    <w:tl2br w:val="nil"/>
                    <w:tr2bl w:val="nil"/>
                  </w:tcBorders>
                  <w:vAlign w:val="center"/>
                </w:tcPr>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szCs w:val="21"/>
                      <w:highlight w:val="none"/>
                      <w:u w:val="none" w:color="auto"/>
                      <w:shd w:val="clear" w:color="auto" w:fill="auto"/>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u w:val="none" w:color="auto"/>
                      <w:shd w:val="clear" w:color="auto" w:fill="auto"/>
                      <w:lang w:val="en-US" w:eastAsia="zh-CN" w:bidi="ar"/>
                      <w14:textFill>
                        <w14:solidFill>
                          <w14:schemeClr w14:val="tx1"/>
                        </w14:solidFill>
                      </w14:textFill>
                    </w:rPr>
                    <w:t>高噪声设备</w:t>
                  </w:r>
                </w:p>
              </w:tc>
              <w:tc>
                <w:tcPr>
                  <w:tcW w:w="3696" w:type="dxa"/>
                  <w:tcBorders>
                    <w:tl2br w:val="nil"/>
                    <w:tr2bl w:val="nil"/>
                  </w:tcBorders>
                  <w:vAlign w:val="center"/>
                </w:tcPr>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color w:val="000000" w:themeColor="text1"/>
                      <w:kern w:val="2"/>
                      <w:sz w:val="21"/>
                      <w:szCs w:val="21"/>
                      <w:highlight w:val="none"/>
                      <w:u w:val="none" w:color="auto"/>
                      <w:shd w:val="clear" w:color="auto" w:fill="auto"/>
                      <w:lang w:val="en-US" w:eastAsia="zh-CN" w:bidi="ar"/>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u w:val="none" w:color="auto"/>
                      <w:shd w:val="clear" w:color="auto" w:fill="auto"/>
                      <w:lang w:val="en-US" w:eastAsia="zh-CN" w:bidi="ar"/>
                      <w14:textFill>
                        <w14:solidFill>
                          <w14:schemeClr w14:val="tx1"/>
                        </w14:solidFill>
                      </w14:textFill>
                    </w:rPr>
                    <w:t>采用低噪声设备，安装减震底座、隔声吸声材料等</w:t>
                  </w:r>
                </w:p>
              </w:tc>
              <w:tc>
                <w:tcPr>
                  <w:tcW w:w="1501" w:type="dxa"/>
                  <w:tcBorders>
                    <w:tl2br w:val="nil"/>
                    <w:tr2bl w:val="nil"/>
                  </w:tcBorders>
                  <w:vAlign w:val="center"/>
                </w:tcPr>
                <w:p>
                  <w:pPr>
                    <w:keepNext w:val="0"/>
                    <w:keepLines w:val="0"/>
                    <w:pageBreakBefore w:val="0"/>
                    <w:widowControl/>
                    <w:suppressLineNumbers w:val="0"/>
                    <w:kinsoku/>
                    <w:bidi w:val="0"/>
                    <w:spacing w:beforeAutospacing="0" w:afterAutospacing="0"/>
                    <w:jc w:val="center"/>
                    <w:textAlignment w:val="center"/>
                    <w:rPr>
                      <w:rFonts w:hint="default" w:ascii="Times New Roman" w:hAnsi="Times New Roman" w:eastAsia="宋体" w:cs="Times New Roman"/>
                      <w:color w:val="000000" w:themeColor="text1"/>
                      <w:kern w:val="2"/>
                      <w:sz w:val="21"/>
                      <w:szCs w:val="21"/>
                      <w:highlight w:val="none"/>
                      <w:u w:val="none" w:color="auto"/>
                      <w:shd w:val="clear" w:color="auto" w:fill="auto"/>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8" w:type="dxa"/>
                  <w:tcBorders>
                    <w:tl2br w:val="nil"/>
                    <w:tr2bl w:val="nil"/>
                  </w:tcBorders>
                  <w:vAlign w:val="center"/>
                </w:tcPr>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color="auto"/>
                      <w:shd w:val="clear" w:color="auto" w:fill="auto"/>
                      <w:lang w:val="en-US" w:eastAsia="zh-CN"/>
                      <w14:textFill>
                        <w14:solidFill>
                          <w14:schemeClr w14:val="tx1"/>
                        </w14:solidFill>
                      </w14:textFill>
                    </w:rPr>
                    <w:t>5</w:t>
                  </w:r>
                </w:p>
              </w:tc>
              <w:tc>
                <w:tcPr>
                  <w:tcW w:w="948" w:type="dxa"/>
                  <w:tcBorders>
                    <w:tl2br w:val="nil"/>
                    <w:tr2bl w:val="nil"/>
                  </w:tcBorders>
                  <w:vAlign w:val="center"/>
                </w:tcPr>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u w:val="none" w:color="auto"/>
                      <w:shd w:val="clear" w:color="auto" w:fill="auto"/>
                      <w:lang w:val="en-US" w:eastAsia="zh-CN" w:bidi="ar"/>
                      <w14:textFill>
                        <w14:solidFill>
                          <w14:schemeClr w14:val="tx1"/>
                        </w14:solidFill>
                      </w14:textFill>
                    </w:rPr>
                    <w:t>固废</w:t>
                  </w:r>
                </w:p>
              </w:tc>
              <w:tc>
                <w:tcPr>
                  <w:tcW w:w="1718" w:type="dxa"/>
                  <w:tcBorders>
                    <w:tl2br w:val="nil"/>
                    <w:tr2bl w:val="nil"/>
                  </w:tcBorders>
                  <w:vAlign w:val="center"/>
                </w:tcPr>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u w:val="none" w:color="auto"/>
                      <w:shd w:val="clear" w:color="auto" w:fill="auto"/>
                      <w:lang w:val="en-US" w:eastAsia="zh-CN" w:bidi="ar"/>
                      <w14:textFill>
                        <w14:solidFill>
                          <w14:schemeClr w14:val="tx1"/>
                        </w14:solidFill>
                      </w14:textFill>
                    </w:rPr>
                    <w:t>固体废物</w:t>
                  </w:r>
                </w:p>
              </w:tc>
              <w:tc>
                <w:tcPr>
                  <w:tcW w:w="3696" w:type="dxa"/>
                  <w:tcBorders>
                    <w:tl2br w:val="nil"/>
                    <w:tr2bl w:val="nil"/>
                  </w:tcBorders>
                  <w:vAlign w:val="center"/>
                </w:tcPr>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lang w:val="en-US"/>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u w:val="none" w:color="auto"/>
                      <w:shd w:val="clear" w:color="auto" w:fill="auto"/>
                      <w:lang w:val="en-US" w:eastAsia="zh-CN" w:bidi="ar"/>
                      <w14:textFill>
                        <w14:solidFill>
                          <w14:schemeClr w14:val="tx1"/>
                        </w14:solidFill>
                      </w14:textFill>
                    </w:rPr>
                    <w:t>固体废物暂存区、危废暂存间、垃圾桶</w:t>
                  </w:r>
                </w:p>
              </w:tc>
              <w:tc>
                <w:tcPr>
                  <w:tcW w:w="1501" w:type="dxa"/>
                  <w:tcBorders>
                    <w:tl2br w:val="nil"/>
                    <w:tr2bl w:val="nil"/>
                  </w:tcBorders>
                  <w:vAlign w:val="center"/>
                </w:tcPr>
                <w:p>
                  <w:pPr>
                    <w:keepNext w:val="0"/>
                    <w:keepLines w:val="0"/>
                    <w:pageBreakBefore w:val="0"/>
                    <w:widowControl/>
                    <w:suppressLineNumbers w:val="0"/>
                    <w:kinsoku/>
                    <w:bidi w:val="0"/>
                    <w:spacing w:beforeAutospacing="0" w:afterAutospacing="0"/>
                    <w:jc w:val="center"/>
                    <w:textAlignment w:val="center"/>
                    <w:rPr>
                      <w:rFonts w:hint="default" w:ascii="Times New Roman" w:hAnsi="Times New Roman" w:eastAsia="宋体" w:cs="Times New Roman"/>
                      <w:color w:val="000000" w:themeColor="text1"/>
                      <w:kern w:val="2"/>
                      <w:sz w:val="21"/>
                      <w:szCs w:val="21"/>
                      <w:highlight w:val="none"/>
                      <w:u w:val="none" w:color="auto"/>
                      <w:shd w:val="clear" w:color="auto" w:fill="auto"/>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8" w:type="dxa"/>
                  <w:tcBorders>
                    <w:tl2br w:val="nil"/>
                    <w:tr2bl w:val="nil"/>
                  </w:tcBorders>
                  <w:vAlign w:val="center"/>
                </w:tcPr>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color="auto"/>
                      <w:shd w:val="clear" w:color="auto" w:fill="auto"/>
                      <w:lang w:val="en-US" w:eastAsia="zh-CN"/>
                      <w14:textFill>
                        <w14:solidFill>
                          <w14:schemeClr w14:val="tx1"/>
                        </w14:solidFill>
                      </w14:textFill>
                    </w:rPr>
                    <w:t>6</w:t>
                  </w:r>
                </w:p>
              </w:tc>
              <w:tc>
                <w:tcPr>
                  <w:tcW w:w="2666" w:type="dxa"/>
                  <w:gridSpan w:val="2"/>
                  <w:tcBorders>
                    <w:tl2br w:val="nil"/>
                    <w:tr2bl w:val="nil"/>
                  </w:tcBorders>
                  <w:vAlign w:val="center"/>
                </w:tcPr>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u w:val="none" w:color="auto"/>
                      <w:shd w:val="clear" w:color="auto" w:fill="auto"/>
                      <w:lang w:val="en-US" w:eastAsia="zh-CN" w:bidi="ar"/>
                      <w14:textFill>
                        <w14:solidFill>
                          <w14:schemeClr w14:val="tx1"/>
                        </w14:solidFill>
                      </w14:textFill>
                    </w:rPr>
                    <w:t>生态环境</w:t>
                  </w:r>
                </w:p>
              </w:tc>
              <w:tc>
                <w:tcPr>
                  <w:tcW w:w="3696" w:type="dxa"/>
                  <w:tcBorders>
                    <w:tl2br w:val="nil"/>
                    <w:tr2bl w:val="nil"/>
                  </w:tcBorders>
                  <w:vAlign w:val="center"/>
                </w:tcPr>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u w:val="none" w:color="auto"/>
                      <w:shd w:val="clear" w:color="auto" w:fill="auto"/>
                      <w:lang w:val="en-US" w:eastAsia="zh-CN" w:bidi="ar"/>
                      <w14:textFill>
                        <w14:solidFill>
                          <w14:schemeClr w14:val="tx1"/>
                        </w14:solidFill>
                      </w14:textFill>
                    </w:rPr>
                    <w:t>截排水沟等</w:t>
                  </w:r>
                </w:p>
              </w:tc>
              <w:tc>
                <w:tcPr>
                  <w:tcW w:w="1501" w:type="dxa"/>
                  <w:tcBorders>
                    <w:tl2br w:val="nil"/>
                    <w:tr2bl w:val="nil"/>
                  </w:tcBorders>
                  <w:vAlign w:val="center"/>
                </w:tcPr>
                <w:p>
                  <w:pPr>
                    <w:keepNext w:val="0"/>
                    <w:keepLines w:val="0"/>
                    <w:pageBreakBefore w:val="0"/>
                    <w:widowControl/>
                    <w:suppressLineNumbers w:val="0"/>
                    <w:kinsoku/>
                    <w:bidi w:val="0"/>
                    <w:spacing w:beforeAutospacing="0" w:afterAutospacing="0"/>
                    <w:jc w:val="center"/>
                    <w:textAlignment w:val="center"/>
                    <w:rPr>
                      <w:rFonts w:hint="default" w:ascii="Times New Roman" w:hAnsi="Times New Roman" w:eastAsia="宋体" w:cs="Times New Roman"/>
                      <w:color w:val="000000" w:themeColor="text1"/>
                      <w:kern w:val="2"/>
                      <w:sz w:val="21"/>
                      <w:szCs w:val="21"/>
                      <w:highlight w:val="none"/>
                      <w:u w:val="none" w:color="auto"/>
                      <w:shd w:val="clear" w:color="auto" w:fill="auto"/>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8" w:type="dxa"/>
                  <w:tcBorders>
                    <w:tl2br w:val="nil"/>
                    <w:tr2bl w:val="nil"/>
                  </w:tcBorders>
                  <w:vAlign w:val="center"/>
                </w:tcPr>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000000" w:themeColor="text1"/>
                      <w:kern w:val="2"/>
                      <w:sz w:val="21"/>
                      <w:szCs w:val="21"/>
                      <w:highlight w:val="none"/>
                      <w:u w:val="none" w:color="auto"/>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highlight w:val="none"/>
                      <w:u w:val="none" w:color="auto"/>
                      <w:shd w:val="clear" w:color="auto" w:fill="auto"/>
                      <w:lang w:val="en-US" w:eastAsia="zh-CN"/>
                      <w14:textFill>
                        <w14:solidFill>
                          <w14:schemeClr w14:val="tx1"/>
                        </w14:solidFill>
                      </w14:textFill>
                    </w:rPr>
                    <w:t>7</w:t>
                  </w:r>
                </w:p>
              </w:tc>
              <w:tc>
                <w:tcPr>
                  <w:tcW w:w="2666" w:type="dxa"/>
                  <w:gridSpan w:val="2"/>
                  <w:tcBorders>
                    <w:tl2br w:val="nil"/>
                    <w:tr2bl w:val="nil"/>
                  </w:tcBorders>
                  <w:vAlign w:val="center"/>
                </w:tcPr>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u w:val="none" w:color="auto"/>
                      <w:shd w:val="clear" w:color="auto" w:fill="auto"/>
                      <w:lang w:val="en-US" w:eastAsia="zh-CN" w:bidi="ar"/>
                      <w14:textFill>
                        <w14:solidFill>
                          <w14:schemeClr w14:val="tx1"/>
                        </w14:solidFill>
                      </w14:textFill>
                    </w:rPr>
                    <w:t>合计</w:t>
                  </w:r>
                </w:p>
              </w:tc>
              <w:tc>
                <w:tcPr>
                  <w:tcW w:w="3696" w:type="dxa"/>
                  <w:tcBorders>
                    <w:tl2br w:val="nil"/>
                    <w:tr2bl w:val="nil"/>
                  </w:tcBorders>
                  <w:vAlign w:val="center"/>
                </w:tcPr>
                <w:p>
                  <w:pPr>
                    <w:pStyle w:val="3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1"/>
                      <w:szCs w:val="21"/>
                      <w:highlight w:val="none"/>
                      <w:u w:val="none" w:color="auto"/>
                      <w:shd w:val="clear" w:color="auto" w:fill="auto"/>
                      <w14:textFill>
                        <w14:solidFill>
                          <w14:schemeClr w14:val="tx1"/>
                        </w14:solidFill>
                      </w14:textFill>
                    </w:rPr>
                  </w:pPr>
                  <w:r>
                    <w:rPr>
                      <w:rFonts w:hint="default" w:ascii="Times New Roman" w:hAnsi="Times New Roman" w:eastAsia="宋体" w:cs="Times New Roman"/>
                      <w:snapToGrid/>
                      <w:color w:val="000000" w:themeColor="text1"/>
                      <w:kern w:val="2"/>
                      <w:sz w:val="21"/>
                      <w:szCs w:val="21"/>
                      <w:highlight w:val="none"/>
                      <w:u w:val="none" w:color="auto"/>
                      <w:shd w:val="clear" w:color="auto" w:fill="auto"/>
                      <w:lang w:val="en-US" w:eastAsia="zh-CN" w:bidi="ar"/>
                      <w14:textFill>
                        <w14:solidFill>
                          <w14:schemeClr w14:val="tx1"/>
                        </w14:solidFill>
                      </w14:textFill>
                    </w:rPr>
                    <w:t>/</w:t>
                  </w:r>
                </w:p>
              </w:tc>
              <w:tc>
                <w:tcPr>
                  <w:tcW w:w="1501" w:type="dxa"/>
                  <w:tcBorders>
                    <w:tl2br w:val="nil"/>
                    <w:tr2bl w:val="nil"/>
                  </w:tcBorders>
                  <w:vAlign w:val="center"/>
                </w:tcPr>
                <w:p>
                  <w:pPr>
                    <w:keepNext w:val="0"/>
                    <w:keepLines w:val="0"/>
                    <w:pageBreakBefore w:val="0"/>
                    <w:widowControl/>
                    <w:suppressLineNumbers w:val="0"/>
                    <w:kinsoku/>
                    <w:bidi w:val="0"/>
                    <w:spacing w:beforeAutospacing="0" w:afterAutospacing="0"/>
                    <w:jc w:val="center"/>
                    <w:textAlignment w:val="center"/>
                    <w:rPr>
                      <w:rFonts w:hint="default" w:ascii="Times New Roman" w:hAnsi="Times New Roman" w:eastAsia="宋体" w:cs="Times New Roman"/>
                      <w:color w:val="000000" w:themeColor="text1"/>
                      <w:kern w:val="2"/>
                      <w:sz w:val="21"/>
                      <w:szCs w:val="21"/>
                      <w:highlight w:val="none"/>
                      <w:u w:val="none" w:color="auto"/>
                      <w:shd w:val="clear" w:color="auto" w:fill="auto"/>
                      <w:lang w:val="en-US"/>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305</w:t>
                  </w:r>
                </w:p>
              </w:tc>
            </w:tr>
          </w:tbl>
          <w:p>
            <w:pPr>
              <w:pStyle w:val="30"/>
              <w:keepNext w:val="0"/>
              <w:keepLines w:val="0"/>
              <w:pageBreakBefore w:val="0"/>
              <w:widowControl w:val="0"/>
              <w:suppressLineNumbers w:val="0"/>
              <w:kinsoku/>
              <w:bidi w:val="0"/>
              <w:adjustRightInd/>
              <w:snapToGrid/>
              <w:spacing w:before="0" w:beforeAutospacing="0" w:after="0" w:afterAutospacing="0" w:line="360" w:lineRule="auto"/>
              <w:ind w:right="0" w:firstLine="480" w:firstLineChars="200"/>
              <w:jc w:val="both"/>
              <w:rPr>
                <w:rFonts w:hint="default" w:ascii="Times New Roman" w:hAnsi="Times New Roman" w:eastAsia="宋体" w:cs="Times New Roman"/>
                <w:bCs/>
                <w:color w:val="000000" w:themeColor="text1"/>
                <w:spacing w:val="10"/>
                <w:szCs w:val="21"/>
                <w:highlight w:val="none"/>
                <w14:textFill>
                  <w14:solidFill>
                    <w14:schemeClr w14:val="tx1"/>
                  </w14:solidFill>
                </w14:textFill>
              </w:rPr>
            </w:pP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由表5.</w:t>
            </w: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10-</w:t>
            </w: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1可知，</w:t>
            </w: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本</w:t>
            </w: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项目环保投资</w:t>
            </w:r>
            <w:r>
              <w:rPr>
                <w:rFonts w:hint="eastAsia" w:ascii="Times New Roman" w:hAnsi="Times New Roman" w:eastAsia="宋体" w:cs="Times New Roman"/>
                <w:snapToGrid/>
                <w:color w:val="000000" w:themeColor="text1"/>
                <w:kern w:val="2"/>
                <w:sz w:val="24"/>
                <w:szCs w:val="24"/>
                <w:highlight w:val="none"/>
                <w:u w:val="none" w:color="auto"/>
                <w:shd w:val="clear" w:color="auto" w:fill="auto"/>
                <w:lang w:val="en-US" w:eastAsia="zh-CN" w:bidi="ar"/>
                <w14:textFill>
                  <w14:solidFill>
                    <w14:schemeClr w14:val="tx1"/>
                  </w14:solidFill>
                </w14:textFill>
              </w:rPr>
              <w:t>305</w:t>
            </w: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元，占项目总投资</w:t>
            </w: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50000</w:t>
            </w: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万元的</w:t>
            </w: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0.61</w:t>
            </w: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w:t>
            </w:r>
          </w:p>
        </w:tc>
      </w:tr>
    </w:tbl>
    <w:p>
      <w:pPr>
        <w:pStyle w:val="30"/>
        <w:pageBreakBefore w:val="0"/>
        <w:numPr>
          <w:ilvl w:val="0"/>
          <w:numId w:val="5"/>
        </w:numPr>
        <w:kinsoku/>
        <w:bidi w:val="0"/>
        <w:spacing w:before="0" w:beforeAutospacing="0" w:after="0" w:afterAutospacing="0"/>
        <w:ind w:left="420" w:leftChars="0" w:firstLineChars="0"/>
        <w:jc w:val="center"/>
        <w:outlineLvl w:val="0"/>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pPr>
      <w:r>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br w:type="page"/>
      </w:r>
      <w:bookmarkStart w:id="88" w:name="_Toc17338"/>
      <w:r>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t>生态环境保护措施监督检查清单</w:t>
      </w:r>
      <w:bookmarkEnd w:id="88"/>
    </w:p>
    <w:tbl>
      <w:tblPr>
        <w:tblStyle w:val="128"/>
        <w:tblW w:w="921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02"/>
        <w:gridCol w:w="2635"/>
        <w:gridCol w:w="1674"/>
        <w:gridCol w:w="1997"/>
        <w:gridCol w:w="200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902" w:type="dxa"/>
            <w:vMerge w:val="restart"/>
            <w:tcBorders>
              <w:top w:val="single" w:color="000000" w:sz="6" w:space="0"/>
              <w:left w:val="single" w:color="000000" w:sz="6" w:space="0"/>
              <w:bottom w:val="single" w:color="000000" w:sz="6" w:space="0"/>
              <w:tl2br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内容</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both"/>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要素</w:t>
            </w:r>
          </w:p>
        </w:tc>
        <w:tc>
          <w:tcPr>
            <w:tcW w:w="4309" w:type="dxa"/>
            <w:gridSpan w:val="2"/>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施工期</w:t>
            </w:r>
          </w:p>
        </w:tc>
        <w:tc>
          <w:tcPr>
            <w:tcW w:w="4005" w:type="dxa"/>
            <w:gridSpan w:val="2"/>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运营期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902" w:type="dxa"/>
            <w:vMerge w:val="continue"/>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p>
        </w:tc>
        <w:tc>
          <w:tcPr>
            <w:tcW w:w="2635"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环境保护措施</w:t>
            </w:r>
          </w:p>
        </w:tc>
        <w:tc>
          <w:tcPr>
            <w:tcW w:w="1674"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验收要求</w:t>
            </w:r>
          </w:p>
        </w:tc>
        <w:tc>
          <w:tcPr>
            <w:tcW w:w="1997"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环境保护措施</w:t>
            </w:r>
          </w:p>
        </w:tc>
        <w:tc>
          <w:tcPr>
            <w:tcW w:w="2008"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验收要求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trPr>
        <w:tc>
          <w:tcPr>
            <w:tcW w:w="902" w:type="dxa"/>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陆生生态</w:t>
            </w:r>
          </w:p>
        </w:tc>
        <w:tc>
          <w:tcPr>
            <w:tcW w:w="2635"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严格控制施工范围，严禁占用红线范围外的土地。</w:t>
            </w:r>
          </w:p>
        </w:tc>
        <w:tc>
          <w:tcPr>
            <w:tcW w:w="1674"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严禁占用红线范围外的土地</w:t>
            </w:r>
            <w:r>
              <w:rPr>
                <w:rFonts w:hint="eastAsia" w:ascii="Times New Roman" w:hAnsi="Times New Roman" w:eastAsia="宋体" w:cs="Times New Roman"/>
                <w:snapToGrid/>
                <w:color w:val="000000" w:themeColor="text1"/>
                <w:kern w:val="0"/>
                <w:sz w:val="24"/>
                <w:szCs w:val="24"/>
                <w:highlight w:val="none"/>
                <w:u w:val="none" w:color="auto"/>
                <w:shd w:val="clear" w:color="auto" w:fill="auto"/>
                <w:lang w:val="en-US" w:eastAsia="zh-CN" w:bidi="ar"/>
                <w14:textFill>
                  <w14:solidFill>
                    <w14:schemeClr w14:val="tx1"/>
                  </w14:solidFill>
                </w14:textFill>
              </w:rPr>
              <w:t>（按照国土资源与规划局要求移交土地，不进行绿化）</w:t>
            </w:r>
          </w:p>
        </w:tc>
        <w:tc>
          <w:tcPr>
            <w:tcW w:w="1997"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both"/>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w:t>
            </w:r>
          </w:p>
        </w:tc>
        <w:tc>
          <w:tcPr>
            <w:tcW w:w="2008"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 w:hRule="atLeast"/>
        </w:trPr>
        <w:tc>
          <w:tcPr>
            <w:tcW w:w="902" w:type="dxa"/>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水生生态</w:t>
            </w:r>
          </w:p>
        </w:tc>
        <w:tc>
          <w:tcPr>
            <w:tcW w:w="2635"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在施工期各种作业过程中，应加强泥、沙的散失控制措施。加强施工期的环境管理和环境监理，确保施工单位按环境保护措施要求进行施工。</w:t>
            </w:r>
          </w:p>
        </w:tc>
        <w:tc>
          <w:tcPr>
            <w:tcW w:w="1674"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验收措施落实情况</w:t>
            </w:r>
          </w:p>
        </w:tc>
        <w:tc>
          <w:tcPr>
            <w:tcW w:w="1997"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w:t>
            </w:r>
          </w:p>
        </w:tc>
        <w:tc>
          <w:tcPr>
            <w:tcW w:w="2008"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9" w:hRule="atLeast"/>
        </w:trPr>
        <w:tc>
          <w:tcPr>
            <w:tcW w:w="902" w:type="dxa"/>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地表水环境</w:t>
            </w:r>
          </w:p>
        </w:tc>
        <w:tc>
          <w:tcPr>
            <w:tcW w:w="2635" w:type="dxa"/>
            <w:tcBorders>
              <w:top w:val="single" w:color="000000" w:sz="6" w:space="0"/>
            </w:tcBorders>
            <w:vAlign w:val="center"/>
          </w:tcPr>
          <w:p>
            <w:pPr>
              <w:pageBreakBefore w:val="0"/>
              <w:kinsoku/>
              <w:bidi w:val="0"/>
              <w:spacing w:beforeAutospacing="0" w:afterAutospacing="0"/>
              <w:outlineLvl w:val="2"/>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修建截水沟，将</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场地平整区</w:t>
            </w:r>
            <w:r>
              <w:rPr>
                <w:rFonts w:hint="default" w:ascii="Times New Roman" w:hAnsi="Times New Roman" w:eastAsia="宋体" w:cs="Times New Roman"/>
                <w:color w:val="000000" w:themeColor="text1"/>
                <w:sz w:val="24"/>
                <w:szCs w:val="24"/>
                <w:highlight w:val="none"/>
                <w14:textFill>
                  <w14:solidFill>
                    <w14:schemeClr w14:val="tx1"/>
                  </w14:solidFill>
                </w14:textFill>
              </w:rPr>
              <w:t>上方雨水截流排往场外</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洗车废水经5m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隔油池和沉淀池隔油、沉淀处理后回用；初期雨水池经沉淀池收集沉淀（总容积约4500m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14:textFill>
                  <w14:solidFill>
                    <w14:schemeClr w14:val="tx1"/>
                  </w14:solidFill>
                </w14:textFill>
              </w:rPr>
              <w:t>处</w:t>
            </w:r>
            <w:r>
              <w:rPr>
                <w:rFonts w:hint="eastAsia" w:ascii="Times New Roman" w:hAnsi="Times New Roman" w:eastAsia="宋体"/>
                <w:bCs/>
                <w:color w:val="000000" w:themeColor="text1"/>
                <w:sz w:val="24"/>
                <w:szCs w:val="24"/>
                <w:highlight w:val="none"/>
                <w14:textFill>
                  <w14:solidFill>
                    <w14:schemeClr w14:val="tx1"/>
                  </w14:solidFill>
                </w14:textFill>
              </w:rPr>
              <w:t>理后回用</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生产</w:t>
            </w:r>
            <w:r>
              <w:rPr>
                <w:rFonts w:hint="eastAsia" w:ascii="Times New Roman" w:hAnsi="Times New Roman" w:eastAsia="宋体"/>
                <w:bCs/>
                <w:color w:val="000000" w:themeColor="text1"/>
                <w:sz w:val="24"/>
                <w:szCs w:val="24"/>
                <w:highlight w:val="none"/>
                <w14:textFill>
                  <w14:solidFill>
                    <w14:schemeClr w14:val="tx1"/>
                  </w14:solidFill>
                </w14:textFill>
              </w:rPr>
              <w:t>，不外排</w:t>
            </w:r>
          </w:p>
        </w:tc>
        <w:tc>
          <w:tcPr>
            <w:tcW w:w="1674" w:type="dxa"/>
            <w:tcBorders>
              <w:top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验收措施落实情况</w:t>
            </w:r>
          </w:p>
        </w:tc>
        <w:tc>
          <w:tcPr>
            <w:tcW w:w="1997" w:type="dxa"/>
            <w:tcBorders>
              <w:top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both"/>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14:textFill>
                  <w14:solidFill>
                    <w14:schemeClr w14:val="tx1"/>
                  </w14:solidFill>
                </w14:textFill>
              </w:rPr>
              <w:t>座</w:t>
            </w:r>
            <w:r>
              <w:rPr>
                <w:rFonts w:hint="default" w:ascii="Times New Roman" w:hAnsi="Times New Roman" w:eastAsia="宋体" w:cs="Times New Roman"/>
                <w:color w:val="000000" w:themeColor="text1"/>
                <w:sz w:val="24"/>
                <w:szCs w:val="24"/>
                <w:highlight w:val="none"/>
                <w14:textFill>
                  <w14:solidFill>
                    <w14:schemeClr w14:val="tx1"/>
                  </w14:solidFill>
                </w14:textFill>
              </w:rPr>
              <w:t>16m</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 w:val="24"/>
                <w:szCs w:val="24"/>
                <w:highlight w:val="none"/>
                <w14:textFill>
                  <w14:solidFill>
                    <w14:schemeClr w14:val="tx1"/>
                  </w14:solidFill>
                </w14:textFill>
              </w:rPr>
              <w:t>化粪池</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洗车废水经5m</w:t>
            </w:r>
            <w:r>
              <w:rPr>
                <w:rFonts w:hint="eastAsia" w:ascii="Times New Roman" w:hAnsi="Times New Roman" w:eastAsia="宋体" w:cs="Times New Roman"/>
                <w:bCs/>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隔油池和沉淀池隔油、沉淀处理后回用</w:t>
            </w:r>
          </w:p>
        </w:tc>
        <w:tc>
          <w:tcPr>
            <w:tcW w:w="2008" w:type="dxa"/>
            <w:tcBorders>
              <w:top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规范设置沉淀池及化粪池</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trPr>
        <w:tc>
          <w:tcPr>
            <w:tcW w:w="902" w:type="dxa"/>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地下水及土壤环境</w:t>
            </w:r>
          </w:p>
        </w:tc>
        <w:tc>
          <w:tcPr>
            <w:tcW w:w="2635"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配套</w:t>
            </w:r>
            <w:r>
              <w:rPr>
                <w:rFonts w:hint="default" w:ascii="Times New Roman" w:hAnsi="Times New Roman" w:eastAsia="宋体" w:cs="Times New Roman"/>
                <w:color w:val="000000" w:themeColor="text1"/>
                <w:sz w:val="24"/>
                <w:szCs w:val="24"/>
                <w:highlight w:val="none"/>
                <w14:textFill>
                  <w14:solidFill>
                    <w14:schemeClr w14:val="tx1"/>
                  </w14:solidFill>
                </w14:textFill>
              </w:rPr>
              <w:t>加工区进行硬底化，场地平整区减少植被破坏、减少土方开挖工程量、力求做到挖填方平衡</w:t>
            </w:r>
          </w:p>
        </w:tc>
        <w:tc>
          <w:tcPr>
            <w:tcW w:w="1674"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验收措施落实情况</w:t>
            </w:r>
          </w:p>
        </w:tc>
        <w:tc>
          <w:tcPr>
            <w:tcW w:w="1997"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both"/>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危废暂存间周围建设应急事故池。围堰的容积应足以容纳泄漏污染物的容量。危废暂存间地面及集污井沟应进行防腐防渗施工，防渗要求按照危废暂存间建设。</w:t>
            </w:r>
          </w:p>
        </w:tc>
        <w:tc>
          <w:tcPr>
            <w:tcW w:w="2008"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验收措施落实情况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1" w:hRule="atLeast"/>
        </w:trPr>
        <w:tc>
          <w:tcPr>
            <w:tcW w:w="902" w:type="dxa"/>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声环境</w:t>
            </w:r>
          </w:p>
        </w:tc>
        <w:tc>
          <w:tcPr>
            <w:tcW w:w="2635"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采用低噪声设备</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减震</w:t>
            </w:r>
          </w:p>
        </w:tc>
        <w:tc>
          <w:tcPr>
            <w:tcW w:w="1674"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《建筑施工场界环境噪声排放标准》(GB12523-2011)表1中的标准限值</w:t>
            </w:r>
          </w:p>
        </w:tc>
        <w:tc>
          <w:tcPr>
            <w:tcW w:w="1997" w:type="dxa"/>
            <w:tcBorders>
              <w:top w:val="single" w:color="000000" w:sz="6" w:space="0"/>
              <w:bottom w:val="single" w:color="000000" w:sz="6" w:space="0"/>
            </w:tcBorders>
            <w:vAlign w:val="center"/>
          </w:tcPr>
          <w:p>
            <w:pPr>
              <w:pageBreakBefore w:val="0"/>
              <w:kinsoku/>
              <w:bidi w:val="0"/>
              <w:spacing w:beforeAutospacing="0" w:afterAutospacing="0"/>
              <w:outlineLvl w:val="2"/>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highlight w:val="none"/>
                <w:lang w:val="en-US" w:eastAsia="zh-CN"/>
                <w14:textFill>
                  <w14:solidFill>
                    <w14:schemeClr w14:val="tx1"/>
                  </w14:solidFill>
                </w14:textFill>
              </w:rPr>
              <w:t>合理设置堆场，远离居民点</w:t>
            </w:r>
          </w:p>
        </w:tc>
        <w:tc>
          <w:tcPr>
            <w:tcW w:w="2008"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按要求设置堆场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902" w:type="dxa"/>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振动</w:t>
            </w:r>
          </w:p>
        </w:tc>
        <w:tc>
          <w:tcPr>
            <w:tcW w:w="2635"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674"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1997"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w:t>
            </w:r>
          </w:p>
        </w:tc>
        <w:tc>
          <w:tcPr>
            <w:tcW w:w="2008"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902" w:type="dxa"/>
            <w:vMerge w:val="restart"/>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大气环境</w:t>
            </w:r>
          </w:p>
        </w:tc>
        <w:tc>
          <w:tcPr>
            <w:tcW w:w="2635" w:type="dxa"/>
            <w:tcBorders>
              <w:top w:val="single" w:color="000000" w:sz="6" w:space="0"/>
              <w:bottom w:val="single" w:color="000000" w:sz="6" w:space="0"/>
            </w:tcBorders>
            <w:vAlign w:val="center"/>
          </w:tcPr>
          <w:p>
            <w:pPr>
              <w:pageBreakBefore w:val="0"/>
              <w:kinsoku/>
              <w:bidi w:val="0"/>
              <w:spacing w:beforeAutospacing="0" w:afterAutospacing="0"/>
              <w:outlineLvl w:val="2"/>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bCs/>
                <w:iCs w:val="0"/>
                <w:color w:val="000000" w:themeColor="text1"/>
                <w:kern w:val="2"/>
                <w:sz w:val="24"/>
                <w:szCs w:val="24"/>
                <w:highlight w:val="none"/>
                <w:lang w:val="en-US" w:eastAsia="zh-CN" w:bidi="ar-SA"/>
                <w14:textFill>
                  <w14:solidFill>
                    <w14:schemeClr w14:val="tx1"/>
                  </w14:solidFill>
                </w14:textFill>
              </w:rPr>
              <w:t>平整</w:t>
            </w:r>
            <w:r>
              <w:rPr>
                <w:rFonts w:hint="default" w:ascii="Times New Roman" w:hAnsi="Times New Roman" w:eastAsia="宋体" w:cs="Times New Roman"/>
                <w:bCs/>
                <w:iCs w:val="0"/>
                <w:color w:val="000000" w:themeColor="text1"/>
                <w:kern w:val="2"/>
                <w:sz w:val="24"/>
                <w:szCs w:val="24"/>
                <w:highlight w:val="none"/>
                <w:lang w:val="en-US" w:eastAsia="zh-CN" w:bidi="ar-SA"/>
                <w14:textFill>
                  <w14:solidFill>
                    <w14:schemeClr w14:val="tx1"/>
                  </w14:solidFill>
                </w14:textFill>
              </w:rPr>
              <w:t>作业结束加盖防尘密目网；采用湿法作业，钻机配套布袋除尘器收尘措施</w:t>
            </w:r>
            <w:r>
              <w:rPr>
                <w:rFonts w:hint="eastAsia" w:ascii="Times New Roman" w:hAnsi="Times New Roman" w:eastAsia="宋体" w:cs="Times New Roman"/>
                <w:bCs/>
                <w:iCs w:val="0"/>
                <w:color w:val="000000" w:themeColor="text1"/>
                <w:kern w:val="2"/>
                <w:sz w:val="24"/>
                <w:szCs w:val="24"/>
                <w:highlight w:val="none"/>
                <w:lang w:val="en-US" w:eastAsia="zh-CN" w:bidi="ar-SA"/>
                <w14:textFill>
                  <w14:solidFill>
                    <w14:schemeClr w14:val="tx1"/>
                  </w14:solidFill>
                </w14:textFill>
              </w:rPr>
              <w:t>；对路面定期进行清扫和喷雾洒水抑尘，对运输车辆进行加盖帆布并限制车速；设备和产品要采取棚化密闭，半封闭式生产流程，并定期收集粉尘；进料口等产尘点采用彩钢板密封，并在上方设置雾化喷头；</w:t>
            </w:r>
            <w:r>
              <w:rPr>
                <w:rFonts w:hint="eastAsia" w:ascii="Times New Roman" w:hAnsi="Times New Roman" w:eastAsia="宋体" w:cs="Times New Roman"/>
                <w:bCs/>
                <w:iCs w:val="0"/>
                <w:color w:val="000000" w:themeColor="text1"/>
                <w:kern w:val="2"/>
                <w:sz w:val="24"/>
                <w:szCs w:val="24"/>
                <w:highlight w:val="none"/>
                <w:lang w:val="en-US" w:eastAsia="zh-CN" w:bidi="ar-SA"/>
                <w14:textFill>
                  <w14:solidFill>
                    <w14:schemeClr w14:val="tx1"/>
                  </w14:solidFill>
                </w14:textFill>
              </w:rPr>
              <w:t>搅拌站筒仓仓底采用负压吸风收尘装置，与仓顶呼吸孔共用一套仓顶除尘器，仓顶除尘器设置于筒仓仓顶；搅拌系统配备一台脉冲布袋除尘器，粉尘经净化处理后经排气筒外排</w:t>
            </w:r>
          </w:p>
        </w:tc>
        <w:tc>
          <w:tcPr>
            <w:tcW w:w="1674" w:type="dxa"/>
            <w:vMerge w:val="restart"/>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验收措施落实情</w:t>
            </w:r>
            <w:r>
              <w:rPr>
                <w:rFonts w:hint="default" w:ascii="Times New Roman" w:hAnsi="Times New Roman" w:eastAsia="宋体" w:cs="Times New Roman"/>
                <w:color w:val="000000" w:themeColor="text1"/>
                <w:sz w:val="24"/>
                <w:szCs w:val="24"/>
                <w:highlight w:val="none"/>
                <w14:textFill>
                  <w14:solidFill>
                    <w14:schemeClr w14:val="tx1"/>
                  </w14:solidFill>
                </w14:textFill>
              </w:rPr>
              <w:t>况</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颗粒物排放执行《大气污染物综</w:t>
            </w:r>
            <w:r>
              <w:rPr>
                <w:rFonts w:hint="default" w:ascii="Times New Roman" w:hAnsi="Times New Roman" w:eastAsia="宋体" w:cs="Times New Roman"/>
                <w:color w:val="000000" w:themeColor="text1"/>
                <w:spacing w:val="-19"/>
                <w:sz w:val="24"/>
                <w:szCs w:val="24"/>
                <w:highlight w:val="none"/>
                <w14:textFill>
                  <w14:solidFill>
                    <w14:schemeClr w14:val="tx1"/>
                  </w14:solidFill>
                </w14:textFill>
              </w:rPr>
              <w:t>合排放标准》（GB</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16297-1996）表2</w:t>
            </w:r>
            <w:r>
              <w:rPr>
                <w:rFonts w:hint="default" w:ascii="Times New Roman" w:hAnsi="Times New Roman" w:eastAsia="宋体" w:cs="Times New Roman"/>
                <w:color w:val="000000" w:themeColor="text1"/>
                <w:spacing w:val="-5"/>
                <w:sz w:val="24"/>
                <w:szCs w:val="24"/>
                <w:highlight w:val="none"/>
                <w14:textFill>
                  <w14:solidFill>
                    <w14:schemeClr w14:val="tx1"/>
                  </w14:solidFill>
                </w14:textFill>
              </w:rPr>
              <w:t>中无组织排放浓</w:t>
            </w: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度限值</w:t>
            </w:r>
          </w:p>
        </w:tc>
        <w:tc>
          <w:tcPr>
            <w:tcW w:w="1997"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散货堆场四周设置4</w:t>
            </w:r>
            <w:r>
              <w:rPr>
                <w:rFonts w:hint="default" w:ascii="Times New Roman" w:hAnsi="Times New Roman" w:eastAsia="宋体" w:cs="Times New Roman"/>
                <w:color w:val="000000" w:themeColor="text1"/>
                <w:sz w:val="24"/>
                <w:szCs w:val="24"/>
                <w:highlight w:val="none"/>
                <w14:textFill>
                  <w14:solidFill>
                    <w14:schemeClr w14:val="tx1"/>
                  </w14:solidFill>
                </w14:textFill>
              </w:rPr>
              <w:t>m</w:t>
            </w:r>
            <w:r>
              <w:rPr>
                <w:rFonts w:hint="eastAsia" w:ascii="Times New Roman" w:hAnsi="Times New Roman" w:eastAsia="宋体" w:cs="Times New Roman"/>
                <w:color w:val="000000" w:themeColor="text1"/>
                <w:sz w:val="24"/>
                <w:szCs w:val="24"/>
                <w:highlight w:val="none"/>
                <w14:textFill>
                  <w14:solidFill>
                    <w14:schemeClr w14:val="tx1"/>
                  </w14:solidFill>
                </w14:textFill>
              </w:rPr>
              <w:t>高的防风抑尘网，并限制堆场高度在3.5m以下</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。堆场周围每隔</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2米安装喷淋洒水装置。</w:t>
            </w:r>
          </w:p>
        </w:tc>
        <w:tc>
          <w:tcPr>
            <w:tcW w:w="2008"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废气治理措施安装到位</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并执行。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6" w:hRule="atLeast"/>
        </w:trPr>
        <w:tc>
          <w:tcPr>
            <w:tcW w:w="902" w:type="dxa"/>
            <w:vMerge w:val="continue"/>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2635" w:type="dxa"/>
            <w:tcBorders>
              <w:top w:val="single" w:color="000000" w:sz="6" w:space="0"/>
              <w:bottom w:val="single" w:color="000000" w:sz="6" w:space="0"/>
            </w:tcBorders>
            <w:vAlign w:val="center"/>
          </w:tcPr>
          <w:p>
            <w:pPr>
              <w:pageBreakBefore w:val="0"/>
              <w:kinsoku/>
              <w:bidi w:val="0"/>
              <w:spacing w:beforeAutospacing="0" w:afterAutospacing="0"/>
              <w:outlineLvl w:val="2"/>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定</w:t>
            </w:r>
            <w:r>
              <w:rPr>
                <w:rFonts w:hint="default" w:ascii="Times New Roman" w:hAnsi="Times New Roman" w:eastAsia="宋体" w:cs="Times New Roman"/>
                <w:bCs/>
                <w:iCs w:val="0"/>
                <w:color w:val="000000" w:themeColor="text1"/>
                <w:kern w:val="2"/>
                <w:sz w:val="24"/>
                <w:szCs w:val="24"/>
                <w:highlight w:val="none"/>
                <w:lang w:val="en-US" w:eastAsia="zh-CN" w:bidi="ar-SA"/>
                <w14:textFill>
                  <w14:solidFill>
                    <w14:schemeClr w14:val="tx1"/>
                  </w14:solidFill>
                </w14:textFill>
              </w:rPr>
              <w:t>期对场地道路进行清扫和</w:t>
            </w:r>
            <w:r>
              <w:rPr>
                <w:rFonts w:hint="eastAsia" w:ascii="Times New Roman" w:hAnsi="Times New Roman" w:eastAsia="宋体" w:cs="Times New Roman"/>
                <w:bCs/>
                <w:iCs w:val="0"/>
                <w:color w:val="000000" w:themeColor="text1"/>
                <w:kern w:val="2"/>
                <w:sz w:val="24"/>
                <w:szCs w:val="24"/>
                <w:highlight w:val="none"/>
                <w:lang w:val="en-US" w:eastAsia="zh-CN" w:bidi="ar-SA"/>
                <w14:textFill>
                  <w14:solidFill>
                    <w14:schemeClr w14:val="tx1"/>
                  </w14:solidFill>
                </w14:textFill>
              </w:rPr>
              <w:t>喷雾</w:t>
            </w:r>
            <w:r>
              <w:rPr>
                <w:rFonts w:hint="default" w:ascii="Times New Roman" w:hAnsi="Times New Roman" w:eastAsia="宋体" w:cs="Times New Roman"/>
                <w:bCs/>
                <w:iCs w:val="0"/>
                <w:color w:val="000000" w:themeColor="text1"/>
                <w:kern w:val="2"/>
                <w:sz w:val="24"/>
                <w:szCs w:val="24"/>
                <w:highlight w:val="none"/>
                <w:lang w:val="en-US" w:eastAsia="zh-CN" w:bidi="ar-SA"/>
                <w14:textFill>
                  <w14:solidFill>
                    <w14:schemeClr w14:val="tx1"/>
                  </w14:solidFill>
                </w14:textFill>
              </w:rPr>
              <w:t>洒水抑尘，对运输车辆进行加盖帆布并限制车速</w:t>
            </w:r>
            <w:r>
              <w:rPr>
                <w:rFonts w:hint="eastAsia" w:ascii="Times New Roman" w:hAnsi="Times New Roman" w:eastAsia="宋体" w:cs="Times New Roman"/>
                <w:bCs/>
                <w:iCs w:val="0"/>
                <w:color w:val="000000" w:themeColor="text1"/>
                <w:kern w:val="2"/>
                <w:sz w:val="24"/>
                <w:szCs w:val="24"/>
                <w:highlight w:val="none"/>
                <w:lang w:val="en-US" w:eastAsia="zh-CN" w:bidi="ar-SA"/>
                <w14:textFill>
                  <w14:solidFill>
                    <w14:schemeClr w14:val="tx1"/>
                  </w14:solidFill>
                </w14:textFill>
              </w:rPr>
              <w:t>，</w:t>
            </w:r>
            <w:r>
              <w:rPr>
                <w:rFonts w:hint="default" w:ascii="Times New Roman" w:hAnsi="Times New Roman" w:eastAsia="宋体" w:cs="Times New Roman"/>
                <w:bCs/>
                <w:iCs w:val="0"/>
                <w:color w:val="000000" w:themeColor="text1"/>
                <w:kern w:val="2"/>
                <w:sz w:val="24"/>
                <w:szCs w:val="24"/>
                <w:highlight w:val="none"/>
                <w:lang w:val="en-US" w:eastAsia="zh-CN" w:bidi="ar-SA"/>
                <w14:textFill>
                  <w14:solidFill>
                    <w14:schemeClr w14:val="tx1"/>
                  </w14:solidFill>
                </w14:textFill>
              </w:rPr>
              <w:t>作业区、装载区</w:t>
            </w:r>
            <w:r>
              <w:rPr>
                <w:rFonts w:hint="eastAsia" w:ascii="Times New Roman" w:hAnsi="Times New Roman" w:eastAsia="宋体" w:cs="Times New Roman"/>
                <w:bCs/>
                <w:iCs w:val="0"/>
                <w:color w:val="000000" w:themeColor="text1"/>
                <w:kern w:val="2"/>
                <w:sz w:val="24"/>
                <w:szCs w:val="24"/>
                <w:highlight w:val="none"/>
                <w:lang w:val="en-US" w:eastAsia="zh-CN" w:bidi="ar-SA"/>
                <w14:textFill>
                  <w14:solidFill>
                    <w14:schemeClr w14:val="tx1"/>
                  </w14:solidFill>
                </w14:textFill>
              </w:rPr>
              <w:t>通过喷雾</w:t>
            </w:r>
            <w:r>
              <w:rPr>
                <w:rFonts w:hint="default" w:ascii="Times New Roman" w:hAnsi="Times New Roman" w:eastAsia="宋体" w:cs="Times New Roman"/>
                <w:bCs/>
                <w:iCs w:val="0"/>
                <w:color w:val="000000" w:themeColor="text1"/>
                <w:kern w:val="2"/>
                <w:sz w:val="24"/>
                <w:szCs w:val="24"/>
                <w:highlight w:val="none"/>
                <w:lang w:val="en-US" w:eastAsia="zh-CN" w:bidi="ar-SA"/>
                <w14:textFill>
                  <w14:solidFill>
                    <w14:schemeClr w14:val="tx1"/>
                  </w14:solidFill>
                </w14:textFill>
              </w:rPr>
              <w:t>洒水抑尘</w:t>
            </w:r>
          </w:p>
        </w:tc>
        <w:tc>
          <w:tcPr>
            <w:tcW w:w="1674" w:type="dxa"/>
            <w:vMerge w:val="continue"/>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c>
          <w:tcPr>
            <w:tcW w:w="1997"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2008"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both"/>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2" w:hRule="atLeast"/>
        </w:trPr>
        <w:tc>
          <w:tcPr>
            <w:tcW w:w="902" w:type="dxa"/>
            <w:vMerge w:val="restart"/>
            <w:tcBorders>
              <w:top w:val="single" w:color="000000" w:sz="6" w:space="0"/>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2"/>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固体废物</w:t>
            </w:r>
          </w:p>
        </w:tc>
        <w:tc>
          <w:tcPr>
            <w:tcW w:w="2635" w:type="dxa"/>
            <w:tcBorders>
              <w:top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2"/>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废矿物油</w:t>
            </w:r>
            <w:r>
              <w:rPr>
                <w:rFonts w:hint="eastAsia" w:ascii="Times New Roman" w:hAnsi="Times New Roman" w:eastAsia="宋体" w:cs="Times New Roman"/>
                <w:color w:val="000000" w:themeColor="text1"/>
                <w:spacing w:val="-2"/>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废油桶</w:t>
            </w:r>
            <w:r>
              <w:rPr>
                <w:rFonts w:hint="eastAsia" w:ascii="Times New Roman" w:hAnsi="Times New Roman" w:eastAsia="宋体" w:cs="Times New Roman"/>
                <w:color w:val="000000" w:themeColor="text1"/>
                <w:spacing w:val="-2"/>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含油抹布</w:t>
            </w:r>
            <w:r>
              <w:rPr>
                <w:rFonts w:hint="eastAsia" w:ascii="Times New Roman" w:hAnsi="Times New Roman" w:eastAsia="宋体" w:cs="Times New Roman"/>
                <w:color w:val="000000" w:themeColor="text1"/>
                <w:spacing w:val="-2"/>
                <w:sz w:val="24"/>
                <w:szCs w:val="24"/>
                <w:highlight w:val="none"/>
                <w:lang w:eastAsia="zh-CN"/>
                <w14:textFill>
                  <w14:solidFill>
                    <w14:schemeClr w14:val="tx1"/>
                  </w14:solidFill>
                </w14:textFill>
              </w:rPr>
              <w:t>、含油污泥等</w:t>
            </w: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暂存于危废暂存间，委托有资质单位处置</w:t>
            </w:r>
          </w:p>
        </w:tc>
        <w:tc>
          <w:tcPr>
            <w:tcW w:w="1674" w:type="dxa"/>
            <w:vMerge w:val="restart"/>
            <w:tcBorders>
              <w:top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2"/>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验收措施落实情</w:t>
            </w:r>
            <w:r>
              <w:rPr>
                <w:rFonts w:hint="default" w:ascii="Times New Roman" w:hAnsi="Times New Roman" w:eastAsia="宋体" w:cs="Times New Roman"/>
                <w:color w:val="000000" w:themeColor="text1"/>
                <w:sz w:val="24"/>
                <w:szCs w:val="24"/>
                <w:highlight w:val="none"/>
                <w14:textFill>
                  <w14:solidFill>
                    <w14:schemeClr w14:val="tx1"/>
                  </w14:solidFill>
                </w14:textFill>
              </w:rPr>
              <w:t>况</w:t>
            </w:r>
          </w:p>
        </w:tc>
        <w:tc>
          <w:tcPr>
            <w:tcW w:w="1997" w:type="dxa"/>
            <w:vMerge w:val="restart"/>
            <w:tcBorders>
              <w:top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设置固定垃圾收集点并分类收集进行处理</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。危险废物暂存于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10m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危险废物暂存间（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位于机修仓库西南侧</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）并委托有资质单位进行处理</w:t>
            </w:r>
          </w:p>
        </w:tc>
        <w:tc>
          <w:tcPr>
            <w:tcW w:w="2008" w:type="dxa"/>
            <w:vMerge w:val="restart"/>
            <w:tcBorders>
              <w:top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both"/>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合理设置固定垃圾收集点并分类收集进行处理</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。危险废物暂存于</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10m</w:t>
            </w:r>
            <w:r>
              <w:rPr>
                <w:rFonts w:hint="eastAsia"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危险废物暂存间（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位于机修仓库西南侧</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）并委托有资质单位进行处理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8" w:hRule="atLeast"/>
        </w:trPr>
        <w:tc>
          <w:tcPr>
            <w:tcW w:w="902" w:type="dxa"/>
            <w:vMerge w:val="continue"/>
            <w:tcBorders>
              <w:lef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2"/>
                <w:sz w:val="24"/>
                <w:szCs w:val="24"/>
                <w:highlight w:val="none"/>
                <w14:textFill>
                  <w14:solidFill>
                    <w14:schemeClr w14:val="tx1"/>
                  </w14:solidFill>
                </w14:textFill>
              </w:rPr>
            </w:pPr>
          </w:p>
        </w:tc>
        <w:tc>
          <w:tcPr>
            <w:tcW w:w="2635" w:type="dxa"/>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pacing w:val="-2"/>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lang w:eastAsia="zh-CN"/>
                <w14:textFill>
                  <w14:solidFill>
                    <w14:schemeClr w14:val="tx1"/>
                  </w14:solidFill>
                </w14:textFill>
              </w:rPr>
              <w:t>生活垃圾统一收集后委托环卫部门清运处置</w:t>
            </w:r>
          </w:p>
        </w:tc>
        <w:tc>
          <w:tcPr>
            <w:tcW w:w="1674"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2"/>
                <w:sz w:val="24"/>
                <w:szCs w:val="24"/>
                <w:highlight w:val="none"/>
                <w14:textFill>
                  <w14:solidFill>
                    <w14:schemeClr w14:val="tx1"/>
                  </w14:solidFill>
                </w14:textFill>
              </w:rPr>
            </w:pPr>
          </w:p>
        </w:tc>
        <w:tc>
          <w:tcPr>
            <w:tcW w:w="1997" w:type="dxa"/>
            <w:vMerge w:val="continue"/>
            <w:tcBorders>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p>
        </w:tc>
        <w:tc>
          <w:tcPr>
            <w:tcW w:w="2008" w:type="dxa"/>
            <w:vMerge w:val="continue"/>
            <w:tcBorders>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both"/>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902" w:type="dxa"/>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9"/>
                <w:sz w:val="24"/>
                <w:szCs w:val="24"/>
                <w:highlight w:val="none"/>
                <w14:textFill>
                  <w14:solidFill>
                    <w14:schemeClr w14:val="tx1"/>
                  </w14:solidFill>
                </w14:textFill>
              </w:rPr>
              <w:t>电磁环境</w:t>
            </w:r>
          </w:p>
        </w:tc>
        <w:tc>
          <w:tcPr>
            <w:tcW w:w="2635"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p>
        </w:tc>
        <w:tc>
          <w:tcPr>
            <w:tcW w:w="1674"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w:t>
            </w:r>
          </w:p>
        </w:tc>
        <w:tc>
          <w:tcPr>
            <w:tcW w:w="1997"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both"/>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2008"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both"/>
              <w:textAlignment w:val="auto"/>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2" w:hRule="atLeast"/>
        </w:trPr>
        <w:tc>
          <w:tcPr>
            <w:tcW w:w="902" w:type="dxa"/>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3"/>
                <w:sz w:val="24"/>
                <w:szCs w:val="24"/>
                <w:highlight w:val="none"/>
                <w14:textFill>
                  <w14:solidFill>
                    <w14:schemeClr w14:val="tx1"/>
                  </w14:solidFill>
                </w14:textFill>
              </w:rPr>
              <w:t>环境风险</w:t>
            </w:r>
          </w:p>
        </w:tc>
        <w:tc>
          <w:tcPr>
            <w:tcW w:w="2635"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tc>
        <w:tc>
          <w:tcPr>
            <w:tcW w:w="1674"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tc>
        <w:tc>
          <w:tcPr>
            <w:tcW w:w="1997"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按照《港口工程环境保护设计规范》（JTS149-1-2007）和《港口溢油应急设备配备要求》（JT／T451-2017）的规定，码头经营人应配备足够的围油栏、转盘式收油机、吸油器材、消油剂及消油剂喷洒装置等</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应编制应急预案。</w:t>
            </w:r>
          </w:p>
        </w:tc>
        <w:tc>
          <w:tcPr>
            <w:tcW w:w="2008"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验收措施落实情</w:t>
            </w:r>
            <w:r>
              <w:rPr>
                <w:rFonts w:hint="default" w:ascii="Times New Roman" w:hAnsi="Times New Roman" w:eastAsia="宋体" w:cs="Times New Roman"/>
                <w:color w:val="000000" w:themeColor="text1"/>
                <w:sz w:val="24"/>
                <w:szCs w:val="24"/>
                <w:highlight w:val="none"/>
                <w14:textFill>
                  <w14:solidFill>
                    <w14:schemeClr w14:val="tx1"/>
                  </w14:solidFill>
                </w14:textFill>
              </w:rPr>
              <w:t>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7" w:hRule="atLeast"/>
        </w:trPr>
        <w:tc>
          <w:tcPr>
            <w:tcW w:w="902" w:type="dxa"/>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环境监测</w:t>
            </w:r>
          </w:p>
        </w:tc>
        <w:tc>
          <w:tcPr>
            <w:tcW w:w="2635"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废气：每半年进行颗粒物无组织排放情况的监测；每年进行颗粒物有组织排放情况的监测并记录工况及气象。</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噪声：每季度对厂界噪声进行监测。</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生活污水：每年对化粪池处理出口进行pH、化学需氧量、（CODCr）、悬浮物、氨氮、磷酸盐（总磷）的情况监测。</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监理过程中要监督检查施工对周围环境敏感目标的影响，要求施工单位按照本评价提出的施工要求，落实污染防治措施，防止施工中水、土、气、渣等污染物排放对居民区等敏感目标造成污染损害。</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tc>
        <w:tc>
          <w:tcPr>
            <w:tcW w:w="1674"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t>/</w:t>
            </w:r>
          </w:p>
        </w:tc>
        <w:tc>
          <w:tcPr>
            <w:tcW w:w="1997"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废气：每半年进行颗粒物无组织排放情况的监测并记录工况及气象。</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噪声：每季度对厂界噪声进行监测。</w:t>
            </w:r>
          </w:p>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海水水质：每年对西侧海域进行pH、粪大肠菌群、悬浮物、溶解氧、化学需氧量、石油类、活性磷酸盐、无机氮等因子的现状情况监测</w:t>
            </w:r>
          </w:p>
        </w:tc>
        <w:tc>
          <w:tcPr>
            <w:tcW w:w="2008"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right="0" w:rightChars="0" w:firstLine="0" w:firstLineChars="0"/>
              <w:jc w:val="center"/>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14:textFill>
                  <w14:solidFill>
                    <w14:schemeClr w14:val="tx1"/>
                  </w14:solidFill>
                </w14:textFill>
              </w:rPr>
              <w:t>按要求进行监测</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4" w:hRule="atLeast"/>
        </w:trPr>
        <w:tc>
          <w:tcPr>
            <w:tcW w:w="902" w:type="dxa"/>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3"/>
                <w:sz w:val="24"/>
                <w:szCs w:val="24"/>
                <w:highlight w:val="none"/>
                <w:lang w:val="en-US" w:eastAsia="zh-CN"/>
                <w14:textFill>
                  <w14:solidFill>
                    <w14:schemeClr w14:val="tx1"/>
                  </w14:solidFill>
                </w14:textFill>
              </w:rPr>
              <w:t>环境监理</w:t>
            </w:r>
          </w:p>
        </w:tc>
        <w:tc>
          <w:tcPr>
            <w:tcW w:w="2635"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公司应配备环保管理人员，建立各项环境管理的规章制度，将环境保护要求纳入设计、施工监理及工程日常管理工作中，确保环保工作得以落实。</w:t>
            </w:r>
          </w:p>
        </w:tc>
        <w:tc>
          <w:tcPr>
            <w:tcW w:w="1674"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验收措施落实情</w:t>
            </w:r>
            <w:r>
              <w:rPr>
                <w:rFonts w:hint="default" w:ascii="Times New Roman" w:hAnsi="Times New Roman" w:eastAsia="宋体" w:cs="Times New Roman"/>
                <w:color w:val="000000" w:themeColor="text1"/>
                <w:sz w:val="24"/>
                <w:szCs w:val="24"/>
                <w:highlight w:val="none"/>
                <w14:textFill>
                  <w14:solidFill>
                    <w14:schemeClr w14:val="tx1"/>
                  </w14:solidFill>
                </w14:textFill>
              </w:rPr>
              <w:t>况</w:t>
            </w:r>
          </w:p>
        </w:tc>
        <w:tc>
          <w:tcPr>
            <w:tcW w:w="1997" w:type="dxa"/>
            <w:tcBorders>
              <w:top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both"/>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c>
          <w:tcPr>
            <w:tcW w:w="2008" w:type="dxa"/>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both"/>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4" w:hRule="atLeast"/>
        </w:trPr>
        <w:tc>
          <w:tcPr>
            <w:tcW w:w="902" w:type="dxa"/>
            <w:tcBorders>
              <w:top w:val="single" w:color="000000" w:sz="6" w:space="0"/>
              <w:left w:val="single" w:color="000000" w:sz="6" w:space="0"/>
              <w:bottom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right="0" w:firstLine="0" w:firstLineChars="0"/>
              <w:jc w:val="center"/>
              <w:textAlignment w:val="auto"/>
              <w:rPr>
                <w:rFonts w:hint="default" w:ascii="Times New Roman" w:hAnsi="Times New Roman" w:eastAsia="宋体" w:cs="Times New Roman"/>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4"/>
                <w:szCs w:val="24"/>
                <w:highlight w:val="none"/>
                <w14:textFill>
                  <w14:solidFill>
                    <w14:schemeClr w14:val="tx1"/>
                  </w14:solidFill>
                </w14:textFill>
              </w:rPr>
              <w:t>其他</w:t>
            </w:r>
          </w:p>
        </w:tc>
        <w:tc>
          <w:tcPr>
            <w:tcW w:w="8314" w:type="dxa"/>
            <w:gridSpan w:val="4"/>
            <w:tcBorders>
              <w:top w:val="single" w:color="000000" w:sz="6" w:space="0"/>
              <w:bottom w:val="single" w:color="000000" w:sz="6" w:space="0"/>
              <w:right w:val="single" w:color="000000" w:sz="6" w:space="0"/>
            </w:tcBorders>
            <w:vAlign w:val="center"/>
          </w:tcPr>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72" w:firstLineChars="200"/>
              <w:jc w:val="both"/>
              <w:textAlignment w:val="auto"/>
              <w:rPr>
                <w:rFonts w:hint="default" w:ascii="Times New Roman" w:hAnsi="Times New Roman" w:eastAsia="宋体" w:cs="Times New Roman"/>
                <w:color w:val="000000" w:themeColor="text1"/>
                <w:spacing w:val="-2"/>
                <w:sz w:val="24"/>
                <w:szCs w:val="24"/>
                <w:highlight w:val="none"/>
                <w14:textFill>
                  <w14:solidFill>
                    <w14:schemeClr w14:val="tx1"/>
                  </w14:solidFill>
                </w14:textFill>
              </w:rPr>
            </w:pPr>
            <w:r>
              <w:rPr>
                <w:rFonts w:hint="eastAsia"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、竣工环境保护验收</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72" w:firstLineChars="200"/>
              <w:jc w:val="both"/>
              <w:textAlignment w:val="auto"/>
              <w:rPr>
                <w:rFonts w:hint="default" w:ascii="Times New Roman" w:hAnsi="Times New Roman" w:eastAsia="宋体" w:cs="Times New Roman"/>
                <w:color w:val="000000" w:themeColor="text1"/>
                <w:spacing w:val="-2"/>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根据《建设项目竣工环境保护验收暂行办法》的规定，建设项目</w:t>
            </w:r>
            <w:r>
              <w:rPr>
                <w:rFonts w:hint="eastAsia" w:ascii="Times New Roman" w:hAnsi="Times New Roman" w:eastAsia="宋体" w:cs="Times New Roman"/>
                <w:color w:val="000000" w:themeColor="text1"/>
                <w:spacing w:val="-2"/>
                <w:sz w:val="24"/>
                <w:szCs w:val="24"/>
                <w:highlight w:val="none"/>
                <w:lang w:eastAsia="zh-CN"/>
                <w14:textFill>
                  <w14:solidFill>
                    <w14:schemeClr w14:val="tx1"/>
                  </w14:solidFill>
                </w14:textFill>
              </w:rPr>
              <w:t>施工期结束后应做好环保</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竣工</w:t>
            </w:r>
            <w:r>
              <w:rPr>
                <w:rFonts w:hint="eastAsia" w:ascii="Times New Roman" w:hAnsi="Times New Roman" w:eastAsia="宋体" w:cs="Times New Roman"/>
                <w:color w:val="000000" w:themeColor="text1"/>
                <w:spacing w:val="-2"/>
                <w:sz w:val="24"/>
                <w:szCs w:val="24"/>
                <w:highlight w:val="none"/>
                <w:lang w:eastAsia="zh-CN"/>
                <w14:textFill>
                  <w14:solidFill>
                    <w14:schemeClr w14:val="tx1"/>
                  </w14:solidFill>
                </w14:textFill>
              </w:rPr>
              <w:t>验收</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w:t>
            </w:r>
            <w:r>
              <w:rPr>
                <w:rFonts w:hint="eastAsia" w:ascii="Times New Roman" w:hAnsi="Times New Roman" w:eastAsia="宋体" w:cs="Times New Roman"/>
                <w:color w:val="000000" w:themeColor="text1"/>
                <w:spacing w:val="-2"/>
                <w:sz w:val="24"/>
                <w:szCs w:val="24"/>
                <w:highlight w:val="none"/>
                <w:lang w:eastAsia="zh-CN"/>
                <w14:textFill>
                  <w14:solidFill>
                    <w14:schemeClr w14:val="tx1"/>
                  </w14:solidFill>
                </w14:textFill>
              </w:rPr>
              <w:t>主要查验建设项目施工期环境监理报告、现场水土保持措施及环保措施落实情况</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w:t>
            </w:r>
            <w:r>
              <w:rPr>
                <w:rFonts w:hint="eastAsia" w:ascii="Times New Roman" w:hAnsi="Times New Roman" w:eastAsia="宋体" w:cs="Times New Roman"/>
                <w:color w:val="000000" w:themeColor="text1"/>
                <w:spacing w:val="-2"/>
                <w:sz w:val="24"/>
                <w:szCs w:val="24"/>
                <w:highlight w:val="none"/>
                <w:lang w:eastAsia="zh-CN"/>
                <w14:textFill>
                  <w14:solidFill>
                    <w14:schemeClr w14:val="tx1"/>
                  </w14:solidFill>
                </w14:textFill>
              </w:rPr>
              <w:t>并</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编制验收</w:t>
            </w:r>
            <w:r>
              <w:rPr>
                <w:rFonts w:hint="eastAsia"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调查</w:t>
            </w:r>
            <w:r>
              <w:rPr>
                <w:rFonts w:hint="default" w:ascii="Times New Roman" w:hAnsi="Times New Roman" w:eastAsia="宋体" w:cs="Times New Roman"/>
                <w:color w:val="000000" w:themeColor="text1"/>
                <w:spacing w:val="-2"/>
                <w:sz w:val="24"/>
                <w:szCs w:val="24"/>
                <w:highlight w:val="none"/>
                <w14:textFill>
                  <w14:solidFill>
                    <w14:schemeClr w14:val="tx1"/>
                  </w14:solidFill>
                </w14:textFill>
              </w:rPr>
              <w:t>报告表。</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rightChars="0" w:firstLine="472" w:firstLineChars="200"/>
              <w:jc w:val="both"/>
              <w:textAlignment w:val="auto"/>
              <w:rPr>
                <w:rFonts w:hint="eastAsia"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2、排污许可申报及排污口规范化</w:t>
            </w:r>
          </w:p>
          <w:p>
            <w:pPr>
              <w:pageBreakBefore w:val="0"/>
              <w:widowControl/>
              <w:kinsoku/>
              <w:bidi w:val="0"/>
              <w:adjustRightInd w:val="0"/>
              <w:snapToGrid w:val="0"/>
              <w:spacing w:beforeAutospacing="0" w:afterAutospacing="0" w:line="360" w:lineRule="auto"/>
              <w:ind w:left="239" w:leftChars="114" w:firstLine="240" w:firstLineChars="100"/>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（1）</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申报要求</w:t>
            </w:r>
          </w:p>
          <w:p>
            <w:pPr>
              <w:pageBreakBefore w:val="0"/>
              <w:widowControl/>
              <w:kinsoku/>
              <w:bidi w:val="0"/>
              <w:adjustRightInd w:val="0"/>
              <w:snapToGrid w:val="0"/>
              <w:spacing w:beforeAutospacing="0" w:afterAutospacing="0" w:line="360" w:lineRule="auto"/>
              <w:ind w:firstLine="480" w:firstLineChars="200"/>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根据《</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固定</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污染源排污许可分类管理名录》（2019年版），本项目属四十三、水上运输业55-</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101</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水上运输辅助活动 553，其他货运码头 5532，需排污</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登记</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管理。</w:t>
            </w:r>
          </w:p>
          <w:p>
            <w:pPr>
              <w:pageBreakBefore w:val="0"/>
              <w:widowControl/>
              <w:kinsoku/>
              <w:bidi w:val="0"/>
              <w:adjustRightInd w:val="0"/>
              <w:snapToGrid w:val="0"/>
              <w:spacing w:beforeAutospacing="0" w:afterAutospacing="0"/>
              <w:jc w:val="cente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表4.</w:t>
            </w:r>
            <w:r>
              <w:rPr>
                <w:rFonts w:hint="eastAsia"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2.16</w:t>
            </w: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 xml:space="preserve">  固</w:t>
            </w:r>
            <w:r>
              <w:rPr>
                <w:rFonts w:hint="default" w:ascii="Times New Roman" w:hAnsi="Times New Roman" w:eastAsia="宋体" w:cs="Times New Roman"/>
                <w:b/>
                <w:bCs/>
                <w:color w:val="000000" w:themeColor="text1"/>
                <w:kern w:val="0"/>
                <w:sz w:val="24"/>
                <w:szCs w:val="24"/>
                <w:highlight w:val="none"/>
                <w:lang w:val="en-US" w:eastAsia="zh-CN"/>
                <w14:textFill>
                  <w14:solidFill>
                    <w14:schemeClr w14:val="tx1"/>
                  </w14:solidFill>
                </w14:textFill>
              </w:rPr>
              <w:t>定</w:t>
            </w:r>
            <w:r>
              <w:rPr>
                <w:rFonts w:hint="default" w:ascii="Times New Roman" w:hAnsi="Times New Roman" w:eastAsia="宋体" w:cs="Times New Roman"/>
                <w:b/>
                <w:bCs/>
                <w:color w:val="000000" w:themeColor="text1"/>
                <w:kern w:val="0"/>
                <w:sz w:val="24"/>
                <w:szCs w:val="24"/>
                <w:highlight w:val="none"/>
                <w14:textFill>
                  <w14:solidFill>
                    <w14:schemeClr w14:val="tx1"/>
                  </w14:solidFill>
                </w14:textFill>
              </w:rPr>
              <w:t>污染源排污许可分类管理名录</w:t>
            </w:r>
          </w:p>
          <w:tbl>
            <w:tblPr>
              <w:tblStyle w:val="34"/>
              <w:tblW w:w="837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180"/>
              <w:gridCol w:w="1640"/>
              <w:gridCol w:w="3460"/>
              <w:gridCol w:w="13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67" w:type="dxa"/>
                  <w:tcBorders>
                    <w:tl2br w:val="nil"/>
                    <w:tr2bl w:val="nil"/>
                  </w:tcBorders>
                  <w:shd w:val="clear" w:color="auto" w:fill="auto"/>
                  <w:vAlign w:val="center"/>
                </w:tcPr>
                <w:p>
                  <w:pPr>
                    <w:pageBreakBefore w:val="0"/>
                    <w:widowControl/>
                    <w:kinsoku/>
                    <w:bidi w:val="0"/>
                    <w:adjustRightInd w:val="0"/>
                    <w:snapToGrid w:val="0"/>
                    <w:spacing w:beforeAutospacing="0" w:afterAutospacing="0"/>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序号</w:t>
                  </w:r>
                </w:p>
              </w:tc>
              <w:tc>
                <w:tcPr>
                  <w:tcW w:w="1180" w:type="dxa"/>
                  <w:tcBorders>
                    <w:tl2br w:val="nil"/>
                    <w:tr2bl w:val="nil"/>
                  </w:tcBorders>
                  <w:shd w:val="clear" w:color="auto" w:fill="auto"/>
                  <w:vAlign w:val="center"/>
                </w:tcPr>
                <w:p>
                  <w:pPr>
                    <w:pageBreakBefore w:val="0"/>
                    <w:widowControl/>
                    <w:kinsoku/>
                    <w:bidi w:val="0"/>
                    <w:adjustRightInd w:val="0"/>
                    <w:snapToGrid w:val="0"/>
                    <w:spacing w:beforeAutospacing="0" w:afterAutospacing="0"/>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行业类别</w:t>
                  </w:r>
                </w:p>
              </w:tc>
              <w:tc>
                <w:tcPr>
                  <w:tcW w:w="1640" w:type="dxa"/>
                  <w:tcBorders>
                    <w:tl2br w:val="nil"/>
                    <w:tr2bl w:val="nil"/>
                  </w:tcBorders>
                  <w:shd w:val="clear" w:color="auto" w:fill="auto"/>
                  <w:vAlign w:val="center"/>
                </w:tcPr>
                <w:p>
                  <w:pPr>
                    <w:pageBreakBefore w:val="0"/>
                    <w:widowControl/>
                    <w:kinsoku/>
                    <w:bidi w:val="0"/>
                    <w:adjustRightInd w:val="0"/>
                    <w:snapToGrid w:val="0"/>
                    <w:spacing w:beforeAutospacing="0" w:afterAutospacing="0"/>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重点管理</w:t>
                  </w:r>
                </w:p>
              </w:tc>
              <w:tc>
                <w:tcPr>
                  <w:tcW w:w="3460" w:type="dxa"/>
                  <w:tcBorders>
                    <w:tl2br w:val="nil"/>
                    <w:tr2bl w:val="nil"/>
                  </w:tcBorders>
                  <w:shd w:val="clear" w:color="auto" w:fill="FFFFFF" w:themeFill="background1"/>
                  <w:vAlign w:val="center"/>
                </w:tcPr>
                <w:p>
                  <w:pPr>
                    <w:pageBreakBefore w:val="0"/>
                    <w:widowControl/>
                    <w:kinsoku/>
                    <w:bidi w:val="0"/>
                    <w:adjustRightInd w:val="0"/>
                    <w:snapToGrid w:val="0"/>
                    <w:spacing w:beforeAutospacing="0" w:afterAutospacing="0"/>
                    <w:jc w:val="center"/>
                    <w:rPr>
                      <w:rFonts w:hint="default" w:ascii="Times New Roman" w:hAnsi="Times New Roman" w:eastAsia="宋体" w:cs="Times New Roman"/>
                      <w:b w:val="0"/>
                      <w:bCs w:val="0"/>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shd w:val="clear" w:color="auto" w:fill="auto"/>
                      <w14:textFill>
                        <w14:solidFill>
                          <w14:schemeClr w14:val="tx1"/>
                        </w14:solidFill>
                      </w14:textFill>
                    </w:rPr>
                    <w:t>简化管理</w:t>
                  </w:r>
                </w:p>
              </w:tc>
              <w:tc>
                <w:tcPr>
                  <w:tcW w:w="1332" w:type="dxa"/>
                  <w:tcBorders>
                    <w:tl2br w:val="nil"/>
                    <w:tr2bl w:val="nil"/>
                  </w:tcBorders>
                  <w:shd w:val="clear" w:color="auto" w:fill="BEBEBE" w:themeFill="background1" w:themeFillShade="BF"/>
                  <w:vAlign w:val="center"/>
                </w:tcPr>
                <w:p>
                  <w:pPr>
                    <w:pageBreakBefore w:val="0"/>
                    <w:widowControl/>
                    <w:kinsoku/>
                    <w:bidi w:val="0"/>
                    <w:adjustRightInd w:val="0"/>
                    <w:snapToGrid w:val="0"/>
                    <w:spacing w:beforeAutospacing="0" w:afterAutospacing="0"/>
                    <w:jc w:val="cente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14:textFill>
                        <w14:solidFill>
                          <w14:schemeClr w14:val="tx1"/>
                        </w14:solidFill>
                      </w14:textFill>
                    </w:rPr>
                    <w:t>登记管理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379" w:type="dxa"/>
                  <w:gridSpan w:val="5"/>
                  <w:tcBorders>
                    <w:tl2br w:val="nil"/>
                    <w:tr2bl w:val="nil"/>
                  </w:tcBorders>
                  <w:shd w:val="clear" w:color="auto" w:fill="BEBEBE" w:themeFill="background1" w:themeFillShade="BF"/>
                  <w:vAlign w:val="center"/>
                </w:tcPr>
                <w:p>
                  <w:pPr>
                    <w:pageBreakBefore w:val="0"/>
                    <w:widowControl/>
                    <w:kinsoku/>
                    <w:bidi w:val="0"/>
                    <w:adjustRightInd w:val="0"/>
                    <w:snapToGrid w:val="0"/>
                    <w:spacing w:beforeAutospacing="0" w:afterAutospacing="0"/>
                    <w:jc w:val="center"/>
                    <w:rPr>
                      <w:rFonts w:hint="default" w:ascii="Times New Roman" w:hAnsi="Times New Roman" w:eastAsia="宋体" w:cs="Times New Roman"/>
                      <w:b w:val="0"/>
                      <w:bCs w:val="0"/>
                      <w:color w:val="000000" w:themeColor="text1"/>
                      <w:kern w:val="0"/>
                      <w:sz w:val="21"/>
                      <w:szCs w:val="21"/>
                      <w:highlight w:val="none"/>
                      <w:shd w:val="clear" w:color="auto" w:fill="auto"/>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highlight w:val="none"/>
                      <w:shd w:val="clear" w:color="auto" w:fill="auto"/>
                      <w14:textFill>
                        <w14:solidFill>
                          <w14:schemeClr w14:val="tx1"/>
                        </w14:solidFill>
                      </w14:textFill>
                    </w:rPr>
                    <w:t>四十三、水上运输业55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tcBorders>
                    <w:tl2br w:val="nil"/>
                    <w:tr2bl w:val="nil"/>
                  </w:tcBorders>
                  <w:shd w:val="clear" w:color="auto" w:fill="auto"/>
                  <w:vAlign w:val="center"/>
                </w:tcPr>
                <w:p>
                  <w:pPr>
                    <w:pageBreakBefore w:val="0"/>
                    <w:widowControl/>
                    <w:kinsoku/>
                    <w:bidi w:val="0"/>
                    <w:adjustRightInd w:val="0"/>
                    <w:snapToGrid w:val="0"/>
                    <w:spacing w:beforeAutospacing="0" w:afterAutospacing="0"/>
                    <w:jc w:val="center"/>
                    <w:rPr>
                      <w:rFonts w:hint="default" w:ascii="Times New Roman" w:hAnsi="Times New Roman" w:eastAsia="宋体" w:cs="Times New Roman"/>
                      <w:color w:val="000000" w:themeColor="text1"/>
                      <w:kern w:val="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101</w:t>
                  </w:r>
                </w:p>
              </w:tc>
              <w:tc>
                <w:tcPr>
                  <w:tcW w:w="1180" w:type="dxa"/>
                  <w:tcBorders>
                    <w:tl2br w:val="nil"/>
                    <w:tr2bl w:val="nil"/>
                  </w:tcBorders>
                  <w:shd w:val="clear" w:color="auto" w:fill="auto"/>
                  <w:vAlign w:val="center"/>
                </w:tcPr>
                <w:p>
                  <w:pPr>
                    <w:pageBreakBefore w:val="0"/>
                    <w:widowControl/>
                    <w:kinsoku/>
                    <w:bidi w:val="0"/>
                    <w:adjustRightInd w:val="0"/>
                    <w:snapToGrid w:val="0"/>
                    <w:spacing w:beforeAutospacing="0" w:afterAutospacing="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水上运输辅助活动 553</w:t>
                  </w:r>
                </w:p>
              </w:tc>
              <w:tc>
                <w:tcPr>
                  <w:tcW w:w="1640" w:type="dxa"/>
                  <w:tcBorders>
                    <w:tl2br w:val="nil"/>
                    <w:tr2bl w:val="nil"/>
                  </w:tcBorders>
                  <w:shd w:val="clear" w:color="auto" w:fill="auto"/>
                  <w:vAlign w:val="center"/>
                </w:tcPr>
                <w:p>
                  <w:pPr>
                    <w:pageBreakBefore w:val="0"/>
                    <w:widowControl/>
                    <w:kinsoku/>
                    <w:bidi w:val="0"/>
                    <w:adjustRightInd w:val="0"/>
                    <w:snapToGrid w:val="0"/>
                    <w:spacing w:beforeAutospacing="0" w:afterAutospacing="0"/>
                    <w:jc w:val="cente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w:t>
                  </w:r>
                </w:p>
              </w:tc>
              <w:tc>
                <w:tcPr>
                  <w:tcW w:w="3460" w:type="dxa"/>
                  <w:tcBorders>
                    <w:tl2br w:val="nil"/>
                    <w:tr2bl w:val="nil"/>
                  </w:tcBorders>
                  <w:shd w:val="clear" w:color="auto" w:fill="FFFFFF" w:themeFill="background1"/>
                  <w:vAlign w:val="center"/>
                </w:tcPr>
                <w:p>
                  <w:pPr>
                    <w:pageBreakBefore w:val="0"/>
                    <w:widowControl/>
                    <w:kinsoku/>
                    <w:bidi w:val="0"/>
                    <w:adjustRightInd w:val="0"/>
                    <w:snapToGrid w:val="0"/>
                    <w:spacing w:beforeAutospacing="0" w:afterAutospacing="0"/>
                    <w:jc w:val="center"/>
                    <w:rPr>
                      <w:rFonts w:hint="default" w:ascii="Times New Roman" w:hAnsi="Times New Roman" w:eastAsia="宋体" w:cs="Times New Roman"/>
                      <w:color w:val="000000" w:themeColor="text1"/>
                      <w:kern w:val="0"/>
                      <w:szCs w:val="21"/>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kern w:val="0"/>
                      <w:szCs w:val="21"/>
                      <w:highlight w:val="none"/>
                      <w:shd w:val="clear" w:color="auto" w:fill="auto"/>
                      <w14:textFill>
                        <w14:solidFill>
                          <w14:schemeClr w14:val="tx1"/>
                        </w14:solidFill>
                      </w14:textFill>
                    </w:rPr>
                    <w:t>单个泊位1000吨级及以上的内河、单个泊位1万吨级及以上的沿海专业化干散货码头（煤炭、矿石）、通用散货码头</w:t>
                  </w:r>
                </w:p>
              </w:tc>
              <w:tc>
                <w:tcPr>
                  <w:tcW w:w="1332" w:type="dxa"/>
                  <w:tcBorders>
                    <w:tl2br w:val="nil"/>
                    <w:tr2bl w:val="nil"/>
                  </w:tcBorders>
                  <w:shd w:val="clear" w:color="auto" w:fill="BEBEBE" w:themeFill="background1" w:themeFillShade="BF"/>
                  <w:vAlign w:val="center"/>
                </w:tcPr>
                <w:p>
                  <w:pPr>
                    <w:pageBreakBefore w:val="0"/>
                    <w:widowControl/>
                    <w:kinsoku/>
                    <w:bidi w:val="0"/>
                    <w:adjustRightInd w:val="0"/>
                    <w:snapToGrid w:val="0"/>
                    <w:spacing w:beforeAutospacing="0" w:afterAutospacing="0"/>
                    <w:jc w:val="center"/>
                    <w:rPr>
                      <w:rFonts w:hint="default" w:ascii="Times New Roman" w:hAnsi="Times New Roman" w:eastAsia="宋体" w:cs="Times New Roman"/>
                      <w:color w:val="000000" w:themeColor="text1"/>
                      <w:kern w:val="0"/>
                      <w:szCs w:val="21"/>
                      <w:highlight w:val="none"/>
                      <w14:textFill>
                        <w14:solidFill>
                          <w14:schemeClr w14:val="tx1"/>
                        </w14:solidFill>
                      </w14:textFill>
                    </w:rPr>
                  </w:pPr>
                  <w:r>
                    <w:rPr>
                      <w:rFonts w:hint="default" w:ascii="Times New Roman" w:hAnsi="Times New Roman" w:eastAsia="宋体" w:cs="Times New Roman"/>
                      <w:color w:val="000000" w:themeColor="text1"/>
                      <w:kern w:val="0"/>
                      <w:szCs w:val="21"/>
                      <w:highlight w:val="none"/>
                      <w14:textFill>
                        <w14:solidFill>
                          <w14:schemeClr w14:val="tx1"/>
                        </w14:solidFill>
                      </w14:textFill>
                    </w:rPr>
                    <w:t>其他货运码头 5532</w:t>
                  </w:r>
                </w:p>
              </w:tc>
            </w:tr>
          </w:tbl>
          <w:p>
            <w:pPr>
              <w:pageBreakBefore w:val="0"/>
              <w:widowControl/>
              <w:kinsoku/>
              <w:bidi w:val="0"/>
              <w:adjustRightInd w:val="0"/>
              <w:snapToGrid w:val="0"/>
              <w:spacing w:beforeAutospacing="0" w:afterAutospacing="0" w:line="360" w:lineRule="auto"/>
              <w:ind w:firstLine="480" w:firstLineChars="200"/>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①</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建设单位应根据《</w:t>
            </w:r>
            <w:r>
              <w:rPr>
                <w:rFonts w:hint="default"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固定</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污染源排污许可分类管理名录》（2019年版）在产生实际排污行为之前依法</w:t>
            </w:r>
            <w:r>
              <w:rPr>
                <w:rFonts w:hint="default" w:ascii="Times New Roman" w:hAnsi="Times New Roman" w:eastAsia="宋体" w:cs="Times New Roman"/>
                <w:color w:val="000000" w:themeColor="text1"/>
                <w:kern w:val="0"/>
                <w:sz w:val="24"/>
                <w:szCs w:val="24"/>
                <w:highlight w:val="none"/>
                <w:lang w:eastAsia="zh-CN"/>
                <w14:textFill>
                  <w14:solidFill>
                    <w14:schemeClr w14:val="tx1"/>
                  </w14:solidFill>
                </w14:textFill>
              </w:rPr>
              <w:t>申领</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排污许可证，必须按批准的排放总量和浓度进行排放。</w:t>
            </w:r>
          </w:p>
          <w:p>
            <w:pPr>
              <w:pageBreakBefore w:val="0"/>
              <w:widowControl/>
              <w:kinsoku/>
              <w:bidi w:val="0"/>
              <w:adjustRightInd w:val="0"/>
              <w:snapToGrid w:val="0"/>
              <w:spacing w:beforeAutospacing="0" w:afterAutospacing="0" w:line="360" w:lineRule="auto"/>
              <w:ind w:firstLine="480" w:firstLineChars="200"/>
              <w:rPr>
                <w:rFonts w:hint="default" w:ascii="Times New Roman" w:hAnsi="Times New Roman" w:eastAsia="宋体" w:cs="Times New Roman"/>
                <w:color w:val="000000" w:themeColor="text1"/>
                <w:kern w:val="0"/>
                <w:sz w:val="24"/>
                <w:szCs w:val="24"/>
                <w:highlight w:val="none"/>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②</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排污单位在申请排污许可证前，应当将主要申请内容，通过国家排污许可证管理信息平台或者其他规定途径等便于公众知晓的方式向社会公开。</w:t>
            </w:r>
          </w:p>
          <w:p>
            <w:pPr>
              <w:pageBreakBefore w:val="0"/>
              <w:widowControl/>
              <w:kinsoku/>
              <w:bidi w:val="0"/>
              <w:adjustRightInd w:val="0"/>
              <w:snapToGrid w:val="0"/>
              <w:spacing w:beforeAutospacing="0" w:afterAutospacing="0" w:line="360" w:lineRule="auto"/>
              <w:ind w:firstLine="480" w:firstLineChars="200"/>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③</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排污单位应当在国家排污许可证管理信息平台上填报并提交排污许可证申请，同时向有核发权限的环境保护主管部门提交通过平台印制的书面申请材</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料。</w:t>
            </w:r>
          </w:p>
          <w:p>
            <w:pPr>
              <w:pageBreakBefore w:val="0"/>
              <w:widowControl/>
              <w:kinsoku/>
              <w:bidi w:val="0"/>
              <w:adjustRightInd w:val="0"/>
              <w:snapToGrid w:val="0"/>
              <w:spacing w:beforeAutospacing="0" w:afterAutospacing="0" w:line="360" w:lineRule="auto"/>
              <w:ind w:firstLine="480" w:firstLineChars="200"/>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④</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排污单位和核发排污许可证的生态环境主管部门，应当按照《</w:t>
            </w:r>
            <w:r>
              <w:rPr>
                <w:rFonts w:hint="default"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 xml:space="preserve">排污许可证申请与核发技术规范 </w:t>
            </w: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码头</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》（HJ</w:t>
            </w: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1107</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-20</w:t>
            </w:r>
            <w:r>
              <w:rPr>
                <w:rFonts w:hint="eastAsia" w:ascii="Times New Roman" w:hAnsi="Times New Roman" w:eastAsia="宋体" w:cs="Times New Roman"/>
                <w:b w:val="0"/>
                <w:bCs w:val="0"/>
                <w:color w:val="000000" w:themeColor="text1"/>
                <w:kern w:val="0"/>
                <w:sz w:val="24"/>
                <w:szCs w:val="24"/>
                <w:highlight w:val="none"/>
                <w:lang w:val="en-US" w:eastAsia="zh-CN"/>
                <w14:textFill>
                  <w14:solidFill>
                    <w14:schemeClr w14:val="tx1"/>
                  </w14:solidFill>
                </w14:textFill>
              </w:rPr>
              <w:t>20</w:t>
            </w:r>
            <w:r>
              <w:rPr>
                <w:rFonts w:hint="default" w:ascii="Times New Roman" w:hAnsi="Times New Roman" w:eastAsia="宋体" w:cs="Times New Roman"/>
                <w:b w:val="0"/>
                <w:bCs w:val="0"/>
                <w:color w:val="000000" w:themeColor="text1"/>
                <w:kern w:val="0"/>
                <w:sz w:val="24"/>
                <w:szCs w:val="24"/>
                <w:highlight w:val="none"/>
                <w14:textFill>
                  <w14:solidFill>
                    <w14:schemeClr w14:val="tx1"/>
                  </w14:solidFill>
                </w14:textFill>
              </w:rPr>
              <w:t>）申请与核发排污许可证；</w:t>
            </w:r>
          </w:p>
          <w:p>
            <w:pPr>
              <w:pStyle w:val="11"/>
              <w:pageBreakBefore w:val="0"/>
              <w:tabs>
                <w:tab w:val="left" w:pos="1960"/>
              </w:tabs>
              <w:kinsoku/>
              <w:bidi w:val="0"/>
              <w:spacing w:beforeAutospacing="0" w:afterAutospacing="0"/>
              <w:ind w:firstLine="480" w:firstLineChars="200"/>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（2）排污口规范化管理</w:t>
            </w:r>
          </w:p>
          <w:p>
            <w:pPr>
              <w:pStyle w:val="116"/>
              <w:pageBreakBefore w:val="0"/>
              <w:kinsoku/>
              <w:bidi w:val="0"/>
              <w:spacing w:beforeAutospacing="0" w:afterAutospacing="0"/>
              <w:ind w:firstLine="420"/>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排污口规范化是实施污染物总量控制管理的基础工作，也是总量控制不可缺少的一项内容，排污口规范化对于污染源管理，现场监督检查，促进厂家企业强化</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环保管理，促进污染治理，实现科学化、定量化都有极大的现实意义。</w:t>
            </w:r>
          </w:p>
          <w:p>
            <w:pPr>
              <w:pStyle w:val="12"/>
              <w:pageBreakBefore w:val="0"/>
              <w:tabs>
                <w:tab w:val="left" w:pos="644"/>
              </w:tabs>
              <w:kinsoku/>
              <w:bidi w:val="0"/>
              <w:spacing w:before="0" w:beforeAutospacing="0" w:after="0" w:afterAutospacing="0" w:line="360" w:lineRule="auto"/>
              <w:ind w:firstLine="480" w:firstLineChars="200"/>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bookmarkStart w:id="89" w:name="_Toc522182581"/>
            <w:bookmarkStart w:id="90" w:name="_Toc25852"/>
            <w:bookmarkStart w:id="91" w:name="_Toc3536"/>
            <w:bookmarkStart w:id="92" w:name="_Toc408332379"/>
            <w:bookmarkStart w:id="93" w:name="_Toc25089"/>
            <w:bookmarkStart w:id="94" w:name="_Toc519504014"/>
            <w:bookmarkStart w:id="95" w:name="_Toc30374"/>
            <w:bookmarkStart w:id="96" w:name="_Toc6032"/>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（3）排污口规范化要求的依据</w:t>
            </w:r>
            <w:bookmarkEnd w:id="89"/>
            <w:bookmarkEnd w:id="90"/>
            <w:bookmarkEnd w:id="91"/>
            <w:bookmarkEnd w:id="92"/>
            <w:bookmarkEnd w:id="93"/>
            <w:bookmarkEnd w:id="94"/>
            <w:bookmarkEnd w:id="95"/>
            <w:bookmarkEnd w:id="96"/>
          </w:p>
          <w:p>
            <w:pPr>
              <w:pStyle w:val="116"/>
              <w:pageBreakBefore w:val="0"/>
              <w:kinsoku/>
              <w:bidi w:val="0"/>
              <w:spacing w:beforeAutospacing="0" w:afterAutospacing="0"/>
              <w:ind w:firstLine="420"/>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①《关于开展排污口规范化整治工作的通知》国家环境保护总局</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环发</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1999]24号</w:t>
            </w:r>
            <w:r>
              <w:rPr>
                <w:rFonts w:hint="default" w:ascii="Times New Roman" w:hAnsi="Times New Roman" w:eastAsia="宋体" w:cs="Times New Roman"/>
                <w:b w:val="0"/>
                <w:bCs w:val="0"/>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w:t>
            </w:r>
          </w:p>
          <w:p>
            <w:pPr>
              <w:pStyle w:val="116"/>
              <w:pageBreakBefore w:val="0"/>
              <w:kinsoku/>
              <w:bidi w:val="0"/>
              <w:spacing w:beforeAutospacing="0" w:afterAutospacing="0"/>
              <w:ind w:firstLine="420"/>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②《排污口规范化整治技术（试行）》环监[1996]470号；</w:t>
            </w:r>
          </w:p>
          <w:p>
            <w:pPr>
              <w:pStyle w:val="116"/>
              <w:pageBreakBefore w:val="0"/>
              <w:kinsoku/>
              <w:bidi w:val="0"/>
              <w:spacing w:beforeAutospacing="0" w:afterAutospacing="0"/>
              <w:ind w:firstLine="420"/>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③</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关于转发《关于开展排污口规范化整治工作的通知》的通知</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福建省环境保护局闽环保[1999]理3号；</w:t>
            </w:r>
          </w:p>
          <w:p>
            <w:pPr>
              <w:pStyle w:val="116"/>
              <w:pageBreakBefore w:val="0"/>
              <w:kinsoku/>
              <w:bidi w:val="0"/>
              <w:spacing w:beforeAutospacing="0" w:afterAutospacing="0"/>
              <w:ind w:firstLine="420"/>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④</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关于印发《福建省污染物排放口规范化整治补充技术要求》的通知</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福建省环境保护局闽环保[1999]理8号；</w:t>
            </w:r>
          </w:p>
          <w:p>
            <w:pPr>
              <w:pStyle w:val="116"/>
              <w:pageBreakBefore w:val="0"/>
              <w:kinsoku/>
              <w:bidi w:val="0"/>
              <w:spacing w:beforeAutospacing="0" w:afterAutospacing="0"/>
              <w:ind w:firstLine="420"/>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⑤</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关于印发《福建省工业污染源排放的管理办法》的通知</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福建省环境保护局闽环保[1999]理9号。</w:t>
            </w:r>
          </w:p>
          <w:p>
            <w:pPr>
              <w:pStyle w:val="12"/>
              <w:pageBreakBefore w:val="0"/>
              <w:tabs>
                <w:tab w:val="left" w:pos="644"/>
              </w:tabs>
              <w:kinsoku/>
              <w:bidi w:val="0"/>
              <w:spacing w:before="0" w:beforeAutospacing="0" w:after="0" w:afterAutospacing="0" w:line="360" w:lineRule="auto"/>
              <w:ind w:firstLine="480" w:firstLineChars="200"/>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pPr>
            <w:bookmarkStart w:id="97" w:name="_Toc30445"/>
            <w:bookmarkStart w:id="98" w:name="_Toc11366"/>
            <w:bookmarkStart w:id="99" w:name="_Toc24785"/>
            <w:bookmarkStart w:id="100" w:name="_Toc11902"/>
            <w:bookmarkStart w:id="101" w:name="_Toc408332380"/>
            <w:bookmarkStart w:id="102" w:name="_Toc519504015"/>
            <w:bookmarkStart w:id="103" w:name="_Toc16753"/>
            <w:bookmarkStart w:id="104" w:name="_Toc522182582"/>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（4）排污口规范化的范围和时间</w:t>
            </w:r>
            <w:bookmarkEnd w:id="97"/>
            <w:bookmarkEnd w:id="98"/>
            <w:bookmarkEnd w:id="99"/>
            <w:bookmarkEnd w:id="100"/>
            <w:bookmarkEnd w:id="101"/>
            <w:bookmarkEnd w:id="102"/>
            <w:bookmarkEnd w:id="103"/>
            <w:bookmarkEnd w:id="104"/>
          </w:p>
          <w:p>
            <w:pPr>
              <w:pStyle w:val="116"/>
              <w:pageBreakBefore w:val="0"/>
              <w:kinsoku/>
              <w:bidi w:val="0"/>
              <w:spacing w:beforeAutospacing="0" w:afterAutospacing="0"/>
              <w:ind w:firstLine="42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根据福建省环境保护局闽环保</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1999</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理3号</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关于转发《关于开展排污口规范化整治工作的通知》的通知</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文的要求，一切新建、改建的排污单位以及限期治理的排污单位，必须在建设污染治理设施的同时，建设规范化排污口。因此，本项目排污口必须规范化设置和管理。规范化工作应与污染治理同步实施，即污染治理设施完工时，规范化工作必须同时完成，并列入污染治理设施的竣工验收内容。</w:t>
            </w:r>
          </w:p>
          <w:p>
            <w:pPr>
              <w:pStyle w:val="12"/>
              <w:pageBreakBefore w:val="0"/>
              <w:tabs>
                <w:tab w:val="left" w:pos="644"/>
              </w:tabs>
              <w:kinsoku/>
              <w:bidi w:val="0"/>
              <w:spacing w:before="0" w:beforeAutospacing="0" w:after="0" w:afterAutospacing="0" w:line="360" w:lineRule="auto"/>
              <w:ind w:firstLine="480" w:firstLineChars="200"/>
              <w:rPr>
                <w:rFonts w:hint="default" w:ascii="Times New Roman" w:hAnsi="Times New Roman" w:eastAsia="宋体" w:cs="Times New Roman"/>
                <w:b w:val="0"/>
                <w:bCs/>
                <w:color w:val="000000" w:themeColor="text1"/>
                <w:sz w:val="24"/>
                <w:szCs w:val="24"/>
                <w:highlight w:val="none"/>
                <w14:textFill>
                  <w14:solidFill>
                    <w14:schemeClr w14:val="tx1"/>
                  </w14:solidFill>
                </w14:textFill>
              </w:rPr>
            </w:pPr>
            <w:bookmarkStart w:id="105" w:name="_Toc20966"/>
            <w:bookmarkStart w:id="106" w:name="_Toc16500"/>
            <w:bookmarkStart w:id="107" w:name="_Toc408332381"/>
            <w:bookmarkStart w:id="108" w:name="_Toc27297"/>
            <w:bookmarkStart w:id="109" w:name="_Toc522182583"/>
            <w:bookmarkStart w:id="110" w:name="_Toc27615"/>
            <w:bookmarkStart w:id="111" w:name="_Toc27938"/>
            <w:bookmarkStart w:id="112" w:name="_Toc519504016"/>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（5）排污口规范化的内容</w:t>
            </w:r>
            <w:bookmarkEnd w:id="105"/>
            <w:bookmarkEnd w:id="106"/>
            <w:bookmarkEnd w:id="107"/>
            <w:bookmarkEnd w:id="108"/>
            <w:bookmarkEnd w:id="109"/>
            <w:bookmarkEnd w:id="110"/>
            <w:bookmarkEnd w:id="111"/>
            <w:bookmarkEnd w:id="112"/>
          </w:p>
          <w:p>
            <w:pPr>
              <w:pStyle w:val="116"/>
              <w:pageBreakBefore w:val="0"/>
              <w:kinsoku/>
              <w:bidi w:val="0"/>
              <w:spacing w:beforeAutospacing="0" w:afterAutospacing="0"/>
              <w:ind w:firstLine="42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各污染源排放口应设置专项图标，执行</w:t>
            </w:r>
            <w:r>
              <w:rPr>
                <w:rFonts w:hint="default" w:ascii="Times New Roman" w:hAnsi="Times New Roman" w:eastAsia="宋体" w:cs="Times New Roman"/>
                <w:color w:val="000000" w:themeColor="text1"/>
                <w:sz w:val="24"/>
                <w:szCs w:val="24"/>
                <w:highlight w:val="none"/>
                <w14:textFill>
                  <w14:solidFill>
                    <w14:schemeClr w14:val="tx1"/>
                  </w14:solidFill>
                </w14:textFill>
              </w:rPr>
              <w:t>《环境保护图形标志—排放口（源）》（GB1556</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.1-1995）</w:t>
            </w:r>
            <w:r>
              <w:rPr>
                <w:rFonts w:hint="default" w:ascii="Times New Roman" w:hAnsi="Times New Roman" w:eastAsia="宋体" w:cs="Times New Roman"/>
                <w:color w:val="000000" w:themeColor="text1"/>
                <w:sz w:val="24"/>
                <w:szCs w:val="24"/>
                <w:highlight w:val="none"/>
                <w14:textFill>
                  <w14:solidFill>
                    <w14:schemeClr w14:val="tx1"/>
                  </w14:solidFill>
                </w14:textFill>
              </w:rPr>
              <w:t>。标志牌应设在与之功能相应的醒目处，并保持清晰、完整，具体见表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6-1</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pPr>
              <w:pStyle w:val="70"/>
              <w:pageBreakBefore w:val="0"/>
              <w:kinsoku/>
              <w:bidi w:val="0"/>
              <w:spacing w:beforeAutospacing="0" w:afterAutospacing="0"/>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表 </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6-1</w:t>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排放口图形标志</w:t>
            </w:r>
          </w:p>
          <w:tbl>
            <w:tblPr>
              <w:tblStyle w:val="33"/>
              <w:tblW w:w="82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22"/>
              <w:gridCol w:w="1461"/>
              <w:gridCol w:w="1486"/>
              <w:gridCol w:w="1482"/>
              <w:gridCol w:w="1565"/>
              <w:gridCol w:w="148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822" w:type="dxa"/>
                  <w:tcBorders>
                    <w:tl2br w:val="nil"/>
                    <w:tr2bl w:val="nil"/>
                  </w:tcBorders>
                  <w:vAlign w:val="center"/>
                </w:tcPr>
                <w:p>
                  <w:pPr>
                    <w:pStyle w:val="106"/>
                    <w:pageBreakBefore w:val="0"/>
                    <w:kinsoku/>
                    <w:bidi w:val="0"/>
                    <w:spacing w:beforeAutospacing="0" w:afterAutospacing="0"/>
                    <w:ind w:left="-63" w:right="-63"/>
                    <w:rPr>
                      <w:rFonts w:hint="default" w:ascii="Times New Roman" w:hAnsi="Times New Roman" w:eastAsia="宋体" w:cs="Times New Roman"/>
                      <w:b w:val="0"/>
                      <w:bCs/>
                      <w:color w:val="000000" w:themeColor="text1"/>
                      <w:szCs w:val="21"/>
                      <w:highlight w:val="none"/>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名称</w:t>
                  </w:r>
                </w:p>
              </w:tc>
              <w:tc>
                <w:tcPr>
                  <w:tcW w:w="1461" w:type="dxa"/>
                  <w:tcBorders>
                    <w:tl2br w:val="nil"/>
                    <w:tr2bl w:val="nil"/>
                  </w:tcBorders>
                  <w:vAlign w:val="center"/>
                </w:tcPr>
                <w:p>
                  <w:pPr>
                    <w:pStyle w:val="106"/>
                    <w:pageBreakBefore w:val="0"/>
                    <w:kinsoku/>
                    <w:bidi w:val="0"/>
                    <w:spacing w:beforeAutospacing="0" w:afterAutospacing="0"/>
                    <w:ind w:left="-63" w:right="-63"/>
                    <w:rPr>
                      <w:rFonts w:hint="default" w:ascii="Times New Roman" w:hAnsi="Times New Roman" w:eastAsia="宋体" w:cs="Times New Roman"/>
                      <w:b w:val="0"/>
                      <w:bCs/>
                      <w:color w:val="000000" w:themeColor="text1"/>
                      <w:szCs w:val="21"/>
                      <w:highlight w:val="none"/>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废水排放口</w:t>
                  </w:r>
                </w:p>
              </w:tc>
              <w:tc>
                <w:tcPr>
                  <w:tcW w:w="1486" w:type="dxa"/>
                  <w:tcBorders>
                    <w:tl2br w:val="nil"/>
                    <w:tr2bl w:val="nil"/>
                  </w:tcBorders>
                  <w:vAlign w:val="center"/>
                </w:tcPr>
                <w:p>
                  <w:pPr>
                    <w:pStyle w:val="106"/>
                    <w:pageBreakBefore w:val="0"/>
                    <w:kinsoku/>
                    <w:bidi w:val="0"/>
                    <w:spacing w:beforeAutospacing="0" w:afterAutospacing="0"/>
                    <w:ind w:left="-63" w:right="-63"/>
                    <w:rPr>
                      <w:rFonts w:hint="default" w:ascii="Times New Roman" w:hAnsi="Times New Roman" w:eastAsia="宋体" w:cs="Times New Roman"/>
                      <w:b w:val="0"/>
                      <w:bCs/>
                      <w:color w:val="000000" w:themeColor="text1"/>
                      <w:szCs w:val="21"/>
                      <w:highlight w:val="none"/>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废气排放口</w:t>
                  </w:r>
                </w:p>
              </w:tc>
              <w:tc>
                <w:tcPr>
                  <w:tcW w:w="1482" w:type="dxa"/>
                  <w:tcBorders>
                    <w:tl2br w:val="nil"/>
                    <w:tr2bl w:val="nil"/>
                  </w:tcBorders>
                  <w:vAlign w:val="center"/>
                </w:tcPr>
                <w:p>
                  <w:pPr>
                    <w:pStyle w:val="106"/>
                    <w:pageBreakBefore w:val="0"/>
                    <w:kinsoku/>
                    <w:bidi w:val="0"/>
                    <w:spacing w:beforeAutospacing="0" w:afterAutospacing="0"/>
                    <w:ind w:left="-63" w:right="-63"/>
                    <w:rPr>
                      <w:rFonts w:hint="default" w:ascii="Times New Roman" w:hAnsi="Times New Roman" w:eastAsia="宋体" w:cs="Times New Roman"/>
                      <w:b w:val="0"/>
                      <w:bCs/>
                      <w:color w:val="000000" w:themeColor="text1"/>
                      <w:szCs w:val="21"/>
                      <w:highlight w:val="none"/>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噪声排放源</w:t>
                  </w:r>
                </w:p>
              </w:tc>
              <w:tc>
                <w:tcPr>
                  <w:tcW w:w="1565" w:type="dxa"/>
                  <w:tcBorders>
                    <w:tl2br w:val="nil"/>
                    <w:tr2bl w:val="nil"/>
                  </w:tcBorders>
                  <w:vAlign w:val="center"/>
                </w:tcPr>
                <w:p>
                  <w:pPr>
                    <w:pStyle w:val="106"/>
                    <w:pageBreakBefore w:val="0"/>
                    <w:kinsoku/>
                    <w:bidi w:val="0"/>
                    <w:spacing w:beforeAutospacing="0" w:afterAutospacing="0"/>
                    <w:ind w:left="-63" w:right="-63"/>
                    <w:rPr>
                      <w:rFonts w:hint="default" w:ascii="Times New Roman" w:hAnsi="Times New Roman" w:eastAsia="宋体" w:cs="Times New Roman"/>
                      <w:b w:val="0"/>
                      <w:bCs/>
                      <w:color w:val="000000" w:themeColor="text1"/>
                      <w:szCs w:val="21"/>
                      <w:highlight w:val="none"/>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一般固体废物</w:t>
                  </w:r>
                </w:p>
              </w:tc>
              <w:tc>
                <w:tcPr>
                  <w:tcW w:w="1481" w:type="dxa"/>
                  <w:tcBorders>
                    <w:tl2br w:val="nil"/>
                    <w:tr2bl w:val="nil"/>
                  </w:tcBorders>
                  <w:vAlign w:val="center"/>
                </w:tcPr>
                <w:p>
                  <w:pPr>
                    <w:pStyle w:val="106"/>
                    <w:pageBreakBefore w:val="0"/>
                    <w:kinsoku/>
                    <w:bidi w:val="0"/>
                    <w:spacing w:beforeAutospacing="0" w:afterAutospacing="0"/>
                    <w:ind w:right="-63"/>
                    <w:rPr>
                      <w:rFonts w:hint="default" w:ascii="Times New Roman" w:hAnsi="Times New Roman" w:eastAsia="宋体" w:cs="Times New Roman"/>
                      <w:b w:val="0"/>
                      <w:bCs/>
                      <w:color w:val="000000" w:themeColor="text1"/>
                      <w:szCs w:val="21"/>
                      <w:highlight w:val="none"/>
                      <w14:textFill>
                        <w14:solidFill>
                          <w14:schemeClr w14:val="tx1"/>
                        </w14:solidFill>
                      </w14:textFill>
                    </w:rPr>
                  </w:pPr>
                  <w:r>
                    <w:rPr>
                      <w:rFonts w:hint="default" w:ascii="Times New Roman" w:hAnsi="Times New Roman" w:eastAsia="宋体" w:cs="Times New Roman"/>
                      <w:b w:val="0"/>
                      <w:bCs/>
                      <w:color w:val="000000" w:themeColor="text1"/>
                      <w:szCs w:val="21"/>
                      <w:highlight w:val="none"/>
                      <w14:textFill>
                        <w14:solidFill>
                          <w14:schemeClr w14:val="tx1"/>
                        </w14:solidFill>
                      </w14:textFill>
                    </w:rPr>
                    <w:t>危险废物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7" w:hRule="atLeast"/>
                <w:jc w:val="center"/>
              </w:trPr>
              <w:tc>
                <w:tcPr>
                  <w:tcW w:w="822" w:type="dxa"/>
                  <w:tcBorders>
                    <w:tl2br w:val="nil"/>
                    <w:tr2bl w:val="nil"/>
                  </w:tcBorders>
                  <w:vAlign w:val="center"/>
                </w:tcPr>
                <w:p>
                  <w:pPr>
                    <w:pStyle w:val="106"/>
                    <w:pageBreakBefore w:val="0"/>
                    <w:kinsoku/>
                    <w:bidi w:val="0"/>
                    <w:spacing w:beforeAutospacing="0" w:afterAutospacing="0"/>
                    <w:ind w:left="-63" w:right="-63"/>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提示图形符号</w:t>
                  </w:r>
                </w:p>
              </w:tc>
              <w:tc>
                <w:tcPr>
                  <w:tcW w:w="1461" w:type="dxa"/>
                  <w:tcBorders>
                    <w:tl2br w:val="nil"/>
                    <w:tr2bl w:val="nil"/>
                  </w:tcBorders>
                  <w:vAlign w:val="center"/>
                </w:tcPr>
                <w:p>
                  <w:pPr>
                    <w:pStyle w:val="106"/>
                    <w:pageBreakBefore w:val="0"/>
                    <w:kinsoku/>
                    <w:bidi w:val="0"/>
                    <w:spacing w:beforeAutospacing="0" w:afterAutospacing="0"/>
                    <w:ind w:left="-63" w:right="-63"/>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drawing>
                      <wp:inline distT="0" distB="0" distL="114300" distR="114300">
                        <wp:extent cx="834390" cy="816610"/>
                        <wp:effectExtent l="0" t="0" r="3810" b="2540"/>
                        <wp:docPr id="4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6"/>
                                <pic:cNvPicPr>
                                  <a:picLocks noChangeAspect="1"/>
                                </pic:cNvPicPr>
                              </pic:nvPicPr>
                              <pic:blipFill>
                                <a:blip r:embed="rId34"/>
                                <a:stretch>
                                  <a:fillRect/>
                                </a:stretch>
                              </pic:blipFill>
                              <pic:spPr>
                                <a:xfrm>
                                  <a:off x="0" y="0"/>
                                  <a:ext cx="834390" cy="816610"/>
                                </a:xfrm>
                                <a:prstGeom prst="rect">
                                  <a:avLst/>
                                </a:prstGeom>
                                <a:noFill/>
                                <a:ln>
                                  <a:noFill/>
                                </a:ln>
                              </pic:spPr>
                            </pic:pic>
                          </a:graphicData>
                        </a:graphic>
                      </wp:inline>
                    </w:drawing>
                  </w:r>
                </w:p>
              </w:tc>
              <w:tc>
                <w:tcPr>
                  <w:tcW w:w="1486" w:type="dxa"/>
                  <w:tcBorders>
                    <w:tl2br w:val="nil"/>
                    <w:tr2bl w:val="nil"/>
                  </w:tcBorders>
                  <w:vAlign w:val="center"/>
                </w:tcPr>
                <w:p>
                  <w:pPr>
                    <w:pStyle w:val="106"/>
                    <w:pageBreakBefore w:val="0"/>
                    <w:kinsoku/>
                    <w:bidi w:val="0"/>
                    <w:spacing w:beforeAutospacing="0" w:afterAutospacing="0"/>
                    <w:ind w:left="-63" w:right="-63"/>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drawing>
                      <wp:inline distT="0" distB="0" distL="114300" distR="114300">
                        <wp:extent cx="850900" cy="832485"/>
                        <wp:effectExtent l="0" t="0" r="6350" b="5715"/>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35"/>
                                <a:stretch>
                                  <a:fillRect/>
                                </a:stretch>
                              </pic:blipFill>
                              <pic:spPr>
                                <a:xfrm>
                                  <a:off x="0" y="0"/>
                                  <a:ext cx="850900" cy="832485"/>
                                </a:xfrm>
                                <a:prstGeom prst="rect">
                                  <a:avLst/>
                                </a:prstGeom>
                                <a:noFill/>
                                <a:ln>
                                  <a:noFill/>
                                </a:ln>
                              </pic:spPr>
                            </pic:pic>
                          </a:graphicData>
                        </a:graphic>
                      </wp:inline>
                    </w:drawing>
                  </w:r>
                </w:p>
              </w:tc>
              <w:tc>
                <w:tcPr>
                  <w:tcW w:w="1482" w:type="dxa"/>
                  <w:tcBorders>
                    <w:tl2br w:val="nil"/>
                    <w:tr2bl w:val="nil"/>
                  </w:tcBorders>
                  <w:vAlign w:val="center"/>
                </w:tcPr>
                <w:p>
                  <w:pPr>
                    <w:pStyle w:val="106"/>
                    <w:pageBreakBefore w:val="0"/>
                    <w:kinsoku/>
                    <w:bidi w:val="0"/>
                    <w:spacing w:beforeAutospacing="0" w:afterAutospacing="0"/>
                    <w:ind w:left="-63" w:right="-63"/>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drawing>
                      <wp:inline distT="0" distB="0" distL="114300" distR="114300">
                        <wp:extent cx="811530" cy="820420"/>
                        <wp:effectExtent l="0" t="0" r="7620" b="17780"/>
                        <wp:docPr id="4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8"/>
                                <pic:cNvPicPr>
                                  <a:picLocks noChangeAspect="1"/>
                                </pic:cNvPicPr>
                              </pic:nvPicPr>
                              <pic:blipFill>
                                <a:blip r:embed="rId36"/>
                                <a:stretch>
                                  <a:fillRect/>
                                </a:stretch>
                              </pic:blipFill>
                              <pic:spPr>
                                <a:xfrm>
                                  <a:off x="0" y="0"/>
                                  <a:ext cx="811530" cy="820420"/>
                                </a:xfrm>
                                <a:prstGeom prst="rect">
                                  <a:avLst/>
                                </a:prstGeom>
                                <a:noFill/>
                                <a:ln>
                                  <a:noFill/>
                                </a:ln>
                              </pic:spPr>
                            </pic:pic>
                          </a:graphicData>
                        </a:graphic>
                      </wp:inline>
                    </w:drawing>
                  </w:r>
                </w:p>
              </w:tc>
              <w:tc>
                <w:tcPr>
                  <w:tcW w:w="1565" w:type="dxa"/>
                  <w:tcBorders>
                    <w:tl2br w:val="nil"/>
                    <w:tr2bl w:val="nil"/>
                  </w:tcBorders>
                  <w:vAlign w:val="center"/>
                </w:tcPr>
                <w:p>
                  <w:pPr>
                    <w:pStyle w:val="106"/>
                    <w:pageBreakBefore w:val="0"/>
                    <w:kinsoku/>
                    <w:bidi w:val="0"/>
                    <w:spacing w:beforeAutospacing="0" w:afterAutospacing="0"/>
                    <w:ind w:left="-63" w:right="-63"/>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drawing>
                      <wp:inline distT="0" distB="0" distL="114300" distR="114300">
                        <wp:extent cx="904875" cy="942975"/>
                        <wp:effectExtent l="0" t="0" r="9525" b="9525"/>
                        <wp:docPr id="4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9"/>
                                <pic:cNvPicPr>
                                  <a:picLocks noChangeAspect="1"/>
                                </pic:cNvPicPr>
                              </pic:nvPicPr>
                              <pic:blipFill>
                                <a:blip r:embed="rId37"/>
                                <a:stretch>
                                  <a:fillRect/>
                                </a:stretch>
                              </pic:blipFill>
                              <pic:spPr>
                                <a:xfrm>
                                  <a:off x="0" y="0"/>
                                  <a:ext cx="904875" cy="942975"/>
                                </a:xfrm>
                                <a:prstGeom prst="rect">
                                  <a:avLst/>
                                </a:prstGeom>
                                <a:noFill/>
                                <a:ln>
                                  <a:noFill/>
                                </a:ln>
                              </pic:spPr>
                            </pic:pic>
                          </a:graphicData>
                        </a:graphic>
                      </wp:inline>
                    </w:drawing>
                  </w:r>
                </w:p>
              </w:tc>
              <w:tc>
                <w:tcPr>
                  <w:tcW w:w="1481" w:type="dxa"/>
                  <w:tcBorders>
                    <w:tl2br w:val="nil"/>
                    <w:tr2bl w:val="nil"/>
                  </w:tcBorders>
                  <w:vAlign w:val="center"/>
                </w:tcPr>
                <w:p>
                  <w:pPr>
                    <w:pStyle w:val="106"/>
                    <w:pageBreakBefore w:val="0"/>
                    <w:kinsoku/>
                    <w:bidi w:val="0"/>
                    <w:spacing w:beforeAutospacing="0" w:afterAutospacing="0"/>
                    <w:ind w:left="-63" w:right="-63"/>
                    <w:rPr>
                      <w:rFonts w:hint="default"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olor w:val="000000" w:themeColor="text1"/>
                      <w14:textFill>
                        <w14:solidFill>
                          <w14:schemeClr w14:val="tx1"/>
                        </w14:solidFill>
                      </w14:textFill>
                    </w:rPr>
                    <w:drawing>
                      <wp:inline distT="0" distB="0" distL="114300" distR="114300">
                        <wp:extent cx="904875" cy="823595"/>
                        <wp:effectExtent l="0" t="0" r="9525" b="14605"/>
                        <wp:docPr id="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9"/>
                                <pic:cNvPicPr>
                                  <a:picLocks noChangeAspect="1"/>
                                </pic:cNvPicPr>
                              </pic:nvPicPr>
                              <pic:blipFill>
                                <a:blip r:embed="rId38"/>
                                <a:stretch>
                                  <a:fillRect/>
                                </a:stretch>
                              </pic:blipFill>
                              <pic:spPr>
                                <a:xfrm>
                                  <a:off x="0" y="0"/>
                                  <a:ext cx="904875" cy="823595"/>
                                </a:xfrm>
                                <a:prstGeom prst="rect">
                                  <a:avLst/>
                                </a:prstGeom>
                                <a:noFill/>
                                <a:ln>
                                  <a:noFill/>
                                </a:ln>
                              </pic:spPr>
                            </pic:pic>
                          </a:graphicData>
                        </a:graphic>
                      </wp:inline>
                    </w:drawing>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7" w:hRule="exact"/>
                <w:jc w:val="center"/>
              </w:trPr>
              <w:tc>
                <w:tcPr>
                  <w:tcW w:w="822" w:type="dxa"/>
                  <w:tcBorders>
                    <w:tl2br w:val="nil"/>
                    <w:tr2bl w:val="nil"/>
                  </w:tcBorders>
                  <w:vAlign w:val="center"/>
                </w:tcPr>
                <w:p>
                  <w:pPr>
                    <w:pStyle w:val="106"/>
                    <w:pageBreakBefore w:val="0"/>
                    <w:kinsoku/>
                    <w:bidi w:val="0"/>
                    <w:spacing w:beforeAutospacing="0" w:afterAutospacing="0"/>
                    <w:ind w:left="-63" w:right="-63"/>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功能</w:t>
                  </w:r>
                </w:p>
              </w:tc>
              <w:tc>
                <w:tcPr>
                  <w:tcW w:w="1461" w:type="dxa"/>
                  <w:tcBorders>
                    <w:tl2br w:val="nil"/>
                    <w:tr2bl w:val="nil"/>
                  </w:tcBorders>
                  <w:vAlign w:val="center"/>
                </w:tcPr>
                <w:p>
                  <w:pPr>
                    <w:pStyle w:val="106"/>
                    <w:pageBreakBefore w:val="0"/>
                    <w:kinsoku/>
                    <w:bidi w:val="0"/>
                    <w:spacing w:beforeAutospacing="0" w:afterAutospacing="0"/>
                    <w:ind w:left="-63" w:right="-63"/>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表示污水向水体排放</w:t>
                  </w:r>
                </w:p>
              </w:tc>
              <w:tc>
                <w:tcPr>
                  <w:tcW w:w="1486" w:type="dxa"/>
                  <w:tcBorders>
                    <w:tl2br w:val="nil"/>
                    <w:tr2bl w:val="nil"/>
                  </w:tcBorders>
                  <w:vAlign w:val="center"/>
                </w:tcPr>
                <w:p>
                  <w:pPr>
                    <w:pStyle w:val="106"/>
                    <w:pageBreakBefore w:val="0"/>
                    <w:kinsoku/>
                    <w:bidi w:val="0"/>
                    <w:spacing w:beforeAutospacing="0" w:afterAutospacing="0"/>
                    <w:ind w:left="-63" w:right="-63"/>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表示废气向大气环境排放</w:t>
                  </w:r>
                </w:p>
              </w:tc>
              <w:tc>
                <w:tcPr>
                  <w:tcW w:w="1482" w:type="dxa"/>
                  <w:tcBorders>
                    <w:tl2br w:val="nil"/>
                    <w:tr2bl w:val="nil"/>
                  </w:tcBorders>
                  <w:vAlign w:val="center"/>
                </w:tcPr>
                <w:p>
                  <w:pPr>
                    <w:pStyle w:val="106"/>
                    <w:pageBreakBefore w:val="0"/>
                    <w:kinsoku/>
                    <w:bidi w:val="0"/>
                    <w:spacing w:beforeAutospacing="0" w:afterAutospacing="0"/>
                    <w:ind w:left="-63" w:right="-63"/>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表示噪声向外</w:t>
                  </w:r>
                </w:p>
                <w:p>
                  <w:pPr>
                    <w:pStyle w:val="106"/>
                    <w:pageBreakBefore w:val="0"/>
                    <w:kinsoku/>
                    <w:bidi w:val="0"/>
                    <w:spacing w:beforeAutospacing="0" w:afterAutospacing="0"/>
                    <w:ind w:left="-63" w:right="-63"/>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环境排放</w:t>
                  </w:r>
                </w:p>
              </w:tc>
              <w:tc>
                <w:tcPr>
                  <w:tcW w:w="1565" w:type="dxa"/>
                  <w:tcBorders>
                    <w:tl2br w:val="nil"/>
                    <w:tr2bl w:val="nil"/>
                  </w:tcBorders>
                  <w:vAlign w:val="center"/>
                </w:tcPr>
                <w:p>
                  <w:pPr>
                    <w:pStyle w:val="106"/>
                    <w:pageBreakBefore w:val="0"/>
                    <w:kinsoku/>
                    <w:bidi w:val="0"/>
                    <w:spacing w:beforeAutospacing="0" w:afterAutospacing="0"/>
                    <w:ind w:left="-63" w:right="-63"/>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表示一般固体废物贮存、处置场</w:t>
                  </w:r>
                </w:p>
              </w:tc>
              <w:tc>
                <w:tcPr>
                  <w:tcW w:w="1481" w:type="dxa"/>
                  <w:tcBorders>
                    <w:tl2br w:val="nil"/>
                    <w:tr2bl w:val="nil"/>
                  </w:tcBorders>
                  <w:vAlign w:val="center"/>
                </w:tcPr>
                <w:p>
                  <w:pPr>
                    <w:pStyle w:val="106"/>
                    <w:pageBreakBefore w:val="0"/>
                    <w:kinsoku/>
                    <w:bidi w:val="0"/>
                    <w:spacing w:beforeAutospacing="0" w:afterAutospacing="0"/>
                    <w:ind w:left="-63" w:right="-63"/>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危险废物贮存、处置场警告图形符号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822" w:type="dxa"/>
                  <w:tcBorders>
                    <w:tl2br w:val="nil"/>
                    <w:tr2bl w:val="nil"/>
                  </w:tcBorders>
                  <w:vAlign w:val="center"/>
                </w:tcPr>
                <w:p>
                  <w:pPr>
                    <w:pStyle w:val="106"/>
                    <w:pageBreakBefore w:val="0"/>
                    <w:kinsoku/>
                    <w:bidi w:val="0"/>
                    <w:spacing w:beforeAutospacing="0" w:afterAutospacing="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背景颜色</w:t>
                  </w:r>
                </w:p>
              </w:tc>
              <w:tc>
                <w:tcPr>
                  <w:tcW w:w="4429" w:type="dxa"/>
                  <w:gridSpan w:val="3"/>
                  <w:tcBorders>
                    <w:tl2br w:val="nil"/>
                    <w:tr2bl w:val="nil"/>
                  </w:tcBorders>
                  <w:vAlign w:val="center"/>
                </w:tcPr>
                <w:p>
                  <w:pPr>
                    <w:pStyle w:val="106"/>
                    <w:pageBreakBefore w:val="0"/>
                    <w:kinsoku/>
                    <w:bidi w:val="0"/>
                    <w:spacing w:beforeAutospacing="0" w:afterAutospacing="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绿色</w:t>
                  </w:r>
                </w:p>
              </w:tc>
              <w:tc>
                <w:tcPr>
                  <w:tcW w:w="3046" w:type="dxa"/>
                  <w:gridSpan w:val="2"/>
                  <w:tcBorders>
                    <w:tl2br w:val="nil"/>
                    <w:tr2bl w:val="nil"/>
                  </w:tcBorders>
                  <w:vAlign w:val="center"/>
                </w:tcPr>
                <w:p>
                  <w:pPr>
                    <w:pStyle w:val="106"/>
                    <w:pageBreakBefore w:val="0"/>
                    <w:kinsoku/>
                    <w:bidi w:val="0"/>
                    <w:spacing w:beforeAutospacing="0" w:afterAutospacing="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黄色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822" w:type="dxa"/>
                  <w:tcBorders>
                    <w:tl2br w:val="nil"/>
                    <w:tr2bl w:val="nil"/>
                  </w:tcBorders>
                  <w:vAlign w:val="center"/>
                </w:tcPr>
                <w:p>
                  <w:pPr>
                    <w:pStyle w:val="106"/>
                    <w:pageBreakBefore w:val="0"/>
                    <w:kinsoku/>
                    <w:bidi w:val="0"/>
                    <w:spacing w:beforeAutospacing="0" w:afterAutospacing="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图形颜色</w:t>
                  </w:r>
                </w:p>
              </w:tc>
              <w:tc>
                <w:tcPr>
                  <w:tcW w:w="4429" w:type="dxa"/>
                  <w:gridSpan w:val="3"/>
                  <w:tcBorders>
                    <w:tl2br w:val="nil"/>
                    <w:tr2bl w:val="nil"/>
                  </w:tcBorders>
                  <w:vAlign w:val="center"/>
                </w:tcPr>
                <w:p>
                  <w:pPr>
                    <w:pStyle w:val="106"/>
                    <w:pageBreakBefore w:val="0"/>
                    <w:kinsoku/>
                    <w:bidi w:val="0"/>
                    <w:spacing w:beforeAutospacing="0" w:afterAutospacing="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白色</w:t>
                  </w:r>
                </w:p>
              </w:tc>
              <w:tc>
                <w:tcPr>
                  <w:tcW w:w="3046" w:type="dxa"/>
                  <w:gridSpan w:val="2"/>
                  <w:tcBorders>
                    <w:tl2br w:val="nil"/>
                    <w:tr2bl w:val="nil"/>
                  </w:tcBorders>
                  <w:vAlign w:val="center"/>
                </w:tcPr>
                <w:p>
                  <w:pPr>
                    <w:pStyle w:val="106"/>
                    <w:pageBreakBefore w:val="0"/>
                    <w:kinsoku/>
                    <w:bidi w:val="0"/>
                    <w:spacing w:beforeAutospacing="0" w:afterAutospacing="0"/>
                    <w:rPr>
                      <w:rFonts w:hint="default" w:ascii="Times New Roman" w:hAnsi="Times New Roman" w:eastAsia="宋体" w:cs="Times New Roman"/>
                      <w:color w:val="000000" w:themeColor="text1"/>
                      <w:szCs w:val="21"/>
                      <w:highlight w:val="none"/>
                      <w14:textFill>
                        <w14:solidFill>
                          <w14:schemeClr w14:val="tx1"/>
                        </w14:solidFill>
                      </w14:textFill>
                    </w:rPr>
                  </w:pPr>
                  <w:r>
                    <w:rPr>
                      <w:rFonts w:hint="default" w:ascii="Times New Roman" w:hAnsi="Times New Roman" w:eastAsia="宋体" w:cs="Times New Roman"/>
                      <w:color w:val="000000" w:themeColor="text1"/>
                      <w:szCs w:val="21"/>
                      <w:highlight w:val="none"/>
                      <w14:textFill>
                        <w14:solidFill>
                          <w14:schemeClr w14:val="tx1"/>
                        </w14:solidFill>
                      </w14:textFill>
                    </w:rPr>
                    <w:t>黑色</w:t>
                  </w:r>
                </w:p>
              </w:tc>
            </w:tr>
          </w:tbl>
          <w:p>
            <w:pPr>
              <w:pStyle w:val="70"/>
              <w:pageBreakBefore w:val="0"/>
              <w:kinsoku/>
              <w:bidi w:val="0"/>
              <w:spacing w:beforeAutospacing="0" w:afterAutospacing="0"/>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p>
          <w:p>
            <w:pPr>
              <w:keepNext w:val="0"/>
              <w:keepLines w:val="0"/>
              <w:pageBreakBefore w:val="0"/>
              <w:widowControl w:val="0"/>
              <w:numPr>
                <w:ilvl w:val="0"/>
                <w:numId w:val="3"/>
              </w:numPr>
              <w:kinsoku/>
              <w:wordWrap/>
              <w:overflowPunct/>
              <w:topLinePunct w:val="0"/>
              <w:autoSpaceDE/>
              <w:autoSpaceDN/>
              <w:bidi w:val="0"/>
              <w:adjustRightInd w:val="0"/>
              <w:snapToGrid w:val="0"/>
              <w:spacing w:beforeAutospacing="0" w:afterAutospacing="0" w:line="360" w:lineRule="auto"/>
              <w:ind w:left="0" w:leftChars="0" w:right="0" w:rightChars="0" w:firstLine="472" w:firstLineChars="200"/>
              <w:jc w:val="both"/>
              <w:textAlignment w:val="auto"/>
              <w:rPr>
                <w:rFonts w:hint="eastAsia"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t>应急措施</w:t>
            </w:r>
          </w:p>
          <w:p>
            <w:pPr>
              <w:pStyle w:val="116"/>
              <w:pageBreakBefore w:val="0"/>
              <w:kinsoku/>
              <w:bidi w:val="0"/>
              <w:spacing w:beforeAutospacing="0" w:afterAutospacing="0"/>
              <w:ind w:firstLine="42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①危废暂存间周围建设应急事故池。围堰的容积应足以容纳泄漏污染物的容量。危废暂存间地面及集污井沟应进行防腐防渗施工，防渗要求按照危废暂存间建设。</w:t>
            </w:r>
          </w:p>
          <w:p>
            <w:pPr>
              <w:pStyle w:val="116"/>
              <w:pageBreakBefore w:val="0"/>
              <w:kinsoku/>
              <w:bidi w:val="0"/>
              <w:spacing w:beforeAutospacing="0" w:afterAutospacing="0"/>
              <w:ind w:firstLine="42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②厂区配备灭火器、消防沙、铁铲、防护面罩和口罩等消防应急器材。 </w:t>
            </w:r>
          </w:p>
          <w:p>
            <w:pPr>
              <w:pStyle w:val="116"/>
              <w:pageBreakBefore w:val="0"/>
              <w:kinsoku/>
              <w:bidi w:val="0"/>
              <w:spacing w:beforeAutospacing="0" w:afterAutospacing="0"/>
              <w:ind w:firstLine="420"/>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③建立管理巡查制度。 </w:t>
            </w:r>
          </w:p>
          <w:p>
            <w:pPr>
              <w:pStyle w:val="116"/>
              <w:pageBreakBefore w:val="0"/>
              <w:kinsoku/>
              <w:bidi w:val="0"/>
              <w:spacing w:beforeAutospacing="0" w:afterAutospacing="0"/>
              <w:ind w:firstLine="420"/>
              <w:rPr>
                <w:rFonts w:hint="default" w:ascii="Times New Roman" w:hAnsi="Times New Roman" w:eastAsia="宋体" w:cs="Times New Roman"/>
                <w:color w:val="000000" w:themeColor="text1"/>
                <w:spacing w:val="-2"/>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④建设单位设立事故应急处理小组，制定事故处理应急预案，实施定期演练制度。</w:t>
            </w:r>
          </w:p>
        </w:tc>
      </w:tr>
    </w:tbl>
    <w:p>
      <w:pPr>
        <w:pageBreakBefore w:val="0"/>
        <w:kinsoku/>
        <w:bidi w:val="0"/>
        <w:spacing w:beforeAutospacing="0" w:afterAutospacing="0" w:line="91" w:lineRule="auto"/>
        <w:rPr>
          <w:rFonts w:hint="default" w:ascii="Times New Roman" w:hAnsi="Times New Roman" w:eastAsia="宋体" w:cs="Times New Roman"/>
          <w:color w:val="000000" w:themeColor="text1"/>
          <w:sz w:val="2"/>
          <w:highlight w:val="none"/>
          <w14:textFill>
            <w14:solidFill>
              <w14:schemeClr w14:val="tx1"/>
            </w14:solidFill>
          </w14:textFill>
        </w:rPr>
      </w:pPr>
    </w:p>
    <w:p>
      <w:pPr>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p>
    <w:p>
      <w:pPr>
        <w:pStyle w:val="10"/>
        <w:pageBreakBefore w:val="0"/>
        <w:numPr>
          <w:ilvl w:val="0"/>
          <w:numId w:val="0"/>
        </w:numPr>
        <w:kinsoku/>
        <w:bidi w:val="0"/>
        <w:spacing w:before="0" w:beforeAutospacing="0" w:after="0" w:afterAutospacing="0"/>
        <w:ind w:leftChars="0"/>
        <w:jc w:val="center"/>
        <w:rPr>
          <w:rFonts w:hint="default"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snapToGrid w:val="0"/>
          <w:color w:val="000000" w:themeColor="text1"/>
          <w:highlight w:val="none"/>
          <w14:textFill>
            <w14:solidFill>
              <w14:schemeClr w14:val="tx1"/>
            </w14:solidFill>
          </w14:textFill>
        </w:rPr>
        <w:br w:type="page"/>
      </w:r>
      <w:bookmarkStart w:id="113" w:name="_Toc3732"/>
      <w:bookmarkStart w:id="114" w:name="_Toc4686"/>
      <w:r>
        <w:rPr>
          <w:rFonts w:hint="eastAsia" w:ascii="Times New Roman" w:hAnsi="Times New Roman" w:eastAsia="宋体" w:cs="Times New Roman"/>
          <w:snapToGrid w:val="0"/>
          <w:color w:val="000000" w:themeColor="text1"/>
          <w:highlight w:val="none"/>
          <w:lang w:val="en-US" w:eastAsia="zh-CN"/>
          <w14:textFill>
            <w14:solidFill>
              <w14:schemeClr w14:val="tx1"/>
            </w14:solidFill>
          </w14:textFill>
        </w:rPr>
        <w:t>七、</w:t>
      </w:r>
      <w:r>
        <w:rPr>
          <w:rFonts w:hint="default" w:ascii="Times New Roman" w:hAnsi="Times New Roman" w:eastAsia="宋体" w:cs="Times New Roman"/>
          <w:color w:val="000000" w:themeColor="text1"/>
          <w:highlight w:val="none"/>
          <w:lang w:eastAsia="zh-CN"/>
          <w14:textFill>
            <w14:solidFill>
              <w14:schemeClr w14:val="tx1"/>
            </w14:solidFill>
          </w14:textFill>
        </w:rPr>
        <w:t>结论</w:t>
      </w:r>
      <w:bookmarkEnd w:id="113"/>
      <w:bookmarkEnd w:id="114"/>
    </w:p>
    <w:tbl>
      <w:tblPr>
        <w:tblStyle w:val="33"/>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top"/>
          </w:tcPr>
          <w:p>
            <w:pPr>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本项目建设符合国家产业政策、</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三线一单</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的要求，</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项目用海符合《福建省海洋功能区划（2011-2020 年）》等相关规划要求，</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工程施工</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过程</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对海水水质、海域生态环境的影响范围较小且属于短期和可恢复性质的影响；工程施工、</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运营期</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对声环境和环境空气质量影响很</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不大</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。严格执行</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三同时</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制度，使各项环保治理措施得以落实，并在工程运行过程中加强生产、安全和环境管理，严格控制污染物达标排放和总量控制</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t>在切实落实各项环境污染防治、环境风险防范、生态保护对策措施的前提下，从环境保护角度考虑，本项目建设可行。</w:t>
            </w:r>
          </w:p>
          <w:p>
            <w:pPr>
              <w:pStyle w:val="22"/>
              <w:pageBreakBefore w:val="0"/>
              <w:kinsoku/>
              <w:bidi w:val="0"/>
              <w:spacing w:beforeAutospacing="0" w:after="0" w:afterAutospacing="0"/>
              <w:rPr>
                <w:rFonts w:hint="default" w:ascii="Times New Roman" w:hAnsi="Times New Roman" w:eastAsia="宋体" w:cs="Times New Roman"/>
                <w:color w:val="000000" w:themeColor="text1"/>
                <w:highlight w:val="none"/>
                <w14:textFill>
                  <w14:solidFill>
                    <w14:schemeClr w14:val="tx1"/>
                  </w14:solidFill>
                </w14:textFill>
              </w:rPr>
            </w:pPr>
          </w:p>
          <w:p>
            <w:pPr>
              <w:pStyle w:val="23"/>
              <w:pageBreakBefore w:val="0"/>
              <w:kinsoku/>
              <w:bidi w:val="0"/>
              <w:spacing w:before="0" w:beforeAutospacing="0" w:after="0" w:afterAutospacing="0"/>
              <w:rPr>
                <w:rFonts w:hint="default" w:ascii="Times New Roman" w:hAnsi="Times New Roman" w:eastAsia="宋体"/>
                <w:color w:val="000000" w:themeColor="text1"/>
                <w:highlight w:val="none"/>
                <w14:textFill>
                  <w14:solidFill>
                    <w14:schemeClr w14:val="tx1"/>
                  </w14:solidFill>
                </w14:textFill>
              </w:rPr>
            </w:pPr>
          </w:p>
          <w:p>
            <w:pPr>
              <w:pageBreakBefore w:val="0"/>
              <w:kinsoku/>
              <w:bidi w:val="0"/>
              <w:spacing w:beforeAutospacing="0" w:afterAutospacing="0"/>
              <w:ind w:firstLine="480"/>
              <w:rPr>
                <w:rFonts w:hint="default" w:ascii="Times New Roman" w:hAnsi="Times New Roman" w:eastAsia="宋体" w:cs="Times New Roman"/>
                <w:color w:val="000000" w:themeColor="text1"/>
                <w:highlight w:val="none"/>
                <w14:textFill>
                  <w14:solidFill>
                    <w14:schemeClr w14:val="tx1"/>
                  </w14:solidFill>
                </w14:textFill>
              </w:rPr>
            </w:pPr>
          </w:p>
          <w:p>
            <w:pPr>
              <w:pageBreakBefore w:val="0"/>
              <w:kinsoku/>
              <w:bidi w:val="0"/>
              <w:spacing w:beforeAutospacing="0" w:afterAutospacing="0" w:line="360" w:lineRule="auto"/>
              <w:ind w:firstLine="480" w:firstLineChars="200"/>
              <w:jc w:val="right"/>
              <w:rPr>
                <w:rFonts w:hint="default" w:ascii="Times New Roman" w:hAnsi="Times New Roman" w:eastAsia="宋体" w:cs="Times New Roman"/>
                <w:color w:val="000000" w:themeColor="text1"/>
                <w:sz w:val="24"/>
                <w:highlight w:val="none"/>
                <w:lang w:val="en-US"/>
                <w14:textFill>
                  <w14:solidFill>
                    <w14:schemeClr w14:val="tx1"/>
                  </w14:solidFill>
                </w14:textFill>
              </w:rPr>
            </w:pPr>
          </w:p>
        </w:tc>
      </w:tr>
    </w:tbl>
    <w:p>
      <w:pPr>
        <w:pStyle w:val="30"/>
        <w:pageBreakBefore w:val="0"/>
        <w:numPr>
          <w:ilvl w:val="0"/>
          <w:numId w:val="0"/>
        </w:numPr>
        <w:kinsoku/>
        <w:bidi w:val="0"/>
        <w:spacing w:before="0" w:beforeAutospacing="0" w:after="0" w:afterAutospacing="0"/>
        <w:jc w:val="both"/>
        <w:outlineLvl w:val="9"/>
        <w:rPr>
          <w:rFonts w:hint="default" w:ascii="Times New Roman" w:hAnsi="Times New Roman" w:eastAsia="宋体" w:cs="Times New Roman"/>
          <w:snapToGrid w:val="0"/>
          <w:color w:val="000000" w:themeColor="text1"/>
          <w:sz w:val="30"/>
          <w:szCs w:val="30"/>
          <w:highlight w:val="none"/>
          <w14:textFill>
            <w14:solidFill>
              <w14:schemeClr w14:val="tx1"/>
            </w14:solidFill>
          </w14:textFill>
        </w:rPr>
      </w:pPr>
    </w:p>
    <w:p>
      <w:pPr>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ageBreakBefore w:val="0"/>
        <w:kinsoku/>
        <w:bidi w:val="0"/>
        <w:spacing w:beforeAutospacing="0" w:afterAutospacing="0"/>
        <w:rPr>
          <w:rFonts w:ascii="Times New Roman" w:hAnsi="Times New Roman" w:eastAsia="宋体"/>
          <w:color w:val="000000" w:themeColor="text1"/>
          <w:highlight w:val="none"/>
          <w14:textFill>
            <w14:solidFill>
              <w14:schemeClr w14:val="tx1"/>
            </w14:solidFill>
          </w14:textFill>
        </w:rPr>
      </w:pPr>
    </w:p>
    <w:p>
      <w:pPr>
        <w:pStyle w:val="10"/>
        <w:keepNext/>
        <w:keepLines/>
        <w:pageBreakBefore w:val="0"/>
        <w:widowControl w:val="0"/>
        <w:kinsoku/>
        <w:wordWrap/>
        <w:overflowPunct/>
        <w:topLinePunct w:val="0"/>
        <w:autoSpaceDE/>
        <w:autoSpaceDN/>
        <w:bidi w:val="0"/>
        <w:adjustRightInd/>
        <w:snapToGrid/>
        <w:spacing w:before="0" w:beforeAutospacing="0" w:after="0" w:afterAutospacing="0" w:line="360" w:lineRule="auto"/>
        <w:jc w:val="center"/>
        <w:textAlignment w:val="auto"/>
        <w:rPr>
          <w:rFonts w:ascii="Times New Roman" w:hAnsi="Times New Roman" w:eastAsia="宋体"/>
          <w:color w:val="000000" w:themeColor="text1"/>
          <w:sz w:val="36"/>
          <w:szCs w:val="36"/>
          <w:highlight w:val="none"/>
          <w14:textFill>
            <w14:solidFill>
              <w14:schemeClr w14:val="tx1"/>
            </w14:solidFill>
          </w14:textFill>
        </w:rPr>
      </w:pPr>
      <w:bookmarkStart w:id="115" w:name="_Toc25165"/>
      <w:r>
        <w:rPr>
          <w:rFonts w:hint="eastAsia" w:ascii="Times New Roman" w:hAnsi="Times New Roman" w:eastAsia="宋体"/>
          <w:color w:val="000000" w:themeColor="text1"/>
          <w:sz w:val="36"/>
          <w:szCs w:val="36"/>
          <w:highlight w:val="none"/>
          <w14:textFill>
            <w14:solidFill>
              <w14:schemeClr w14:val="tx1"/>
            </w14:solidFill>
          </w14:textFill>
        </w:rPr>
        <w:t>大气环境影响评价专章</w:t>
      </w:r>
      <w:bookmarkEnd w:id="115"/>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firstLine="480" w:firstLineChars="200"/>
        <w:jc w:val="both"/>
        <w:textAlignment w:val="auto"/>
        <w:outlineLvl w:val="9"/>
        <w:rPr>
          <w:rFonts w:hint="eastAsia" w:ascii="Times New Roman" w:hAnsi="Times New Roman" w:eastAsia="宋体" w:cs="Times New Roman"/>
          <w:bCs/>
          <w:color w:val="000000" w:themeColor="text1"/>
          <w:sz w:val="24"/>
          <w:szCs w:val="24"/>
          <w:highlight w:val="none"/>
          <w:u w:val="none"/>
          <w:lang w:eastAsia="zh-CN"/>
          <w14:textFill>
            <w14:solidFill>
              <w14:schemeClr w14:val="tx1"/>
            </w14:solidFill>
          </w14:textFill>
        </w:rPr>
      </w:pPr>
      <w:r>
        <w:rPr>
          <w:rFonts w:ascii="Times New Roman" w:hAnsi="Times New Roman" w:eastAsia="宋体"/>
          <w:bCs/>
          <w:color w:val="000000" w:themeColor="text1"/>
          <w:sz w:val="24"/>
          <w:szCs w:val="24"/>
          <w:highlight w:val="none"/>
          <w:u w:val="none"/>
          <w14:textFill>
            <w14:solidFill>
              <w14:schemeClr w14:val="tx1"/>
            </w14:solidFill>
          </w14:textFill>
        </w:rPr>
        <w:t>根据《建设项目环境影响报告表编制技术指南》（</w:t>
      </w:r>
      <w:r>
        <w:rPr>
          <w:rFonts w:hint="eastAsia" w:ascii="Times New Roman" w:hAnsi="Times New Roman" w:eastAsia="宋体"/>
          <w:bCs/>
          <w:color w:val="000000" w:themeColor="text1"/>
          <w:sz w:val="24"/>
          <w:szCs w:val="24"/>
          <w:highlight w:val="none"/>
          <w:u w:val="none"/>
          <w:lang w:val="en-US" w:eastAsia="zh-CN"/>
          <w14:textFill>
            <w14:solidFill>
              <w14:schemeClr w14:val="tx1"/>
            </w14:solidFill>
          </w14:textFill>
        </w:rPr>
        <w:t>生态</w:t>
      </w:r>
      <w:r>
        <w:rPr>
          <w:rFonts w:ascii="Times New Roman" w:hAnsi="Times New Roman" w:eastAsia="宋体"/>
          <w:bCs/>
          <w:color w:val="000000" w:themeColor="text1"/>
          <w:sz w:val="24"/>
          <w:szCs w:val="24"/>
          <w:highlight w:val="none"/>
          <w:u w:val="none"/>
          <w14:textFill>
            <w14:solidFill>
              <w14:schemeClr w14:val="tx1"/>
            </w14:solidFill>
          </w14:textFill>
        </w:rPr>
        <w:t>影响类）（试行）中表1专项评价设置原则表，</w:t>
      </w:r>
      <w:r>
        <w:rPr>
          <w:rFonts w:hint="eastAsia" w:ascii="Times New Roman" w:hAnsi="Times New Roman" w:eastAsia="宋体"/>
          <w:bCs/>
          <w:color w:val="000000" w:themeColor="text1"/>
          <w:sz w:val="24"/>
          <w:szCs w:val="24"/>
          <w:highlight w:val="none"/>
          <w:u w:val="none"/>
          <w14:textFill>
            <w14:solidFill>
              <w14:schemeClr w14:val="tx1"/>
            </w14:solidFill>
          </w14:textFill>
        </w:rPr>
        <w:t>本项目为散货码头，涉及矿石或河砂等货物装卸，涉及粉尘的排放</w:t>
      </w:r>
      <w:r>
        <w:rPr>
          <w:rFonts w:ascii="Times New Roman" w:hAnsi="Times New Roman" w:eastAsia="宋体"/>
          <w:bCs/>
          <w:color w:val="000000" w:themeColor="text1"/>
          <w:sz w:val="24"/>
          <w:szCs w:val="24"/>
          <w:highlight w:val="none"/>
          <w:u w:val="none"/>
          <w14:textFill>
            <w14:solidFill>
              <w14:schemeClr w14:val="tx1"/>
            </w14:solidFill>
          </w14:textFill>
        </w:rPr>
        <w:t>，因此，本项目设置大气专项评价。（建设项目大气环境影响评价自查表详见附</w:t>
      </w:r>
      <w:r>
        <w:rPr>
          <w:rFonts w:ascii="Times New Roman" w:hAnsi="Times New Roman" w:eastAsia="宋体" w:cs="Times New Roman"/>
          <w:bCs/>
          <w:color w:val="000000" w:themeColor="text1"/>
          <w:sz w:val="24"/>
          <w:szCs w:val="24"/>
          <w:highlight w:val="none"/>
          <w:u w:val="none"/>
          <w14:textFill>
            <w14:solidFill>
              <w14:schemeClr w14:val="tx1"/>
            </w14:solidFill>
          </w14:textFill>
        </w:rPr>
        <w:t>表</w:t>
      </w:r>
      <w:r>
        <w:rPr>
          <w:rFonts w:hint="eastAsia" w:ascii="Times New Roman" w:hAnsi="Times New Roman" w:eastAsia="宋体" w:cs="Times New Roman"/>
          <w:bCs/>
          <w:color w:val="000000" w:themeColor="text1"/>
          <w:sz w:val="24"/>
          <w:szCs w:val="24"/>
          <w:highlight w:val="none"/>
          <w:u w:val="none"/>
          <w:lang w:val="en-US" w:eastAsia="zh-CN"/>
          <w14:textFill>
            <w14:solidFill>
              <w14:schemeClr w14:val="tx1"/>
            </w14:solidFill>
          </w14:textFill>
        </w:rPr>
        <w:t>1</w:t>
      </w:r>
      <w:r>
        <w:rPr>
          <w:rFonts w:ascii="Times New Roman" w:hAnsi="Times New Roman" w:eastAsia="宋体" w:cs="Times New Roman"/>
          <w:bCs/>
          <w:color w:val="000000" w:themeColor="text1"/>
          <w:sz w:val="24"/>
          <w:szCs w:val="24"/>
          <w:highlight w:val="none"/>
          <w:u w:val="none"/>
          <w14:textFill>
            <w14:solidFill>
              <w14:schemeClr w14:val="tx1"/>
            </w14:solidFill>
          </w14:textFill>
        </w:rPr>
        <w:t>）</w:t>
      </w:r>
      <w:r>
        <w:rPr>
          <w:rFonts w:hint="eastAsia" w:ascii="Times New Roman" w:hAnsi="Times New Roman" w:eastAsia="宋体" w:cs="Times New Roman"/>
          <w:bCs/>
          <w:color w:val="000000" w:themeColor="text1"/>
          <w:sz w:val="24"/>
          <w:szCs w:val="24"/>
          <w:highlight w:val="none"/>
          <w:u w:val="none"/>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outlineLvl w:val="0"/>
        <w:rPr>
          <w:rFonts w:hint="eastAsia" w:ascii="Times New Roman" w:hAnsi="Times New Roman" w:eastAsia="宋体" w:cs="Times New Roman"/>
          <w:b/>
          <w:bCs/>
          <w:color w:val="000000" w:themeColor="text1"/>
          <w:sz w:val="32"/>
          <w:szCs w:val="40"/>
          <w:highlight w:val="none"/>
          <w:lang w:eastAsia="zh-CN"/>
          <w14:textFill>
            <w14:solidFill>
              <w14:schemeClr w14:val="tx1"/>
            </w14:solidFill>
          </w14:textFill>
        </w:rPr>
      </w:pPr>
      <w:r>
        <w:rPr>
          <w:rFonts w:hint="eastAsia" w:ascii="Times New Roman" w:hAnsi="Times New Roman" w:eastAsia="宋体" w:cs="Times New Roman"/>
          <w:b/>
          <w:bCs/>
          <w:color w:val="000000" w:themeColor="text1"/>
          <w:sz w:val="32"/>
          <w:szCs w:val="40"/>
          <w:highlight w:val="none"/>
          <w:lang w:val="en-US" w:eastAsia="zh-CN"/>
          <w14:textFill>
            <w14:solidFill>
              <w14:schemeClr w14:val="tx1"/>
            </w14:solidFill>
          </w14:textFill>
        </w:rPr>
        <w:t>1</w:t>
      </w:r>
      <w:r>
        <w:rPr>
          <w:rFonts w:hint="eastAsia" w:ascii="Times New Roman" w:hAnsi="Times New Roman" w:eastAsia="宋体" w:cs="Times New Roman"/>
          <w:b/>
          <w:bCs/>
          <w:color w:val="000000" w:themeColor="text1"/>
          <w:sz w:val="32"/>
          <w:szCs w:val="40"/>
          <w:highlight w:val="none"/>
          <w:lang w:eastAsia="zh-CN"/>
          <w14:textFill>
            <w14:solidFill>
              <w14:schemeClr w14:val="tx1"/>
            </w14:solidFill>
          </w14:textFill>
        </w:rPr>
        <w:t>、总则</w:t>
      </w:r>
    </w:p>
    <w:p>
      <w:pPr>
        <w:pStyle w:val="11"/>
        <w:pageBreakBefore w:val="0"/>
        <w:kinsoku/>
        <w:bidi w:val="0"/>
        <w:spacing w:beforeAutospacing="0" w:afterAutospacing="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1.1评价目的</w:t>
      </w:r>
    </w:p>
    <w:p>
      <w:pPr>
        <w:pageBreakBefore w:val="0"/>
        <w:kinsoku/>
        <w:bidi w:val="0"/>
        <w:spacing w:beforeAutospacing="0" w:afterAutospacing="0" w:line="360" w:lineRule="auto"/>
        <w:ind w:firstLine="480" w:firstLineChars="200"/>
        <w:rPr>
          <w:rFonts w:hint="eastAsia" w:ascii="Times New Roman" w:hAnsi="Times New Roman" w:eastAsia="宋体" w:cs="Times New Roman"/>
          <w:color w:val="000000" w:themeColor="text1"/>
          <w:sz w:val="24"/>
          <w:szCs w:val="22"/>
          <w14:textFill>
            <w14:solidFill>
              <w14:schemeClr w14:val="tx1"/>
            </w14:solidFill>
          </w14:textFill>
        </w:rPr>
      </w:pPr>
      <w:r>
        <w:rPr>
          <w:rFonts w:hint="eastAsia" w:ascii="Times New Roman" w:hAnsi="Times New Roman" w:eastAsia="宋体" w:cs="Times New Roman"/>
          <w:color w:val="000000" w:themeColor="text1"/>
          <w:sz w:val="24"/>
          <w:szCs w:val="22"/>
          <w14:textFill>
            <w14:solidFill>
              <w14:schemeClr w14:val="tx1"/>
            </w14:solidFill>
          </w14:textFill>
        </w:rPr>
        <w:t>本大气环境影响</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专项</w:t>
      </w:r>
      <w:r>
        <w:rPr>
          <w:rFonts w:hint="eastAsia" w:ascii="Times New Roman" w:hAnsi="Times New Roman" w:eastAsia="宋体" w:cs="Times New Roman"/>
          <w:color w:val="000000" w:themeColor="text1"/>
          <w:sz w:val="24"/>
          <w:szCs w:val="22"/>
          <w14:textFill>
            <w14:solidFill>
              <w14:schemeClr w14:val="tx1"/>
            </w14:solidFill>
          </w14:textFill>
        </w:rPr>
        <w:t>评价主要根据环评技术导则要求</w:t>
      </w:r>
      <w:r>
        <w:rPr>
          <w:rFonts w:hint="eastAsia" w:ascii="Times New Roman" w:hAnsi="Times New Roman" w:eastAsia="宋体" w:cs="Times New Roman"/>
          <w:color w:val="000000" w:themeColor="text1"/>
          <w:sz w:val="24"/>
          <w:szCs w:val="22"/>
          <w:lang w:eastAsia="zh-CN"/>
          <w14:textFill>
            <w14:solidFill>
              <w14:schemeClr w14:val="tx1"/>
            </w14:solidFill>
          </w14:textFill>
        </w:rPr>
        <w:t>，</w:t>
      </w:r>
      <w:r>
        <w:rPr>
          <w:rFonts w:hint="eastAsia" w:ascii="Times New Roman" w:hAnsi="Times New Roman" w:eastAsia="宋体" w:cs="Times New Roman"/>
          <w:color w:val="000000" w:themeColor="text1"/>
          <w:sz w:val="24"/>
          <w:szCs w:val="22"/>
          <w14:textFill>
            <w14:solidFill>
              <w14:schemeClr w14:val="tx1"/>
            </w14:solidFill>
          </w14:textFill>
        </w:rPr>
        <w:t>通过现场勘察和收集有关资料，对</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项目</w:t>
      </w:r>
      <w:r>
        <w:rPr>
          <w:rFonts w:hint="eastAsia" w:ascii="Times New Roman" w:hAnsi="Times New Roman" w:eastAsia="宋体" w:cs="Times New Roman"/>
          <w:color w:val="000000" w:themeColor="text1"/>
          <w:sz w:val="24"/>
          <w:szCs w:val="22"/>
          <w14:textFill>
            <w14:solidFill>
              <w14:schemeClr w14:val="tx1"/>
            </w14:solidFill>
          </w14:textFill>
        </w:rPr>
        <w:t>所在地环境质量现状</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进行</w:t>
      </w:r>
      <w:r>
        <w:rPr>
          <w:rFonts w:hint="eastAsia" w:ascii="Times New Roman" w:hAnsi="Times New Roman" w:eastAsia="宋体" w:cs="Times New Roman"/>
          <w:color w:val="000000" w:themeColor="text1"/>
          <w:sz w:val="24"/>
          <w:szCs w:val="22"/>
          <w14:textFill>
            <w14:solidFill>
              <w14:schemeClr w14:val="tx1"/>
            </w14:solidFill>
          </w14:textFill>
        </w:rPr>
        <w:t>评价，并在</w:t>
      </w:r>
      <w:r>
        <w:rPr>
          <w:rFonts w:hint="eastAsia" w:ascii="Times New Roman" w:hAnsi="Times New Roman" w:eastAsia="宋体" w:cs="Times New Roman"/>
          <w:color w:val="000000" w:themeColor="text1"/>
          <w:sz w:val="24"/>
          <w:szCs w:val="22"/>
          <w:lang w:val="en-US" w:eastAsia="zh-CN"/>
          <w14:textFill>
            <w14:solidFill>
              <w14:schemeClr w14:val="tx1"/>
            </w14:solidFill>
          </w14:textFill>
        </w:rPr>
        <w:t>工程</w:t>
      </w:r>
      <w:r>
        <w:rPr>
          <w:rFonts w:hint="eastAsia" w:ascii="Times New Roman" w:hAnsi="Times New Roman" w:eastAsia="宋体" w:cs="Times New Roman"/>
          <w:color w:val="000000" w:themeColor="text1"/>
          <w:sz w:val="24"/>
          <w:szCs w:val="22"/>
          <w14:textFill>
            <w14:solidFill>
              <w14:schemeClr w14:val="tx1"/>
            </w14:solidFill>
          </w14:textFill>
        </w:rPr>
        <w:t>分析的基础上，明确各污染源排放源强及排放特征，预测对环境可能造成的影响程度和范围，提出切实可行的污染防治措施为生态环境部门管理提供科学依据。</w:t>
      </w:r>
    </w:p>
    <w:p>
      <w:pPr>
        <w:pStyle w:val="11"/>
        <w:pageBreakBefore w:val="0"/>
        <w:kinsoku/>
        <w:bidi w:val="0"/>
        <w:spacing w:beforeAutospacing="0" w:afterAutospacing="0"/>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1.2 编制依据</w:t>
      </w:r>
    </w:p>
    <w:p>
      <w:pPr>
        <w:pageBreakBefore w:val="0"/>
        <w:kinsoku/>
        <w:bidi w:val="0"/>
        <w:spacing w:beforeAutospacing="0" w:afterAutospacing="0" w:line="360" w:lineRule="auto"/>
        <w:ind w:firstLine="480" w:firstLineChars="200"/>
        <w:rPr>
          <w:rFonts w:hint="eastAsia" w:ascii="Times New Roman" w:hAnsi="Times New Roman" w:eastAsia="宋体" w:cs="Times New Roman"/>
          <w:color w:val="000000" w:themeColor="text1"/>
          <w:sz w:val="24"/>
          <w:szCs w:val="25"/>
          <w:lang w:eastAsia="zh-CN"/>
          <w14:textFill>
            <w14:solidFill>
              <w14:schemeClr w14:val="tx1"/>
            </w14:solidFill>
          </w14:textFill>
        </w:rPr>
      </w:pPr>
      <w:r>
        <w:rPr>
          <w:rFonts w:hint="eastAsia" w:ascii="Times New Roman" w:hAnsi="Times New Roman" w:eastAsia="宋体" w:cs="Times New Roman"/>
          <w:color w:val="000000" w:themeColor="text1"/>
          <w:sz w:val="24"/>
          <w:szCs w:val="25"/>
          <w:lang w:eastAsia="zh-CN"/>
          <w14:textFill>
            <w14:solidFill>
              <w14:schemeClr w14:val="tx1"/>
            </w14:solidFill>
          </w14:textFill>
        </w:rPr>
        <w:t>（1）《中华人民共和国环境保护法》，2015年1月1日</w:t>
      </w:r>
      <w:r>
        <w:rPr>
          <w:rFonts w:hint="eastAsia" w:ascii="Times New Roman" w:hAnsi="Times New Roman" w:eastAsia="宋体" w:cs="Times New Roman"/>
          <w:color w:val="000000" w:themeColor="text1"/>
          <w:sz w:val="24"/>
          <w:szCs w:val="25"/>
          <w:lang w:val="en-US" w:eastAsia="zh-CN"/>
          <w14:textFill>
            <w14:solidFill>
              <w14:schemeClr w14:val="tx1"/>
            </w14:solidFill>
          </w14:textFill>
        </w:rPr>
        <w:t>起</w:t>
      </w:r>
      <w:r>
        <w:rPr>
          <w:rFonts w:hint="eastAsia" w:ascii="Times New Roman" w:hAnsi="Times New Roman" w:eastAsia="宋体" w:cs="Times New Roman"/>
          <w:color w:val="000000" w:themeColor="text1"/>
          <w:sz w:val="24"/>
          <w:szCs w:val="25"/>
          <w:lang w:eastAsia="zh-CN"/>
          <w14:textFill>
            <w14:solidFill>
              <w14:schemeClr w14:val="tx1"/>
            </w14:solidFill>
          </w14:textFill>
        </w:rPr>
        <w:t>施行；</w:t>
      </w:r>
    </w:p>
    <w:p>
      <w:pPr>
        <w:pageBreakBefore w:val="0"/>
        <w:kinsoku/>
        <w:bidi w:val="0"/>
        <w:spacing w:beforeAutospacing="0" w:afterAutospacing="0" w:line="360" w:lineRule="auto"/>
        <w:ind w:firstLine="480" w:firstLineChars="200"/>
        <w:rPr>
          <w:rFonts w:hint="eastAsia" w:ascii="Times New Roman" w:hAnsi="Times New Roman" w:eastAsia="宋体" w:cs="Times New Roman"/>
          <w:color w:val="000000" w:themeColor="text1"/>
          <w:sz w:val="24"/>
          <w:szCs w:val="25"/>
          <w:lang w:eastAsia="zh-CN"/>
          <w14:textFill>
            <w14:solidFill>
              <w14:schemeClr w14:val="tx1"/>
            </w14:solidFill>
          </w14:textFill>
        </w:rPr>
      </w:pPr>
      <w:r>
        <w:rPr>
          <w:rFonts w:hint="eastAsia" w:ascii="Times New Roman" w:hAnsi="Times New Roman" w:eastAsia="宋体" w:cs="Times New Roman"/>
          <w:color w:val="000000" w:themeColor="text1"/>
          <w:sz w:val="24"/>
          <w:szCs w:val="25"/>
          <w:lang w:eastAsia="zh-CN"/>
          <w14:textFill>
            <w14:solidFill>
              <w14:schemeClr w14:val="tx1"/>
            </w14:solidFill>
          </w14:textFill>
        </w:rPr>
        <w:t>（2）《中华人民共和国环境影响评价法》，2018年12月29日，第十三届全国人民代表大会常务委员会第七次会议第二次修正；</w:t>
      </w:r>
    </w:p>
    <w:p>
      <w:pPr>
        <w:pageBreakBefore w:val="0"/>
        <w:kinsoku/>
        <w:bidi w:val="0"/>
        <w:spacing w:beforeAutospacing="0" w:afterAutospacing="0" w:line="360" w:lineRule="auto"/>
        <w:ind w:firstLine="480" w:firstLineChars="200"/>
        <w:rPr>
          <w:rFonts w:hint="eastAsia" w:ascii="Times New Roman" w:hAnsi="Times New Roman" w:eastAsia="宋体" w:cs="Times New Roman"/>
          <w:color w:val="000000" w:themeColor="text1"/>
          <w:sz w:val="24"/>
          <w:szCs w:val="25"/>
          <w:lang w:eastAsia="zh-CN"/>
          <w14:textFill>
            <w14:solidFill>
              <w14:schemeClr w14:val="tx1"/>
            </w14:solidFill>
          </w14:textFill>
        </w:rPr>
      </w:pPr>
      <w:r>
        <w:rPr>
          <w:rFonts w:hint="eastAsia" w:ascii="Times New Roman" w:hAnsi="Times New Roman" w:eastAsia="宋体" w:cs="Times New Roman"/>
          <w:color w:val="000000" w:themeColor="text1"/>
          <w:sz w:val="24"/>
          <w:szCs w:val="25"/>
          <w:lang w:eastAsia="zh-CN"/>
          <w14:textFill>
            <w14:solidFill>
              <w14:schemeClr w14:val="tx1"/>
            </w14:solidFill>
          </w14:textFill>
        </w:rPr>
        <w:t>（3）《中华人民共和国大气污染防治法》，2016年1月1日</w:t>
      </w:r>
      <w:r>
        <w:rPr>
          <w:rFonts w:hint="eastAsia" w:ascii="Times New Roman" w:hAnsi="Times New Roman" w:eastAsia="宋体" w:cs="Times New Roman"/>
          <w:color w:val="000000" w:themeColor="text1"/>
          <w:sz w:val="24"/>
          <w:szCs w:val="25"/>
          <w:lang w:val="en-US" w:eastAsia="zh-CN"/>
          <w14:textFill>
            <w14:solidFill>
              <w14:schemeClr w14:val="tx1"/>
            </w14:solidFill>
          </w14:textFill>
        </w:rPr>
        <w:t>起</w:t>
      </w:r>
      <w:r>
        <w:rPr>
          <w:rFonts w:hint="eastAsia" w:ascii="Times New Roman" w:hAnsi="Times New Roman" w:eastAsia="宋体" w:cs="Times New Roman"/>
          <w:color w:val="000000" w:themeColor="text1"/>
          <w:sz w:val="24"/>
          <w:szCs w:val="25"/>
          <w:lang w:eastAsia="zh-CN"/>
          <w14:textFill>
            <w14:solidFill>
              <w14:schemeClr w14:val="tx1"/>
            </w14:solidFill>
          </w14:textFill>
        </w:rPr>
        <w:t>施行；</w:t>
      </w:r>
    </w:p>
    <w:p>
      <w:pPr>
        <w:pageBreakBefore w:val="0"/>
        <w:kinsoku/>
        <w:bidi w:val="0"/>
        <w:spacing w:beforeAutospacing="0" w:afterAutospacing="0" w:line="360" w:lineRule="auto"/>
        <w:ind w:firstLine="480" w:firstLineChars="200"/>
        <w:rPr>
          <w:rFonts w:hint="eastAsia" w:ascii="Times New Roman" w:hAnsi="Times New Roman" w:eastAsia="宋体" w:cs="Times New Roman"/>
          <w:color w:val="000000" w:themeColor="text1"/>
          <w:sz w:val="24"/>
          <w:szCs w:val="25"/>
          <w:lang w:eastAsia="zh-CN"/>
          <w14:textFill>
            <w14:solidFill>
              <w14:schemeClr w14:val="tx1"/>
            </w14:solidFill>
          </w14:textFill>
        </w:rPr>
      </w:pPr>
      <w:r>
        <w:rPr>
          <w:rFonts w:hint="eastAsia" w:ascii="Times New Roman" w:hAnsi="Times New Roman" w:eastAsia="宋体" w:cs="Times New Roman"/>
          <w:color w:val="000000" w:themeColor="text1"/>
          <w:sz w:val="24"/>
          <w:szCs w:val="25"/>
          <w:lang w:eastAsia="zh-CN"/>
          <w14:textFill>
            <w14:solidFill>
              <w14:schemeClr w14:val="tx1"/>
            </w14:solidFill>
          </w14:textFill>
        </w:rPr>
        <w:t>（</w:t>
      </w:r>
      <w:r>
        <w:rPr>
          <w:rFonts w:hint="eastAsia" w:ascii="Times New Roman" w:hAnsi="Times New Roman" w:eastAsia="宋体" w:cs="Times New Roman"/>
          <w:color w:val="000000" w:themeColor="text1"/>
          <w:sz w:val="24"/>
          <w:szCs w:val="25"/>
          <w:lang w:val="en-US" w:eastAsia="zh-CN"/>
          <w14:textFill>
            <w14:solidFill>
              <w14:schemeClr w14:val="tx1"/>
            </w14:solidFill>
          </w14:textFill>
        </w:rPr>
        <w:t>4</w:t>
      </w:r>
      <w:r>
        <w:rPr>
          <w:rFonts w:hint="eastAsia" w:ascii="Times New Roman" w:hAnsi="Times New Roman" w:eastAsia="宋体" w:cs="Times New Roman"/>
          <w:color w:val="000000" w:themeColor="text1"/>
          <w:sz w:val="24"/>
          <w:szCs w:val="25"/>
          <w:lang w:eastAsia="zh-CN"/>
          <w14:textFill>
            <w14:solidFill>
              <w14:schemeClr w14:val="tx1"/>
            </w14:solidFill>
          </w14:textFill>
        </w:rPr>
        <w:t>）《建设项目环境保护管理条例》国务院令2017年第682号，2017年10月1日实施；</w:t>
      </w:r>
    </w:p>
    <w:p>
      <w:pPr>
        <w:pageBreakBefore w:val="0"/>
        <w:kinsoku/>
        <w:bidi w:val="0"/>
        <w:spacing w:beforeAutospacing="0" w:afterAutospacing="0" w:line="360" w:lineRule="auto"/>
        <w:ind w:firstLine="480" w:firstLineChars="200"/>
        <w:rPr>
          <w:rFonts w:hint="eastAsia" w:ascii="Times New Roman" w:hAnsi="Times New Roman" w:eastAsia="宋体" w:cs="Times New Roman"/>
          <w:color w:val="000000" w:themeColor="text1"/>
          <w:sz w:val="24"/>
          <w:szCs w:val="25"/>
          <w:lang w:eastAsia="zh-CN"/>
          <w14:textFill>
            <w14:solidFill>
              <w14:schemeClr w14:val="tx1"/>
            </w14:solidFill>
          </w14:textFill>
        </w:rPr>
      </w:pPr>
      <w:r>
        <w:rPr>
          <w:rFonts w:hint="eastAsia" w:ascii="Times New Roman" w:hAnsi="Times New Roman" w:eastAsia="宋体" w:cs="Times New Roman"/>
          <w:color w:val="000000" w:themeColor="text1"/>
          <w:sz w:val="24"/>
          <w:szCs w:val="25"/>
          <w:lang w:eastAsia="zh-CN"/>
          <w14:textFill>
            <w14:solidFill>
              <w14:schemeClr w14:val="tx1"/>
            </w14:solidFill>
          </w14:textFill>
        </w:rPr>
        <w:t>（</w:t>
      </w:r>
      <w:r>
        <w:rPr>
          <w:rFonts w:hint="eastAsia" w:ascii="Times New Roman" w:hAnsi="Times New Roman" w:eastAsia="宋体" w:cs="Times New Roman"/>
          <w:color w:val="000000" w:themeColor="text1"/>
          <w:sz w:val="24"/>
          <w:szCs w:val="25"/>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25"/>
          <w:lang w:eastAsia="zh-CN"/>
          <w14:textFill>
            <w14:solidFill>
              <w14:schemeClr w14:val="tx1"/>
            </w14:solidFill>
          </w14:textFill>
        </w:rPr>
        <w:t>）《环境影响评价技术导则总纲》（HJ2.1-2016）；</w:t>
      </w:r>
    </w:p>
    <w:p>
      <w:pPr>
        <w:pageBreakBefore w:val="0"/>
        <w:kinsoku/>
        <w:bidi w:val="0"/>
        <w:spacing w:beforeAutospacing="0" w:afterAutospacing="0" w:line="360" w:lineRule="auto"/>
        <w:ind w:firstLine="480" w:firstLineChars="200"/>
        <w:rPr>
          <w:rFonts w:hint="eastAsia" w:ascii="Times New Roman" w:hAnsi="Times New Roman" w:eastAsia="宋体" w:cs="Times New Roman"/>
          <w:color w:val="000000" w:themeColor="text1"/>
          <w:sz w:val="24"/>
          <w:szCs w:val="25"/>
          <w:lang w:eastAsia="zh-CN"/>
          <w14:textFill>
            <w14:solidFill>
              <w14:schemeClr w14:val="tx1"/>
            </w14:solidFill>
          </w14:textFill>
        </w:rPr>
      </w:pPr>
      <w:r>
        <w:rPr>
          <w:rFonts w:hint="eastAsia" w:ascii="Times New Roman" w:hAnsi="Times New Roman" w:eastAsia="宋体" w:cs="Times New Roman"/>
          <w:color w:val="000000" w:themeColor="text1"/>
          <w:sz w:val="24"/>
          <w:szCs w:val="25"/>
          <w:lang w:eastAsia="zh-CN"/>
          <w14:textFill>
            <w14:solidFill>
              <w14:schemeClr w14:val="tx1"/>
            </w14:solidFill>
          </w14:textFill>
        </w:rPr>
        <w:t>（</w:t>
      </w:r>
      <w:r>
        <w:rPr>
          <w:rFonts w:hint="eastAsia" w:ascii="Times New Roman" w:hAnsi="Times New Roman" w:eastAsia="宋体" w:cs="Times New Roman"/>
          <w:color w:val="000000" w:themeColor="text1"/>
          <w:sz w:val="24"/>
          <w:szCs w:val="25"/>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25"/>
          <w:lang w:eastAsia="zh-CN"/>
          <w14:textFill>
            <w14:solidFill>
              <w14:schemeClr w14:val="tx1"/>
            </w14:solidFill>
          </w14:textFill>
        </w:rPr>
        <w:t>）《环境影响评价技术导则大气环境》(HJ2.2-2018)。</w:t>
      </w:r>
    </w:p>
    <w:p>
      <w:pPr>
        <w:pStyle w:val="11"/>
        <w:pageBreakBefore w:val="0"/>
        <w:kinsoku/>
        <w:bidi w:val="0"/>
        <w:spacing w:beforeAutospacing="0" w:afterAutospacing="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1.3大气评价适用标准</w:t>
      </w:r>
    </w:p>
    <w:p>
      <w:pPr>
        <w:pStyle w:val="11"/>
        <w:pageBreakBefore w:val="0"/>
        <w:kinsoku/>
        <w:bidi w:val="0"/>
        <w:spacing w:beforeAutospacing="0" w:afterAutospacing="0"/>
        <w:rPr>
          <w:rFonts w:hint="default" w:ascii="Times New Roman" w:hAnsi="Times New Roman" w:eastAsia="宋体" w:cs="Times New Roman"/>
          <w:color w:val="000000" w:themeColor="text1"/>
          <w:sz w:val="30"/>
          <w:szCs w:val="30"/>
          <w:lang w:val="en-US" w:eastAsia="zh-CN"/>
          <w14:textFill>
            <w14:solidFill>
              <w14:schemeClr w14:val="tx1"/>
            </w14:solidFill>
          </w14:textFill>
        </w:rPr>
      </w:pPr>
      <w:r>
        <w:rPr>
          <w:rFonts w:hint="eastAsia" w:ascii="Times New Roman" w:hAnsi="Times New Roman" w:eastAsia="宋体" w:cs="Times New Roman"/>
          <w:color w:val="000000" w:themeColor="text1"/>
          <w:sz w:val="30"/>
          <w:szCs w:val="30"/>
          <w:lang w:val="en-US" w:eastAsia="zh-CN"/>
          <w14:textFill>
            <w14:solidFill>
              <w14:schemeClr w14:val="tx1"/>
            </w14:solidFill>
          </w14:textFill>
        </w:rPr>
        <w:t>1.3.1环境空气质量标准</w:t>
      </w:r>
    </w:p>
    <w:p>
      <w:pPr>
        <w:pageBreakBefore w:val="0"/>
        <w:kinsoku/>
        <w:bidi w:val="0"/>
        <w:adjustRightInd w:val="0"/>
        <w:snapToGrid w:val="0"/>
        <w:spacing w:beforeAutospacing="0" w:afterAutospacing="0" w:line="360" w:lineRule="auto"/>
        <w:ind w:firstLine="480" w:firstLineChars="200"/>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本项目位于</w:t>
      </w:r>
      <w:r>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t>福建省</w:t>
      </w:r>
      <w:r>
        <w:rPr>
          <w:rFonts w:hint="default"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宁德</w:t>
      </w:r>
      <w:r>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t>市</w:t>
      </w:r>
      <w:r>
        <w:rPr>
          <w:rFonts w:hint="default"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福鼎市</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白琳镇沿州村</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。本工程评价范围内为二类环境空气质量功能区，环境空气质量应执行《环境空气质量标准》（GB3095-2012）中的二级标准。</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具体标准值见表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1。</w:t>
      </w:r>
    </w:p>
    <w:p>
      <w:pPr>
        <w:pageBreakBefore w:val="0"/>
        <w:kinsoku/>
        <w:bidi w:val="0"/>
        <w:adjustRightInd w:val="0"/>
        <w:snapToGrid w:val="0"/>
        <w:spacing w:beforeAutospacing="0" w:afterAutospacing="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表</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1.3-</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1  环境质量评价标准</w:t>
      </w:r>
    </w:p>
    <w:tbl>
      <w:tblPr>
        <w:tblStyle w:val="33"/>
        <w:tblW w:w="90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1807"/>
        <w:gridCol w:w="1349"/>
        <w:gridCol w:w="1040"/>
        <w:gridCol w:w="33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51"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污染物名称</w:t>
            </w:r>
          </w:p>
        </w:tc>
        <w:tc>
          <w:tcPr>
            <w:tcW w:w="1807"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取值时间</w:t>
            </w:r>
          </w:p>
        </w:tc>
        <w:tc>
          <w:tcPr>
            <w:tcW w:w="1349"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浓度限值</w:t>
            </w:r>
          </w:p>
        </w:tc>
        <w:tc>
          <w:tcPr>
            <w:tcW w:w="1040"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单位</w:t>
            </w:r>
          </w:p>
        </w:tc>
        <w:tc>
          <w:tcPr>
            <w:tcW w:w="3309"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14:textFill>
                  <w14:solidFill>
                    <w14:schemeClr w14:val="tx1"/>
                  </w14:solidFill>
                </w14:textFill>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51" w:type="dxa"/>
            <w:vMerge w:val="restart"/>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SO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1807"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w:t>
            </w:r>
          </w:p>
        </w:tc>
        <w:tc>
          <w:tcPr>
            <w:tcW w:w="1349"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60</w:t>
            </w:r>
          </w:p>
        </w:tc>
        <w:tc>
          <w:tcPr>
            <w:tcW w:w="1040"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3309" w:type="dxa"/>
            <w:vMerge w:val="restart"/>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《环境空气质量标准》（GB3095-2012）二级标准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51"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807"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24h平均</w:t>
            </w:r>
          </w:p>
        </w:tc>
        <w:tc>
          <w:tcPr>
            <w:tcW w:w="1349"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150</w:t>
            </w:r>
          </w:p>
        </w:tc>
        <w:tc>
          <w:tcPr>
            <w:tcW w:w="1040"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3309"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51"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807"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1h平均</w:t>
            </w:r>
          </w:p>
        </w:tc>
        <w:tc>
          <w:tcPr>
            <w:tcW w:w="1349"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500</w:t>
            </w:r>
          </w:p>
        </w:tc>
        <w:tc>
          <w:tcPr>
            <w:tcW w:w="1040"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3309"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51" w:type="dxa"/>
            <w:vMerge w:val="restart"/>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NO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p>
        </w:tc>
        <w:tc>
          <w:tcPr>
            <w:tcW w:w="1807"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w:t>
            </w:r>
          </w:p>
        </w:tc>
        <w:tc>
          <w:tcPr>
            <w:tcW w:w="1349"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w:t>
            </w:r>
          </w:p>
        </w:tc>
        <w:tc>
          <w:tcPr>
            <w:tcW w:w="1040"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3309"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51"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807"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24h平均</w:t>
            </w:r>
          </w:p>
        </w:tc>
        <w:tc>
          <w:tcPr>
            <w:tcW w:w="1349"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80</w:t>
            </w:r>
          </w:p>
        </w:tc>
        <w:tc>
          <w:tcPr>
            <w:tcW w:w="1040"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3309"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51"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807"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1h平均</w:t>
            </w:r>
          </w:p>
        </w:tc>
        <w:tc>
          <w:tcPr>
            <w:tcW w:w="1349"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200</w:t>
            </w:r>
          </w:p>
        </w:tc>
        <w:tc>
          <w:tcPr>
            <w:tcW w:w="1040"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3309"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51" w:type="dxa"/>
            <w:vMerge w:val="restart"/>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10</w:t>
            </w:r>
          </w:p>
        </w:tc>
        <w:tc>
          <w:tcPr>
            <w:tcW w:w="1807"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w:t>
            </w:r>
          </w:p>
        </w:tc>
        <w:tc>
          <w:tcPr>
            <w:tcW w:w="1349"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70</w:t>
            </w:r>
          </w:p>
        </w:tc>
        <w:tc>
          <w:tcPr>
            <w:tcW w:w="1040"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3309"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51"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807"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24h平均</w:t>
            </w:r>
          </w:p>
        </w:tc>
        <w:tc>
          <w:tcPr>
            <w:tcW w:w="1349"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150</w:t>
            </w:r>
          </w:p>
        </w:tc>
        <w:tc>
          <w:tcPr>
            <w:tcW w:w="1040"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3309"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51" w:type="dxa"/>
            <w:vMerge w:val="restart"/>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PM</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2.5</w:t>
            </w:r>
          </w:p>
        </w:tc>
        <w:tc>
          <w:tcPr>
            <w:tcW w:w="1807"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w:t>
            </w:r>
          </w:p>
        </w:tc>
        <w:tc>
          <w:tcPr>
            <w:tcW w:w="1349"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35</w:t>
            </w:r>
          </w:p>
        </w:tc>
        <w:tc>
          <w:tcPr>
            <w:tcW w:w="1040"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3309"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51"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807"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24h平均</w:t>
            </w:r>
          </w:p>
        </w:tc>
        <w:tc>
          <w:tcPr>
            <w:tcW w:w="1349"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75</w:t>
            </w:r>
          </w:p>
        </w:tc>
        <w:tc>
          <w:tcPr>
            <w:tcW w:w="1040"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3309"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51" w:type="dxa"/>
            <w:vMerge w:val="restart"/>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TSP</w:t>
            </w:r>
          </w:p>
        </w:tc>
        <w:tc>
          <w:tcPr>
            <w:tcW w:w="1807"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年平均</w:t>
            </w:r>
          </w:p>
        </w:tc>
        <w:tc>
          <w:tcPr>
            <w:tcW w:w="1349"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200</w:t>
            </w:r>
          </w:p>
        </w:tc>
        <w:tc>
          <w:tcPr>
            <w:tcW w:w="1040"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3309"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51"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1807"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24h平均</w:t>
            </w:r>
          </w:p>
        </w:tc>
        <w:tc>
          <w:tcPr>
            <w:tcW w:w="1349"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300</w:t>
            </w:r>
          </w:p>
        </w:tc>
        <w:tc>
          <w:tcPr>
            <w:tcW w:w="1040"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3309"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51"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CO</w:t>
            </w:r>
          </w:p>
        </w:tc>
        <w:tc>
          <w:tcPr>
            <w:tcW w:w="1807"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24h平均</w:t>
            </w:r>
          </w:p>
        </w:tc>
        <w:tc>
          <w:tcPr>
            <w:tcW w:w="1349"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4000</w:t>
            </w:r>
          </w:p>
        </w:tc>
        <w:tc>
          <w:tcPr>
            <w:tcW w:w="1040"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3309"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551"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O</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3</w:t>
            </w:r>
          </w:p>
        </w:tc>
        <w:tc>
          <w:tcPr>
            <w:tcW w:w="1807"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日最大8h平均</w:t>
            </w:r>
          </w:p>
        </w:tc>
        <w:tc>
          <w:tcPr>
            <w:tcW w:w="1349"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160</w:t>
            </w:r>
          </w:p>
        </w:tc>
        <w:tc>
          <w:tcPr>
            <w:tcW w:w="1040" w:type="dxa"/>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μg/m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p>
        </w:tc>
        <w:tc>
          <w:tcPr>
            <w:tcW w:w="3309" w:type="dxa"/>
            <w:vMerge w:val="continue"/>
            <w:vAlign w:val="center"/>
          </w:tcPr>
          <w:p>
            <w:pPr>
              <w:pStyle w:val="22"/>
              <w:pageBreakBefore w:val="0"/>
              <w:kinsoku/>
              <w:bidi w:val="0"/>
              <w:adjustRightInd w:val="0"/>
              <w:snapToGrid w:val="0"/>
              <w:spacing w:beforeAutospacing="0" w:after="0" w:afterAutospacing="0"/>
              <w:ind w:left="0" w:leftChars="0" w:firstLine="0" w:firstLineChars="0"/>
              <w:jc w:val="center"/>
              <w:rPr>
                <w:rFonts w:hint="default" w:ascii="Times New Roman" w:hAnsi="Times New Roman" w:eastAsia="宋体" w:cs="Times New Roman"/>
                <w:color w:val="000000" w:themeColor="text1"/>
                <w:sz w:val="21"/>
                <w:szCs w:val="21"/>
                <w:highlight w:val="none"/>
                <w14:textFill>
                  <w14:solidFill>
                    <w14:schemeClr w14:val="tx1"/>
                  </w14:solidFill>
                </w14:textFill>
              </w:rPr>
            </w:pPr>
          </w:p>
        </w:tc>
      </w:tr>
    </w:tbl>
    <w:p>
      <w:pPr>
        <w:pStyle w:val="11"/>
        <w:pageBreakBefore w:val="0"/>
        <w:kinsoku/>
        <w:bidi w:val="0"/>
        <w:spacing w:beforeAutospacing="0" w:afterAutospacing="0"/>
        <w:rPr>
          <w:rFonts w:hint="default" w:ascii="Times New Roman" w:hAnsi="Times New Roman" w:eastAsia="宋体" w:cs="Times New Roman"/>
          <w:color w:val="000000" w:themeColor="text1"/>
          <w:sz w:val="30"/>
          <w:szCs w:val="30"/>
          <w:lang w:val="en-US" w:eastAsia="zh-CN"/>
          <w14:textFill>
            <w14:solidFill>
              <w14:schemeClr w14:val="tx1"/>
            </w14:solidFill>
          </w14:textFill>
        </w:rPr>
      </w:pPr>
      <w:r>
        <w:rPr>
          <w:rFonts w:hint="eastAsia" w:ascii="Times New Roman" w:hAnsi="Times New Roman" w:eastAsia="宋体" w:cs="Times New Roman"/>
          <w:color w:val="000000" w:themeColor="text1"/>
          <w:sz w:val="30"/>
          <w:szCs w:val="30"/>
          <w:lang w:val="en-US" w:eastAsia="zh-CN"/>
          <w14:textFill>
            <w14:solidFill>
              <w14:schemeClr w14:val="tx1"/>
            </w14:solidFill>
          </w14:textFill>
        </w:rPr>
        <w:t>1.3.2大气污染物排放标准</w:t>
      </w:r>
    </w:p>
    <w:p>
      <w:pPr>
        <w:keepNext w:val="0"/>
        <w:keepLines w:val="0"/>
        <w:pageBreakBefore w:val="0"/>
        <w:kinsoku/>
        <w:topLinePunct w:val="0"/>
        <w:bidi w:val="0"/>
        <w:spacing w:beforeAutospacing="0" w:afterAutospacing="0" w:line="360" w:lineRule="auto"/>
        <w:ind w:firstLine="480" w:firstLineChars="200"/>
        <w:rPr>
          <w:rFonts w:hint="default" w:ascii="Times New Roman" w:hAnsi="Times New Roman" w:eastAsia="宋体"/>
          <w:color w:val="000000" w:themeColor="text1"/>
          <w:highlight w:val="none"/>
          <w:lang w:val="en-US" w:eastAsia="zh-CN"/>
          <w14:textFill>
            <w14:solidFill>
              <w14:schemeClr w14:val="tx1"/>
            </w14:solidFill>
          </w14:textFill>
        </w:rPr>
      </w:pPr>
      <w:r>
        <w:rPr>
          <w:rFonts w:hint="default" w:ascii="Times New Roman" w:hAnsi="Times New Roman" w:eastAsia="宋体" w:cs="Times New Roman"/>
          <w:snapToGrid w:val="0"/>
          <w:color w:val="000000" w:themeColor="text1"/>
          <w:sz w:val="24"/>
          <w:highlight w:val="none"/>
          <w14:textFill>
            <w14:solidFill>
              <w14:schemeClr w14:val="tx1"/>
            </w14:solidFill>
          </w14:textFill>
        </w:rPr>
        <w:t>项目</w:t>
      </w:r>
      <w:r>
        <w:rPr>
          <w:rFonts w:hint="eastAsia" w:ascii="Times New Roman" w:hAnsi="Times New Roman" w:eastAsia="宋体" w:cs="Times New Roman"/>
          <w:snapToGrid w:val="0"/>
          <w:color w:val="000000" w:themeColor="text1"/>
          <w:sz w:val="24"/>
          <w:highlight w:val="none"/>
          <w:lang w:val="en-US" w:eastAsia="zh-CN"/>
          <w14:textFill>
            <w14:solidFill>
              <w14:schemeClr w14:val="tx1"/>
            </w14:solidFill>
          </w14:textFill>
        </w:rPr>
        <w:t>施工期、运营期粉尘</w:t>
      </w:r>
      <w:r>
        <w:rPr>
          <w:rFonts w:hint="default" w:ascii="Times New Roman" w:hAnsi="Times New Roman" w:eastAsia="宋体" w:cs="Times New Roman"/>
          <w:snapToGrid w:val="0"/>
          <w:color w:val="000000" w:themeColor="text1"/>
          <w:sz w:val="24"/>
          <w:highlight w:val="none"/>
          <w14:textFill>
            <w14:solidFill>
              <w14:schemeClr w14:val="tx1"/>
            </w14:solidFill>
          </w14:textFill>
        </w:rPr>
        <w:t>排放执行《大气污染物综合排放标准》（GB16297-1996）</w:t>
      </w:r>
      <w:r>
        <w:rPr>
          <w:rFonts w:hint="default" w:ascii="Times New Roman" w:hAnsi="Times New Roman" w:eastAsia="宋体" w:cs="Times New Roman"/>
          <w:snapToGrid w:val="0"/>
          <w:color w:val="000000" w:themeColor="text1"/>
          <w:kern w:val="18"/>
          <w:sz w:val="24"/>
          <w:highlight w:val="none"/>
          <w14:textFill>
            <w14:solidFill>
              <w14:schemeClr w14:val="tx1"/>
            </w14:solidFill>
          </w14:textFill>
        </w:rPr>
        <w:t>表2中无组织排放监控浓度限值，详见表</w:t>
      </w:r>
      <w:r>
        <w:rPr>
          <w:rFonts w:hint="eastAsia" w:ascii="Times New Roman" w:hAnsi="Times New Roman" w:eastAsia="宋体" w:cs="Times New Roman"/>
          <w:snapToGrid w:val="0"/>
          <w:color w:val="000000" w:themeColor="text1"/>
          <w:kern w:val="18"/>
          <w:sz w:val="24"/>
          <w:highlight w:val="none"/>
          <w:lang w:val="en-US" w:eastAsia="zh-CN"/>
          <w14:textFill>
            <w14:solidFill>
              <w14:schemeClr w14:val="tx1"/>
            </w14:solidFill>
          </w14:textFill>
        </w:rPr>
        <w:t>1.3</w:t>
      </w:r>
      <w:r>
        <w:rPr>
          <w:rFonts w:hint="default" w:ascii="Times New Roman" w:hAnsi="Times New Roman" w:eastAsia="宋体" w:cs="Times New Roman"/>
          <w:snapToGrid w:val="0"/>
          <w:color w:val="000000" w:themeColor="text1"/>
          <w:kern w:val="18"/>
          <w:sz w:val="24"/>
          <w:highlight w:val="none"/>
          <w14:textFill>
            <w14:solidFill>
              <w14:schemeClr w14:val="tx1"/>
            </w14:solidFill>
          </w14:textFill>
        </w:rPr>
        <w:t>-</w:t>
      </w:r>
      <w:r>
        <w:rPr>
          <w:rFonts w:hint="eastAsia" w:ascii="Times New Roman" w:hAnsi="Times New Roman" w:eastAsia="宋体" w:cs="Times New Roman"/>
          <w:snapToGrid w:val="0"/>
          <w:color w:val="000000" w:themeColor="text1"/>
          <w:kern w:val="18"/>
          <w:sz w:val="24"/>
          <w:highlight w:val="none"/>
          <w:lang w:val="en-US" w:eastAsia="zh-CN"/>
          <w14:textFill>
            <w14:solidFill>
              <w14:schemeClr w14:val="tx1"/>
            </w14:solidFill>
          </w14:textFill>
        </w:rPr>
        <w:t>2</w:t>
      </w:r>
      <w:r>
        <w:rPr>
          <w:rFonts w:hint="default" w:ascii="Times New Roman" w:hAnsi="Times New Roman" w:eastAsia="宋体" w:cs="Times New Roman"/>
          <w:snapToGrid w:val="0"/>
          <w:color w:val="000000" w:themeColor="text1"/>
          <w:sz w:val="24"/>
          <w:szCs w:val="28"/>
          <w:highlight w:val="none"/>
          <w14:textFill>
            <w14:solidFill>
              <w14:schemeClr w14:val="tx1"/>
            </w14:solidFill>
          </w14:textFill>
        </w:rPr>
        <w:t>。</w:t>
      </w:r>
      <w:r>
        <w:rPr>
          <w:rFonts w:hint="eastAsia" w:ascii="Times New Roman" w:hAnsi="Times New Roman" w:eastAsia="宋体" w:cs="Times New Roman"/>
          <w:snapToGrid w:val="0"/>
          <w:color w:val="000000" w:themeColor="text1"/>
          <w:sz w:val="24"/>
          <w:szCs w:val="28"/>
          <w:highlight w:val="none"/>
          <w:lang w:val="en-US" w:eastAsia="zh-CN"/>
          <w14:textFill>
            <w14:solidFill>
              <w14:schemeClr w14:val="tx1"/>
            </w14:solidFill>
          </w14:textFill>
        </w:rPr>
        <w:t>码头进出船舶执行《船舶发动机排气污染物排放限值及测量方法（中国第一、第二阶段）（GB15097-2016）》中第二阶段标准，详见表1.3-3。</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482" w:firstLineChars="200"/>
        <w:jc w:val="center"/>
        <w:textAlignment w:val="auto"/>
        <w:rPr>
          <w:rFonts w:hint="default" w:ascii="Times New Roman" w:hAnsi="Times New Roman" w:eastAsia="宋体" w:cs="Times New Roman"/>
          <w:b/>
          <w:bCs/>
          <w:color w:val="000000" w:themeColor="text1"/>
          <w:sz w:val="24"/>
          <w:szCs w:val="21"/>
          <w:highlight w:val="none"/>
          <w14:textFill>
            <w14:solidFill>
              <w14:schemeClr w14:val="tx1"/>
            </w14:solidFill>
          </w14:textFill>
        </w:rPr>
      </w:pPr>
      <w:r>
        <w:rPr>
          <w:rFonts w:hint="default" w:ascii="Times New Roman" w:hAnsi="Times New Roman" w:eastAsia="宋体" w:cs="Times New Roman"/>
          <w:b/>
          <w:bCs/>
          <w:color w:val="000000" w:themeColor="text1"/>
          <w:sz w:val="24"/>
          <w:szCs w:val="21"/>
          <w:highlight w:val="none"/>
          <w14:textFill>
            <w14:solidFill>
              <w14:schemeClr w14:val="tx1"/>
            </w14:solidFill>
          </w14:textFill>
        </w:rPr>
        <w:t>表</w:t>
      </w:r>
      <w:r>
        <w:rPr>
          <w:rFonts w:hint="eastAsia" w:ascii="Times New Roman" w:hAnsi="Times New Roman" w:eastAsia="宋体" w:cs="Times New Roman"/>
          <w:b/>
          <w:bCs/>
          <w:color w:val="000000" w:themeColor="text1"/>
          <w:sz w:val="24"/>
          <w:szCs w:val="21"/>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4"/>
          <w:szCs w:val="21"/>
          <w:highlight w:val="none"/>
          <w14:textFill>
            <w14:solidFill>
              <w14:schemeClr w14:val="tx1"/>
            </w14:solidFill>
          </w14:textFill>
        </w:rPr>
        <w:t>.</w:t>
      </w:r>
      <w:r>
        <w:rPr>
          <w:rFonts w:hint="eastAsia" w:ascii="Times New Roman" w:hAnsi="Times New Roman" w:eastAsia="宋体" w:cs="Times New Roman"/>
          <w:b/>
          <w:bCs/>
          <w:color w:val="000000" w:themeColor="text1"/>
          <w:sz w:val="24"/>
          <w:szCs w:val="21"/>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1"/>
          <w:highlight w:val="none"/>
          <w14:textFill>
            <w14:solidFill>
              <w14:schemeClr w14:val="tx1"/>
            </w14:solidFill>
          </w14:textFill>
        </w:rPr>
        <w:t>-</w:t>
      </w:r>
      <w:r>
        <w:rPr>
          <w:rFonts w:hint="eastAsia" w:ascii="Times New Roman" w:hAnsi="Times New Roman" w:eastAsia="宋体" w:cs="Times New Roman"/>
          <w:b/>
          <w:bCs/>
          <w:color w:val="000000" w:themeColor="text1"/>
          <w:sz w:val="24"/>
          <w:szCs w:val="21"/>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1"/>
          <w:highlight w:val="none"/>
          <w14:textFill>
            <w14:solidFill>
              <w14:schemeClr w14:val="tx1"/>
            </w14:solidFill>
          </w14:textFill>
        </w:rPr>
        <w:t xml:space="preserve">  《大气污染物综合排放标准》GB16297-1996</w:t>
      </w:r>
      <w:r>
        <w:rPr>
          <w:rFonts w:hint="default" w:ascii="Times New Roman" w:hAnsi="Times New Roman" w:eastAsia="宋体" w:cs="Times New Roman"/>
          <w:b/>
          <w:bCs/>
          <w:color w:val="000000" w:themeColor="text1"/>
          <w:sz w:val="24"/>
          <w:highlight w:val="none"/>
          <w14:textFill>
            <w14:solidFill>
              <w14:schemeClr w14:val="tx1"/>
            </w14:solidFill>
          </w14:textFill>
        </w:rPr>
        <w:t>（摘录）</w:t>
      </w:r>
    </w:p>
    <w:tbl>
      <w:tblPr>
        <w:tblStyle w:val="33"/>
        <w:tblW w:w="906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819"/>
        <w:gridCol w:w="4745"/>
        <w:gridCol w:w="250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88" w:hRule="atLeast"/>
          <w:jc w:val="center"/>
        </w:trPr>
        <w:tc>
          <w:tcPr>
            <w:tcW w:w="1819" w:type="dxa"/>
            <w:vMerge w:val="restart"/>
            <w:tcBorders>
              <w:top w:val="single" w:color="000000" w:sz="12" w:space="0"/>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污染物</w:t>
            </w:r>
          </w:p>
        </w:tc>
        <w:tc>
          <w:tcPr>
            <w:tcW w:w="7249" w:type="dxa"/>
            <w:gridSpan w:val="2"/>
            <w:tcBorders>
              <w:top w:val="single" w:color="000000" w:sz="12" w:space="0"/>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无组织排放监控浓度限值</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15" w:hRule="atLeast"/>
          <w:jc w:val="center"/>
        </w:trPr>
        <w:tc>
          <w:tcPr>
            <w:tcW w:w="1819" w:type="dxa"/>
            <w:vMerge w:val="continue"/>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p>
        </w:tc>
        <w:tc>
          <w:tcPr>
            <w:tcW w:w="4745" w:type="dxa"/>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监控点</w:t>
            </w:r>
          </w:p>
        </w:tc>
        <w:tc>
          <w:tcPr>
            <w:tcW w:w="2504" w:type="dxa"/>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浓度，mg/m</w:t>
            </w:r>
            <w:r>
              <w:rPr>
                <w:rFonts w:hint="default" w:ascii="Times New Roman" w:hAnsi="Times New Roman" w:eastAsia="宋体" w:cs="Times New Roman"/>
                <w:b w:val="0"/>
                <w:bCs w:val="0"/>
                <w:color w:val="000000" w:themeColor="text1"/>
                <w:sz w:val="21"/>
                <w:szCs w:val="21"/>
                <w:highlight w:val="none"/>
                <w:vertAlign w:val="superscript"/>
                <w:lang w:val="en-US" w:eastAsia="zh-CN"/>
                <w14:textFill>
                  <w14:solidFill>
                    <w14:schemeClr w14:val="tx1"/>
                  </w14:solidFill>
                </w14:textFill>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819" w:type="dxa"/>
            <w:tcBorders>
              <w:bottom w:val="single" w:color="000000" w:sz="12" w:space="0"/>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颗粒物</w:t>
            </w:r>
          </w:p>
        </w:tc>
        <w:tc>
          <w:tcPr>
            <w:tcW w:w="4745" w:type="dxa"/>
            <w:tcBorders>
              <w:bottom w:val="single" w:color="000000" w:sz="12" w:space="0"/>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周界外浓度最高点</w:t>
            </w:r>
          </w:p>
        </w:tc>
        <w:tc>
          <w:tcPr>
            <w:tcW w:w="2504" w:type="dxa"/>
            <w:tcBorders>
              <w:bottom w:val="single" w:color="000000" w:sz="12" w:space="0"/>
            </w:tcBorders>
            <w:vAlign w:val="center"/>
          </w:tcPr>
          <w:p>
            <w:pPr>
              <w:pageBreakBefore w:val="0"/>
              <w:kinsoku/>
              <w:bidi w:val="0"/>
              <w:adjustRightInd w:val="0"/>
              <w:snapToGrid w:val="0"/>
              <w:spacing w:beforeAutospacing="0" w:afterAutospacing="0" w:line="340" w:lineRule="exact"/>
              <w:jc w:val="cente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1.0</w:t>
            </w:r>
          </w:p>
        </w:tc>
      </w:tr>
    </w:tbl>
    <w:p>
      <w:pPr>
        <w:pStyle w:val="145"/>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1"/>
          <w:highlight w:val="none"/>
          <w14:textFill>
            <w14:solidFill>
              <w14:schemeClr w14:val="tx1"/>
            </w14:solidFill>
          </w14:textFill>
        </w:rPr>
        <w:t>表</w:t>
      </w:r>
      <w:r>
        <w:rPr>
          <w:rFonts w:hint="eastAsia" w:ascii="Times New Roman" w:hAnsi="Times New Roman" w:eastAsia="宋体" w:cs="Times New Roman"/>
          <w:b/>
          <w:bCs/>
          <w:color w:val="000000" w:themeColor="text1"/>
          <w:sz w:val="24"/>
          <w:szCs w:val="21"/>
          <w:highlight w:val="none"/>
          <w:lang w:val="en-US" w:eastAsia="zh-CN"/>
          <w14:textFill>
            <w14:solidFill>
              <w14:schemeClr w14:val="tx1"/>
            </w14:solidFill>
          </w14:textFill>
        </w:rPr>
        <w:t>1.3</w:t>
      </w:r>
      <w:r>
        <w:rPr>
          <w:rFonts w:hint="default" w:ascii="Times New Roman" w:hAnsi="Times New Roman" w:eastAsia="宋体" w:cs="Times New Roman"/>
          <w:b/>
          <w:bCs/>
          <w:color w:val="000000" w:themeColor="text1"/>
          <w:sz w:val="24"/>
          <w:szCs w:val="21"/>
          <w:highlight w:val="none"/>
          <w14:textFill>
            <w14:solidFill>
              <w14:schemeClr w14:val="tx1"/>
            </w14:solidFill>
          </w14:textFill>
        </w:rPr>
        <w:t>-</w:t>
      </w:r>
      <w:r>
        <w:rPr>
          <w:rFonts w:hint="eastAsia" w:ascii="Times New Roman" w:hAnsi="Times New Roman" w:eastAsia="宋体" w:cs="Times New Roman"/>
          <w:b/>
          <w:bCs/>
          <w:color w:val="000000" w:themeColor="text1"/>
          <w:sz w:val="24"/>
          <w:szCs w:val="21"/>
          <w:highlight w:val="none"/>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szCs w:val="21"/>
          <w:highlight w:val="none"/>
          <w14:textFill>
            <w14:solidFill>
              <w14:schemeClr w14:val="tx1"/>
            </w14:solidFill>
          </w14:textFill>
        </w:rPr>
        <w:t xml:space="preserve">  《船舶发动机排气污染物排放限值及测量方法（GB15097-2016）》</w:t>
      </w:r>
      <w:r>
        <w:rPr>
          <w:rFonts w:hint="default" w:ascii="Times New Roman" w:hAnsi="Times New Roman" w:eastAsia="宋体" w:cs="Times New Roman"/>
          <w:b/>
          <w:bCs/>
          <w:color w:val="000000" w:themeColor="text1"/>
          <w:sz w:val="24"/>
          <w:highlight w:val="none"/>
          <w14:textFill>
            <w14:solidFill>
              <w14:schemeClr w14:val="tx1"/>
            </w14:solidFill>
          </w14:textFill>
        </w:rPr>
        <w:t>（摘录）</w:t>
      </w:r>
    </w:p>
    <w:tbl>
      <w:tblPr>
        <w:tblStyle w:val="34"/>
        <w:tblW w:w="928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5"/>
        <w:gridCol w:w="1357"/>
        <w:gridCol w:w="1746"/>
        <w:gridCol w:w="1329"/>
        <w:gridCol w:w="1288"/>
        <w:gridCol w:w="1329"/>
        <w:gridCol w:w="12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5" w:type="dxa"/>
            <w:tcBorders>
              <w:righ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outlineLvl w:val="1"/>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船机类型</w:t>
            </w:r>
          </w:p>
        </w:tc>
        <w:tc>
          <w:tcPr>
            <w:tcW w:w="1357" w:type="dxa"/>
            <w:tcBorders>
              <w:left w:val="single" w:color="auto" w:sz="4" w:space="0"/>
              <w:righ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outlineLvl w:val="1"/>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单缸排量（SV）（L/缸）</w:t>
            </w:r>
          </w:p>
        </w:tc>
        <w:tc>
          <w:tcPr>
            <w:tcW w:w="1746"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outlineLvl w:val="1"/>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额定静功率（P）（kW）</w:t>
            </w:r>
          </w:p>
        </w:tc>
        <w:tc>
          <w:tcPr>
            <w:tcW w:w="1329"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outlineLvl w:val="1"/>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CO（g/kWh）</w:t>
            </w:r>
          </w:p>
        </w:tc>
        <w:tc>
          <w:tcPr>
            <w:tcW w:w="1288"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outlineLvl w:val="1"/>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HC+NO</w:t>
            </w:r>
            <w:r>
              <w:rPr>
                <w:rFonts w:hint="default" w:ascii="Times New Roman" w:hAnsi="Times New Roman" w:eastAsia="宋体" w:cs="Times New Roman"/>
                <w:b w:val="0"/>
                <w:bCs w:val="0"/>
                <w:color w:val="000000" w:themeColor="text1"/>
                <w:kern w:val="2"/>
                <w:sz w:val="21"/>
                <w:szCs w:val="21"/>
                <w:vertAlign w:val="subscript"/>
                <w:lang w:val="en-US" w:eastAsia="zh-CN" w:bidi="ar-SA"/>
                <w14:textFill>
                  <w14:solidFill>
                    <w14:schemeClr w14:val="tx1"/>
                  </w14:solidFill>
                </w14:textFill>
              </w:rPr>
              <w:t>X</w:t>
            </w: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（g/kWh）</w:t>
            </w:r>
          </w:p>
        </w:tc>
        <w:tc>
          <w:tcPr>
            <w:tcW w:w="1329"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outlineLvl w:val="1"/>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CH</w:t>
            </w:r>
            <w:r>
              <w:rPr>
                <w:rFonts w:hint="default" w:ascii="Times New Roman" w:hAnsi="Times New Roman" w:eastAsia="宋体" w:cs="Times New Roman"/>
                <w:b w:val="0"/>
                <w:bCs w:val="0"/>
                <w:color w:val="000000" w:themeColor="text1"/>
                <w:kern w:val="2"/>
                <w:sz w:val="21"/>
                <w:szCs w:val="21"/>
                <w:vertAlign w:val="subscript"/>
                <w:lang w:val="en-US" w:eastAsia="zh-CN" w:bidi="ar-SA"/>
                <w14:textFill>
                  <w14:solidFill>
                    <w14:schemeClr w14:val="tx1"/>
                  </w14:solidFill>
                </w14:textFill>
              </w:rPr>
              <w:t>4</w:t>
            </w:r>
            <w:r>
              <w:rPr>
                <w:rFonts w:hint="default" w:ascii="Times New Roman" w:hAnsi="Times New Roman" w:eastAsia="宋体" w:cs="Times New Roman"/>
                <w:b w:val="0"/>
                <w:bCs w:val="0"/>
                <w:color w:val="000000" w:themeColor="text1"/>
                <w:kern w:val="2"/>
                <w:sz w:val="21"/>
                <w:szCs w:val="21"/>
                <w:vertAlign w:val="superscript"/>
                <w:lang w:val="en-US" w:eastAsia="zh-CN" w:bidi="ar-SA"/>
                <w14:textFill>
                  <w14:solidFill>
                    <w14:schemeClr w14:val="tx1"/>
                  </w14:solidFill>
                </w14:textFill>
              </w:rPr>
              <w:t>（1）</w:t>
            </w: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（g/kWh）</w:t>
            </w:r>
          </w:p>
        </w:tc>
        <w:tc>
          <w:tcPr>
            <w:tcW w:w="1296"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outlineLvl w:val="1"/>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PM（g/kWh）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5" w:type="dxa"/>
            <w:vMerge w:val="restart"/>
            <w:tcBorders>
              <w:righ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outlineLvl w:val="1"/>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第1类</w:t>
            </w:r>
          </w:p>
        </w:tc>
        <w:tc>
          <w:tcPr>
            <w:tcW w:w="1357" w:type="dxa"/>
            <w:tcBorders>
              <w:left w:val="single" w:color="auto" w:sz="4" w:space="0"/>
              <w:righ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outlineLvl w:val="1"/>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SV&lt;0.9</w:t>
            </w:r>
          </w:p>
        </w:tc>
        <w:tc>
          <w:tcPr>
            <w:tcW w:w="1746"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P≥37</w:t>
            </w:r>
          </w:p>
        </w:tc>
        <w:tc>
          <w:tcPr>
            <w:tcW w:w="1329"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5.0</w:t>
            </w:r>
          </w:p>
        </w:tc>
        <w:tc>
          <w:tcPr>
            <w:tcW w:w="1288"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5.8</w:t>
            </w:r>
          </w:p>
        </w:tc>
        <w:tc>
          <w:tcPr>
            <w:tcW w:w="1329"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1.0</w:t>
            </w:r>
          </w:p>
        </w:tc>
        <w:tc>
          <w:tcPr>
            <w:tcW w:w="1296"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5" w:type="dxa"/>
            <w:vMerge w:val="continue"/>
            <w:tcBorders>
              <w:righ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outlineLvl w:val="1"/>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p>
        </w:tc>
        <w:tc>
          <w:tcPr>
            <w:tcW w:w="3103" w:type="dxa"/>
            <w:gridSpan w:val="2"/>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0.9≤SV&lt;1.2</w:t>
            </w:r>
          </w:p>
        </w:tc>
        <w:tc>
          <w:tcPr>
            <w:tcW w:w="1329"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5.0</w:t>
            </w:r>
          </w:p>
        </w:tc>
        <w:tc>
          <w:tcPr>
            <w:tcW w:w="1288"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5.8</w:t>
            </w:r>
          </w:p>
        </w:tc>
        <w:tc>
          <w:tcPr>
            <w:tcW w:w="1329"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1.0</w:t>
            </w:r>
          </w:p>
        </w:tc>
        <w:tc>
          <w:tcPr>
            <w:tcW w:w="1296"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5" w:type="dxa"/>
            <w:vMerge w:val="continue"/>
            <w:tcBorders>
              <w:righ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outlineLvl w:val="1"/>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p>
        </w:tc>
        <w:tc>
          <w:tcPr>
            <w:tcW w:w="3103" w:type="dxa"/>
            <w:gridSpan w:val="2"/>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1.2≤SV&lt;5</w:t>
            </w:r>
          </w:p>
        </w:tc>
        <w:tc>
          <w:tcPr>
            <w:tcW w:w="1329"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5.0</w:t>
            </w:r>
          </w:p>
        </w:tc>
        <w:tc>
          <w:tcPr>
            <w:tcW w:w="1288"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5.8</w:t>
            </w:r>
          </w:p>
        </w:tc>
        <w:tc>
          <w:tcPr>
            <w:tcW w:w="1329"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1.0</w:t>
            </w:r>
          </w:p>
        </w:tc>
        <w:tc>
          <w:tcPr>
            <w:tcW w:w="1296"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5" w:type="dxa"/>
            <w:vMerge w:val="restart"/>
            <w:tcBorders>
              <w:righ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outlineLvl w:val="1"/>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第2类</w:t>
            </w:r>
          </w:p>
        </w:tc>
        <w:tc>
          <w:tcPr>
            <w:tcW w:w="1357" w:type="dxa"/>
            <w:vMerge w:val="restart"/>
            <w:tcBorders>
              <w:left w:val="single" w:color="auto" w:sz="4" w:space="0"/>
              <w:righ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5≤SV&lt;15</w:t>
            </w:r>
          </w:p>
        </w:tc>
        <w:tc>
          <w:tcPr>
            <w:tcW w:w="1746"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P&lt;2000</w:t>
            </w:r>
          </w:p>
        </w:tc>
        <w:tc>
          <w:tcPr>
            <w:tcW w:w="1329"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5.0</w:t>
            </w:r>
          </w:p>
        </w:tc>
        <w:tc>
          <w:tcPr>
            <w:tcW w:w="1288"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6.2</w:t>
            </w:r>
          </w:p>
        </w:tc>
        <w:tc>
          <w:tcPr>
            <w:tcW w:w="1329"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1.2</w:t>
            </w:r>
          </w:p>
        </w:tc>
        <w:tc>
          <w:tcPr>
            <w:tcW w:w="1296"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5" w:type="dxa"/>
            <w:vMerge w:val="continue"/>
            <w:tcBorders>
              <w:righ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outlineLvl w:val="1"/>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p>
        </w:tc>
        <w:tc>
          <w:tcPr>
            <w:tcW w:w="1357" w:type="dxa"/>
            <w:vMerge w:val="continue"/>
            <w:tcBorders>
              <w:left w:val="single" w:color="auto" w:sz="4" w:space="0"/>
              <w:righ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746"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2000≤P&lt;3700</w:t>
            </w:r>
          </w:p>
        </w:tc>
        <w:tc>
          <w:tcPr>
            <w:tcW w:w="1329"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5.0</w:t>
            </w:r>
          </w:p>
        </w:tc>
        <w:tc>
          <w:tcPr>
            <w:tcW w:w="1288"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7.8</w:t>
            </w:r>
          </w:p>
        </w:tc>
        <w:tc>
          <w:tcPr>
            <w:tcW w:w="1329"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1.5</w:t>
            </w:r>
          </w:p>
        </w:tc>
        <w:tc>
          <w:tcPr>
            <w:tcW w:w="1296"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5" w:type="dxa"/>
            <w:vMerge w:val="continue"/>
            <w:tcBorders>
              <w:righ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outlineLvl w:val="1"/>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p>
        </w:tc>
        <w:tc>
          <w:tcPr>
            <w:tcW w:w="1357" w:type="dxa"/>
            <w:vMerge w:val="continue"/>
            <w:tcBorders>
              <w:left w:val="single" w:color="auto" w:sz="4" w:space="0"/>
              <w:righ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746"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P≥3700</w:t>
            </w:r>
          </w:p>
        </w:tc>
        <w:tc>
          <w:tcPr>
            <w:tcW w:w="1329"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5.0</w:t>
            </w:r>
          </w:p>
        </w:tc>
        <w:tc>
          <w:tcPr>
            <w:tcW w:w="1288"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7.8</w:t>
            </w:r>
          </w:p>
        </w:tc>
        <w:tc>
          <w:tcPr>
            <w:tcW w:w="1329"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1.5</w:t>
            </w:r>
          </w:p>
        </w:tc>
        <w:tc>
          <w:tcPr>
            <w:tcW w:w="1296"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0.27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5" w:type="dxa"/>
            <w:vMerge w:val="continue"/>
            <w:tcBorders>
              <w:righ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outlineLvl w:val="1"/>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p>
        </w:tc>
        <w:tc>
          <w:tcPr>
            <w:tcW w:w="1357" w:type="dxa"/>
            <w:vMerge w:val="restart"/>
            <w:tcBorders>
              <w:left w:val="single" w:color="auto" w:sz="4" w:space="0"/>
              <w:righ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15≤SV&lt;20</w:t>
            </w:r>
          </w:p>
        </w:tc>
        <w:tc>
          <w:tcPr>
            <w:tcW w:w="1746"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P&lt;2000</w:t>
            </w:r>
          </w:p>
        </w:tc>
        <w:tc>
          <w:tcPr>
            <w:tcW w:w="1329"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5.0</w:t>
            </w:r>
          </w:p>
        </w:tc>
        <w:tc>
          <w:tcPr>
            <w:tcW w:w="1288"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8.7</w:t>
            </w:r>
          </w:p>
        </w:tc>
        <w:tc>
          <w:tcPr>
            <w:tcW w:w="1329"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1.6</w:t>
            </w:r>
          </w:p>
        </w:tc>
        <w:tc>
          <w:tcPr>
            <w:tcW w:w="1296"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0.34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5" w:type="dxa"/>
            <w:vMerge w:val="continue"/>
            <w:tcBorders>
              <w:righ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outlineLvl w:val="1"/>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p>
        </w:tc>
        <w:tc>
          <w:tcPr>
            <w:tcW w:w="1357" w:type="dxa"/>
            <w:vMerge w:val="continue"/>
            <w:tcBorders>
              <w:left w:val="single" w:color="auto" w:sz="4" w:space="0"/>
              <w:righ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746"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2000≤P&lt;3300</w:t>
            </w:r>
          </w:p>
        </w:tc>
        <w:tc>
          <w:tcPr>
            <w:tcW w:w="1329"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5.0</w:t>
            </w:r>
          </w:p>
        </w:tc>
        <w:tc>
          <w:tcPr>
            <w:tcW w:w="1288"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7.0</w:t>
            </w:r>
          </w:p>
        </w:tc>
        <w:tc>
          <w:tcPr>
            <w:tcW w:w="1329"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1.5</w:t>
            </w:r>
          </w:p>
        </w:tc>
        <w:tc>
          <w:tcPr>
            <w:tcW w:w="1296"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0.50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5" w:type="dxa"/>
            <w:vMerge w:val="continue"/>
            <w:tcBorders>
              <w:righ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outlineLvl w:val="1"/>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p>
        </w:tc>
        <w:tc>
          <w:tcPr>
            <w:tcW w:w="1357" w:type="dxa"/>
            <w:vMerge w:val="continue"/>
            <w:tcBorders>
              <w:left w:val="single" w:color="auto" w:sz="4" w:space="0"/>
              <w:righ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746"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P≥3300</w:t>
            </w:r>
          </w:p>
        </w:tc>
        <w:tc>
          <w:tcPr>
            <w:tcW w:w="1329"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5.0</w:t>
            </w:r>
          </w:p>
        </w:tc>
        <w:tc>
          <w:tcPr>
            <w:tcW w:w="1288"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9.8</w:t>
            </w:r>
          </w:p>
        </w:tc>
        <w:tc>
          <w:tcPr>
            <w:tcW w:w="1329"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1.8</w:t>
            </w:r>
          </w:p>
        </w:tc>
        <w:tc>
          <w:tcPr>
            <w:tcW w:w="1296"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0.50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5" w:type="dxa"/>
            <w:vMerge w:val="continue"/>
            <w:tcBorders>
              <w:righ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outlineLvl w:val="1"/>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p>
        </w:tc>
        <w:tc>
          <w:tcPr>
            <w:tcW w:w="1357" w:type="dxa"/>
            <w:vMerge w:val="restart"/>
            <w:tcBorders>
              <w:left w:val="single" w:color="auto" w:sz="4" w:space="0"/>
              <w:righ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20≤SV&lt;25</w:t>
            </w:r>
          </w:p>
        </w:tc>
        <w:tc>
          <w:tcPr>
            <w:tcW w:w="1746"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P&lt;2000</w:t>
            </w:r>
          </w:p>
        </w:tc>
        <w:tc>
          <w:tcPr>
            <w:tcW w:w="1329"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5.0</w:t>
            </w:r>
          </w:p>
        </w:tc>
        <w:tc>
          <w:tcPr>
            <w:tcW w:w="1288"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9.8</w:t>
            </w:r>
          </w:p>
        </w:tc>
        <w:tc>
          <w:tcPr>
            <w:tcW w:w="1329"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1.8</w:t>
            </w:r>
          </w:p>
        </w:tc>
        <w:tc>
          <w:tcPr>
            <w:tcW w:w="1296"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0.27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5" w:type="dxa"/>
            <w:vMerge w:val="continue"/>
            <w:tcBorders>
              <w:righ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outlineLvl w:val="1"/>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p>
        </w:tc>
        <w:tc>
          <w:tcPr>
            <w:tcW w:w="1357" w:type="dxa"/>
            <w:vMerge w:val="continue"/>
            <w:tcBorders>
              <w:left w:val="single" w:color="auto" w:sz="4" w:space="0"/>
              <w:righ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746"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P≥2000</w:t>
            </w:r>
          </w:p>
        </w:tc>
        <w:tc>
          <w:tcPr>
            <w:tcW w:w="1329"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5.0</w:t>
            </w:r>
          </w:p>
        </w:tc>
        <w:tc>
          <w:tcPr>
            <w:tcW w:w="1288"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9.8</w:t>
            </w:r>
          </w:p>
        </w:tc>
        <w:tc>
          <w:tcPr>
            <w:tcW w:w="1329"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1.8</w:t>
            </w:r>
          </w:p>
        </w:tc>
        <w:tc>
          <w:tcPr>
            <w:tcW w:w="1296"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0.50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5" w:type="dxa"/>
            <w:vMerge w:val="continue"/>
            <w:tcBorders>
              <w:righ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outlineLvl w:val="1"/>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p>
        </w:tc>
        <w:tc>
          <w:tcPr>
            <w:tcW w:w="1357" w:type="dxa"/>
            <w:vMerge w:val="restart"/>
            <w:tcBorders>
              <w:left w:val="single" w:color="auto" w:sz="4" w:space="0"/>
              <w:righ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25≤SV&lt;30</w:t>
            </w:r>
          </w:p>
        </w:tc>
        <w:tc>
          <w:tcPr>
            <w:tcW w:w="1746"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P&lt;2000</w:t>
            </w:r>
          </w:p>
        </w:tc>
        <w:tc>
          <w:tcPr>
            <w:tcW w:w="1329"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5.0</w:t>
            </w:r>
          </w:p>
        </w:tc>
        <w:tc>
          <w:tcPr>
            <w:tcW w:w="1288"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11.0</w:t>
            </w:r>
          </w:p>
        </w:tc>
        <w:tc>
          <w:tcPr>
            <w:tcW w:w="1329"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2.0</w:t>
            </w:r>
          </w:p>
        </w:tc>
        <w:tc>
          <w:tcPr>
            <w:tcW w:w="1296"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0.27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35" w:type="dxa"/>
            <w:vMerge w:val="continue"/>
            <w:tcBorders>
              <w:righ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outlineLvl w:val="1"/>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p>
        </w:tc>
        <w:tc>
          <w:tcPr>
            <w:tcW w:w="1357" w:type="dxa"/>
            <w:vMerge w:val="continue"/>
            <w:tcBorders>
              <w:left w:val="single" w:color="auto" w:sz="4" w:space="0"/>
              <w:righ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746"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P≥2000</w:t>
            </w:r>
          </w:p>
        </w:tc>
        <w:tc>
          <w:tcPr>
            <w:tcW w:w="1329"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5.0</w:t>
            </w:r>
          </w:p>
        </w:tc>
        <w:tc>
          <w:tcPr>
            <w:tcW w:w="1288"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11.0</w:t>
            </w:r>
          </w:p>
        </w:tc>
        <w:tc>
          <w:tcPr>
            <w:tcW w:w="1329"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2.0</w:t>
            </w:r>
          </w:p>
        </w:tc>
        <w:tc>
          <w:tcPr>
            <w:tcW w:w="1296" w:type="dxa"/>
            <w:tcBorders>
              <w:left w:val="single" w:color="auto" w:sz="4" w:space="0"/>
            </w:tcBorders>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0.50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80" w:type="dxa"/>
            <w:gridSpan w:val="7"/>
            <w:vAlign w:val="center"/>
          </w:tcPr>
          <w:p>
            <w:pPr>
              <w:keepNext/>
              <w:keepLines/>
              <w:pageBreakBefore w:val="0"/>
              <w:widowControl w:val="0"/>
              <w:kinsoku/>
              <w:wordWrap/>
              <w:overflowPunct/>
              <w:topLinePunct w:val="0"/>
              <w:autoSpaceDE/>
              <w:autoSpaceDN/>
              <w:bidi w:val="0"/>
              <w:adjustRightInd/>
              <w:snapToGrid/>
              <w:spacing w:beforeAutospacing="0" w:afterAutospacing="0" w:line="240" w:lineRule="auto"/>
              <w:ind w:firstLine="0"/>
              <w:jc w:val="both"/>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t>（1）仅适用于NG（含双燃料）船机</w:t>
            </w:r>
          </w:p>
        </w:tc>
      </w:tr>
    </w:tbl>
    <w:p>
      <w:pPr>
        <w:pStyle w:val="11"/>
        <w:pageBreakBefore w:val="0"/>
        <w:kinsoku/>
        <w:bidi w:val="0"/>
        <w:spacing w:beforeAutospacing="0" w:afterAutospacing="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1.4评价工作等级、评价范围</w:t>
      </w:r>
    </w:p>
    <w:p>
      <w:pPr>
        <w:pageBreakBefore w:val="0"/>
        <w:kinsoku/>
        <w:bidi w:val="0"/>
        <w:spacing w:beforeAutospacing="0" w:afterAutospacing="0" w:line="360" w:lineRule="auto"/>
        <w:ind w:firstLine="0"/>
        <w:outlineLvl w:val="2"/>
        <w:rPr>
          <w:rFonts w:hint="default" w:ascii="Times New Roman" w:hAnsi="Times New Roman" w:eastAsia="宋体" w:cs="Times New Roman"/>
          <w:b/>
          <w:bCs/>
          <w:color w:val="000000" w:themeColor="text1"/>
          <w:kern w:val="0"/>
          <w:sz w:val="30"/>
          <w:szCs w:val="30"/>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30"/>
          <w:szCs w:val="30"/>
          <w:lang w:val="en-US" w:eastAsia="zh-CN" w:bidi="ar-SA"/>
          <w14:textFill>
            <w14:solidFill>
              <w14:schemeClr w14:val="tx1"/>
            </w14:solidFill>
          </w14:textFill>
        </w:rPr>
        <w:t>1.4.1 评价工作等级</w:t>
      </w:r>
    </w:p>
    <w:p>
      <w:pPr>
        <w:pageBreakBefore w:val="0"/>
        <w:widowControl w:val="0"/>
        <w:kinsoku/>
        <w:bidi w:val="0"/>
        <w:spacing w:beforeAutospacing="0" w:afterAutospacing="0" w:line="480" w:lineRule="exact"/>
        <w:ind w:firstLine="480" w:firstLineChars="200"/>
        <w:jc w:val="both"/>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t>依据《环境影响评价技术导则 大气环境》(HJ2.2-2018)中5.3节工作等级的确定方法，结合项目工程分析结果，选择正常排放的主要污染物及排放参数，采用附录A推荐模型中的AERSCREEN模式计算项目污染源的最大环境影响，然后按评价工作分级判据进行分级。</w:t>
      </w:r>
    </w:p>
    <w:p>
      <w:pPr>
        <w:pageBreakBefore w:val="0"/>
        <w:widowControl w:val="0"/>
        <w:kinsoku/>
        <w:bidi w:val="0"/>
        <w:spacing w:beforeAutospacing="0" w:afterAutospacing="0" w:line="480" w:lineRule="exact"/>
        <w:ind w:firstLine="480" w:firstLineChars="200"/>
        <w:jc w:val="both"/>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t>（1） Pmax 及 D10%的确定</w:t>
      </w:r>
    </w:p>
    <w:p>
      <w:pPr>
        <w:pageBreakBefore w:val="0"/>
        <w:widowControl w:val="0"/>
        <w:kinsoku/>
        <w:bidi w:val="0"/>
        <w:spacing w:beforeAutospacing="0" w:afterAutospacing="0" w:line="480" w:lineRule="exact"/>
        <w:ind w:firstLine="480" w:firstLineChars="200"/>
        <w:jc w:val="both"/>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t>依据《环境影响评价技术导则大气环境》(HJ2.2-2018)中最大地面浓度占标率 Pi定义如下：</w:t>
      </w:r>
    </w:p>
    <w:p>
      <w:pPr>
        <w:pageBreakBefore w:val="0"/>
        <w:widowControl w:val="0"/>
        <w:kinsoku/>
        <w:bidi w:val="0"/>
        <w:spacing w:beforeAutospacing="0" w:afterAutospacing="0" w:line="480" w:lineRule="exact"/>
        <w:ind w:left="0" w:leftChars="0" w:firstLine="0" w:firstLineChars="0"/>
        <w:jc w:val="cente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t>P</w:t>
      </w:r>
      <w:r>
        <w:rPr>
          <w:rFonts w:hint="eastAsia" w:ascii="Times New Roman" w:hAnsi="Times New Roman" w:eastAsia="宋体" w:cs="Times New Roman"/>
          <w:color w:val="000000" w:themeColor="text1"/>
          <w:kern w:val="2"/>
          <w:sz w:val="24"/>
          <w:vertAlign w:val="subscript"/>
          <w:lang w:val="en-US" w:eastAsia="zh-CN" w:bidi="ar-SA"/>
          <w14:textFill>
            <w14:solidFill>
              <w14:schemeClr w14:val="tx1"/>
            </w14:solidFill>
          </w14:textFill>
        </w:rPr>
        <w:t>i</w:t>
      </w:r>
      <w: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t>=(C</w:t>
      </w:r>
      <w:r>
        <w:rPr>
          <w:rFonts w:hint="eastAsia" w:ascii="Times New Roman" w:hAnsi="Times New Roman" w:eastAsia="宋体" w:cs="Times New Roman"/>
          <w:color w:val="000000" w:themeColor="text1"/>
          <w:kern w:val="2"/>
          <w:sz w:val="24"/>
          <w:vertAlign w:val="subscript"/>
          <w:lang w:val="en-US" w:eastAsia="zh-CN" w:bidi="ar-SA"/>
          <w14:textFill>
            <w14:solidFill>
              <w14:schemeClr w14:val="tx1"/>
            </w14:solidFill>
          </w14:textFill>
        </w:rPr>
        <w:t>i</w:t>
      </w:r>
      <w: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t xml:space="preserve"> / C</w:t>
      </w:r>
      <w:r>
        <w:rPr>
          <w:rFonts w:hint="eastAsia" w:ascii="Times New Roman" w:hAnsi="Times New Roman" w:eastAsia="宋体" w:cs="Times New Roman"/>
          <w:color w:val="000000" w:themeColor="text1"/>
          <w:kern w:val="2"/>
          <w:sz w:val="24"/>
          <w:vertAlign w:val="subscript"/>
          <w:lang w:val="en-US" w:eastAsia="zh-CN" w:bidi="ar-SA"/>
          <w14:textFill>
            <w14:solidFill>
              <w14:schemeClr w14:val="tx1"/>
            </w14:solidFill>
          </w14:textFill>
        </w:rPr>
        <w:t>0i</w:t>
      </w:r>
      <w: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t>)×100%</w:t>
      </w:r>
    </w:p>
    <w:p>
      <w:pPr>
        <w:pageBreakBefore w:val="0"/>
        <w:widowControl w:val="0"/>
        <w:kinsoku/>
        <w:bidi w:val="0"/>
        <w:spacing w:beforeAutospacing="0" w:afterAutospacing="0" w:line="480" w:lineRule="exact"/>
        <w:ind w:firstLine="480" w:firstLineChars="200"/>
        <w:jc w:val="both"/>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t>式中：P</w:t>
      </w:r>
      <w:r>
        <w:rPr>
          <w:rFonts w:hint="eastAsia" w:ascii="Times New Roman" w:hAnsi="Times New Roman" w:eastAsia="宋体" w:cs="Times New Roman"/>
          <w:color w:val="000000" w:themeColor="text1"/>
          <w:kern w:val="2"/>
          <w:sz w:val="24"/>
          <w:vertAlign w:val="subscript"/>
          <w:lang w:val="en-US" w:eastAsia="zh-CN" w:bidi="ar-SA"/>
          <w14:textFill>
            <w14:solidFill>
              <w14:schemeClr w14:val="tx1"/>
            </w14:solidFill>
          </w14:textFill>
        </w:rPr>
        <w:t>i</w:t>
      </w:r>
      <w: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t>－第i污染物的最大地面质量浓度占标率，%；</w:t>
      </w:r>
    </w:p>
    <w:p>
      <w:pPr>
        <w:pageBreakBefore w:val="0"/>
        <w:widowControl w:val="0"/>
        <w:kinsoku/>
        <w:bidi w:val="0"/>
        <w:spacing w:beforeAutospacing="0" w:afterAutospacing="0" w:line="480" w:lineRule="exact"/>
        <w:ind w:firstLine="480" w:firstLineChars="200"/>
        <w:jc w:val="both"/>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t>Ci－采用估算模式计算出的第i个污染物的最大地面质量浓度，mg/m</w:t>
      </w:r>
      <w:r>
        <w:rPr>
          <w:rFonts w:hint="eastAsia" w:ascii="Times New Roman" w:hAnsi="Times New Roman" w:eastAsia="宋体" w:cs="Times New Roman"/>
          <w:color w:val="000000" w:themeColor="text1"/>
          <w:kern w:val="2"/>
          <w:sz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t>；</w:t>
      </w:r>
    </w:p>
    <w:p>
      <w:pPr>
        <w:pageBreakBefore w:val="0"/>
        <w:widowControl w:val="0"/>
        <w:kinsoku/>
        <w:bidi w:val="0"/>
        <w:spacing w:beforeAutospacing="0" w:afterAutospacing="0" w:line="480" w:lineRule="exact"/>
        <w:ind w:firstLine="480" w:firstLineChars="200"/>
        <w:jc w:val="both"/>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t>C</w:t>
      </w:r>
      <w:r>
        <w:rPr>
          <w:rFonts w:hint="eastAsia" w:ascii="Times New Roman" w:hAnsi="Times New Roman" w:eastAsia="宋体" w:cs="Times New Roman"/>
          <w:color w:val="000000" w:themeColor="text1"/>
          <w:kern w:val="2"/>
          <w:sz w:val="24"/>
          <w:vertAlign w:val="subscript"/>
          <w:lang w:val="en-US" w:eastAsia="zh-CN" w:bidi="ar-SA"/>
          <w14:textFill>
            <w14:solidFill>
              <w14:schemeClr w14:val="tx1"/>
            </w14:solidFill>
          </w14:textFill>
        </w:rPr>
        <w:t>0i</w:t>
      </w:r>
      <w: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t>－第i 个污染物的环境空气质量浓度标准，mg/m</w:t>
      </w:r>
      <w:r>
        <w:rPr>
          <w:rFonts w:hint="eastAsia" w:ascii="Times New Roman" w:hAnsi="Times New Roman" w:eastAsia="宋体" w:cs="Times New Roman"/>
          <w:color w:val="000000" w:themeColor="text1"/>
          <w:kern w:val="2"/>
          <w:sz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t>；一般选用 GB3095中1h平均重量浓度的二级浓度限值，如项目位于一类环境空气功能区，应选择相应的一级浓度限值；对该标准中未包含的污染物，使用确定的各评价因子1h平均质量浓度限值，对仅有8h平均质量浓度限值、日平均质量浓度限值或年平均质量浓度限值的，可分别按2 倍、3倍、6倍折算为1h平均质量浓度限值。</w:t>
      </w:r>
    </w:p>
    <w:p>
      <w:pPr>
        <w:pageBreakBefore w:val="0"/>
        <w:widowControl w:val="0"/>
        <w:kinsoku/>
        <w:bidi w:val="0"/>
        <w:spacing w:beforeAutospacing="0" w:afterAutospacing="0" w:line="480" w:lineRule="exact"/>
        <w:ind w:firstLine="480" w:firstLineChars="200"/>
        <w:jc w:val="both"/>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t>（2）评价等级判别表</w:t>
      </w:r>
    </w:p>
    <w:p>
      <w:pPr>
        <w:pageBreakBefore w:val="0"/>
        <w:widowControl w:val="0"/>
        <w:kinsoku/>
        <w:bidi w:val="0"/>
        <w:spacing w:beforeAutospacing="0" w:afterAutospacing="0" w:line="480" w:lineRule="exact"/>
        <w:ind w:firstLine="480" w:firstLineChars="200"/>
        <w:jc w:val="both"/>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t>评价等级按表1.4-1的分级判据进行划分。</w:t>
      </w:r>
    </w:p>
    <w:p>
      <w:pPr>
        <w:pStyle w:val="145"/>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bCs/>
          <w:color w:val="000000" w:themeColor="text1"/>
          <w:sz w:val="24"/>
          <w:szCs w:val="21"/>
          <w:highlight w:val="none"/>
          <w:lang w:val="zh-CN" w:eastAsia="zh-CN"/>
          <w14:textFill>
            <w14:solidFill>
              <w14:schemeClr w14:val="tx1"/>
            </w14:solidFill>
          </w14:textFill>
        </w:rPr>
      </w:pPr>
      <w:r>
        <w:rPr>
          <w:rFonts w:hint="default" w:ascii="Times New Roman" w:hAnsi="Times New Roman" w:eastAsia="宋体" w:cs="Times New Roman"/>
          <w:b/>
          <w:bCs/>
          <w:color w:val="000000" w:themeColor="text1"/>
          <w:sz w:val="24"/>
          <w:szCs w:val="21"/>
          <w:highlight w:val="none"/>
          <w:lang w:val="zh-CN" w:eastAsia="zh-CN"/>
          <w14:textFill>
            <w14:solidFill>
              <w14:schemeClr w14:val="tx1"/>
            </w14:solidFill>
          </w14:textFill>
        </w:rPr>
        <w:t>表</w:t>
      </w:r>
      <w:r>
        <w:rPr>
          <w:rFonts w:hint="eastAsia" w:ascii="Times New Roman" w:hAnsi="Times New Roman" w:eastAsia="宋体" w:cs="Times New Roman"/>
          <w:b/>
          <w:bCs/>
          <w:color w:val="000000" w:themeColor="text1"/>
          <w:sz w:val="24"/>
          <w:szCs w:val="21"/>
          <w:highlight w:val="none"/>
          <w:lang w:val="en-US" w:eastAsia="zh-CN"/>
          <w14:textFill>
            <w14:solidFill>
              <w14:schemeClr w14:val="tx1"/>
            </w14:solidFill>
          </w14:textFill>
        </w:rPr>
        <w:t xml:space="preserve">1.4-1  </w:t>
      </w:r>
      <w:r>
        <w:rPr>
          <w:rFonts w:hint="default" w:ascii="Times New Roman" w:hAnsi="Times New Roman" w:eastAsia="宋体" w:cs="Times New Roman"/>
          <w:b/>
          <w:bCs/>
          <w:color w:val="000000" w:themeColor="text1"/>
          <w:sz w:val="24"/>
          <w:szCs w:val="21"/>
          <w:highlight w:val="none"/>
          <w:lang w:val="zh-CN" w:eastAsia="zh-CN"/>
          <w14:textFill>
            <w14:solidFill>
              <w14:schemeClr w14:val="tx1"/>
            </w14:solidFill>
          </w14:textFill>
        </w:rPr>
        <w:t>大气环境影响评价工作等级判据</w:t>
      </w:r>
    </w:p>
    <w:tbl>
      <w:tblPr>
        <w:tblStyle w:val="33"/>
        <w:tblW w:w="9070" w:type="dxa"/>
        <w:jc w:val="center"/>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Layout w:type="fixed"/>
        <w:tblCellMar>
          <w:top w:w="0" w:type="dxa"/>
          <w:left w:w="0" w:type="dxa"/>
          <w:bottom w:w="0" w:type="dxa"/>
          <w:right w:w="0" w:type="dxa"/>
        </w:tblCellMar>
      </w:tblPr>
      <w:tblGrid>
        <w:gridCol w:w="2773"/>
        <w:gridCol w:w="6297"/>
      </w:tblGrid>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411" w:hRule="atLeast"/>
          <w:jc w:val="center"/>
        </w:trPr>
        <w:tc>
          <w:tcPr>
            <w:tcW w:w="2773" w:type="dxa"/>
            <w:tcBorders>
              <w:top w:val="single" w:color="000000" w:sz="12" w:space="0"/>
              <w:left w:val="nil"/>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right="0" w:firstLine="0"/>
              <w:jc w:val="center"/>
              <w:textAlignment w:val="auto"/>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评价工作等级</w:t>
            </w:r>
          </w:p>
        </w:tc>
        <w:tc>
          <w:tcPr>
            <w:tcW w:w="6297" w:type="dxa"/>
            <w:tcBorders>
              <w:top w:val="single" w:color="000000" w:sz="12" w:space="0"/>
              <w:left w:val="single" w:color="000000" w:sz="4" w:space="0"/>
              <w:bottom w:val="single" w:color="000000" w:sz="4" w:space="0"/>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right="0" w:firstLine="0"/>
              <w:jc w:val="center"/>
              <w:textAlignment w:val="auto"/>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评价工作等级判据</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361" w:hRule="atLeast"/>
          <w:jc w:val="center"/>
        </w:trPr>
        <w:tc>
          <w:tcPr>
            <w:tcW w:w="2773"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right="0" w:firstLine="0"/>
              <w:jc w:val="center"/>
              <w:textAlignment w:val="auto"/>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一级</w:t>
            </w:r>
          </w:p>
        </w:tc>
        <w:tc>
          <w:tcPr>
            <w:tcW w:w="629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right="0" w:firstLine="0"/>
              <w:jc w:val="center"/>
              <w:textAlignment w:val="auto"/>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P</w:t>
            </w:r>
            <w:r>
              <w:rPr>
                <w:rFonts w:hint="default" w:ascii="Times New Roman" w:hAnsi="Times New Roman" w:eastAsia="宋体" w:cs="Times New Roman"/>
                <w:color w:val="000000" w:themeColor="text1"/>
                <w:kern w:val="2"/>
                <w:sz w:val="21"/>
                <w:szCs w:val="21"/>
                <w:vertAlign w:val="subscript"/>
                <w:lang w:val="en-US" w:eastAsia="zh-CN" w:bidi="ar"/>
                <w14:textFill>
                  <w14:solidFill>
                    <w14:schemeClr w14:val="tx1"/>
                  </w14:solidFill>
                </w14:textFill>
              </w:rPr>
              <w:t>max</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≥10%</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394" w:hRule="atLeast"/>
          <w:jc w:val="center"/>
        </w:trPr>
        <w:tc>
          <w:tcPr>
            <w:tcW w:w="2773" w:type="dxa"/>
            <w:tcBorders>
              <w:top w:val="single" w:color="000000" w:sz="4" w:space="0"/>
              <w:left w:val="nil"/>
              <w:bottom w:val="single" w:color="000000" w:sz="4"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right="0" w:firstLine="0"/>
              <w:jc w:val="center"/>
              <w:textAlignment w:val="auto"/>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二级</w:t>
            </w:r>
          </w:p>
        </w:tc>
        <w:tc>
          <w:tcPr>
            <w:tcW w:w="6297" w:type="dxa"/>
            <w:tcBorders>
              <w:top w:val="single" w:color="000000" w:sz="4" w:space="0"/>
              <w:left w:val="single" w:color="000000" w:sz="4" w:space="0"/>
              <w:bottom w:val="single" w:color="000000" w:sz="4" w:space="0"/>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right="0" w:firstLine="0"/>
              <w:jc w:val="center"/>
              <w:textAlignment w:val="auto"/>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1%≤P</w:t>
            </w:r>
            <w:r>
              <w:rPr>
                <w:rFonts w:hint="default" w:ascii="Times New Roman" w:hAnsi="Times New Roman" w:eastAsia="宋体" w:cs="Times New Roman"/>
                <w:color w:val="000000" w:themeColor="text1"/>
                <w:kern w:val="2"/>
                <w:sz w:val="21"/>
                <w:szCs w:val="21"/>
                <w:vertAlign w:val="subscript"/>
                <w:lang w:val="en-US" w:eastAsia="zh-CN" w:bidi="ar"/>
                <w14:textFill>
                  <w14:solidFill>
                    <w14:schemeClr w14:val="tx1"/>
                  </w14:solidFill>
                </w14:textFill>
              </w:rPr>
              <w:t>max</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&lt;10%</w:t>
            </w:r>
          </w:p>
        </w:tc>
      </w:tr>
      <w:tr>
        <w:tblPrEx>
          <w:tblBorders>
            <w:top w:val="single" w:color="000000" w:sz="12" w:space="0"/>
            <w:left w:val="none" w:color="auto" w:sz="6" w:space="0"/>
            <w:bottom w:val="single" w:color="000000" w:sz="12" w:space="0"/>
            <w:right w:val="none" w:color="auto" w:sz="6" w:space="0"/>
            <w:insideH w:val="single" w:color="000000" w:sz="4" w:space="0"/>
            <w:insideV w:val="single" w:color="000000" w:sz="4" w:space="0"/>
          </w:tblBorders>
          <w:tblCellMar>
            <w:top w:w="0" w:type="dxa"/>
            <w:left w:w="0" w:type="dxa"/>
            <w:bottom w:w="0" w:type="dxa"/>
            <w:right w:w="0" w:type="dxa"/>
          </w:tblCellMar>
        </w:tblPrEx>
        <w:trPr>
          <w:trHeight w:val="386" w:hRule="atLeast"/>
          <w:jc w:val="center"/>
        </w:trPr>
        <w:tc>
          <w:tcPr>
            <w:tcW w:w="2773" w:type="dxa"/>
            <w:tcBorders>
              <w:top w:val="single" w:color="000000" w:sz="4" w:space="0"/>
              <w:left w:val="nil"/>
              <w:bottom w:val="single" w:color="000000" w:sz="12" w:space="0"/>
              <w:right w:val="single" w:color="000000"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right="0" w:firstLine="0"/>
              <w:jc w:val="center"/>
              <w:textAlignment w:val="auto"/>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三级</w:t>
            </w:r>
          </w:p>
        </w:tc>
        <w:tc>
          <w:tcPr>
            <w:tcW w:w="6297" w:type="dxa"/>
            <w:tcBorders>
              <w:top w:val="single" w:color="000000" w:sz="4" w:space="0"/>
              <w:left w:val="single" w:color="000000" w:sz="4" w:space="0"/>
              <w:bottom w:val="single" w:color="000000" w:sz="12" w:space="0"/>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ind w:left="0" w:right="0" w:firstLine="0"/>
              <w:jc w:val="center"/>
              <w:textAlignment w:val="auto"/>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P</w:t>
            </w:r>
            <w:r>
              <w:rPr>
                <w:rFonts w:hint="default" w:ascii="Times New Roman" w:hAnsi="Times New Roman" w:eastAsia="宋体" w:cs="Times New Roman"/>
                <w:color w:val="000000" w:themeColor="text1"/>
                <w:kern w:val="2"/>
                <w:sz w:val="21"/>
                <w:szCs w:val="21"/>
                <w:vertAlign w:val="subscript"/>
                <w:lang w:val="en-US" w:eastAsia="zh-CN" w:bidi="ar"/>
                <w14:textFill>
                  <w14:solidFill>
                    <w14:schemeClr w14:val="tx1"/>
                  </w14:solidFill>
                </w14:textFill>
              </w:rPr>
              <w:t>max</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&lt;1%</w:t>
            </w:r>
          </w:p>
        </w:tc>
      </w:tr>
    </w:tbl>
    <w:p>
      <w:pPr>
        <w:pageBreakBefore w:val="0"/>
        <w:widowControl w:val="0"/>
        <w:kinsoku/>
        <w:bidi w:val="0"/>
        <w:spacing w:beforeAutospacing="0" w:afterAutospacing="0" w:line="480" w:lineRule="exact"/>
        <w:ind w:firstLine="480" w:firstLineChars="200"/>
        <w:jc w:val="both"/>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t>（3）污染物评价标准</w:t>
      </w:r>
    </w:p>
    <w:p>
      <w:pPr>
        <w:pageBreakBefore w:val="0"/>
        <w:widowControl w:val="0"/>
        <w:kinsoku/>
        <w:bidi w:val="0"/>
        <w:spacing w:beforeAutospacing="0" w:afterAutospacing="0" w:line="480" w:lineRule="exact"/>
        <w:ind w:firstLine="480" w:firstLineChars="200"/>
        <w:jc w:val="both"/>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t>污染物评价标准见表1.4-2。</w:t>
      </w:r>
    </w:p>
    <w:p>
      <w:pPr>
        <w:pStyle w:val="145"/>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240" w:lineRule="auto"/>
        <w:ind w:left="0" w:leftChars="0"/>
        <w:jc w:val="center"/>
        <w:textAlignment w:val="auto"/>
        <w:outlineLvl w:val="9"/>
        <w:rPr>
          <w:rFonts w:hint="default" w:ascii="Times New Roman" w:hAnsi="Times New Roman" w:eastAsia="宋体" w:cs="Times New Roman"/>
          <w:b/>
          <w:bCs/>
          <w:color w:val="000000" w:themeColor="text1"/>
          <w:sz w:val="24"/>
          <w:szCs w:val="21"/>
          <w:highlight w:val="none"/>
          <w:lang w:val="zh-CN" w:eastAsia="zh-CN"/>
          <w14:textFill>
            <w14:solidFill>
              <w14:schemeClr w14:val="tx1"/>
            </w14:solidFill>
          </w14:textFill>
        </w:rPr>
      </w:pPr>
      <w:r>
        <w:rPr>
          <w:rFonts w:hint="eastAsia" w:ascii="Times New Roman" w:hAnsi="Times New Roman" w:eastAsia="宋体" w:cs="Times New Roman"/>
          <w:b/>
          <w:bCs/>
          <w:color w:val="000000" w:themeColor="text1"/>
          <w:sz w:val="24"/>
          <w:szCs w:val="21"/>
          <w:highlight w:val="none"/>
          <w:lang w:val="zh-CN" w:eastAsia="zh-CN"/>
          <w14:textFill>
            <w14:solidFill>
              <w14:schemeClr w14:val="tx1"/>
            </w14:solidFill>
          </w14:textFill>
        </w:rPr>
        <w:t>表</w:t>
      </w:r>
      <w:r>
        <w:rPr>
          <w:rFonts w:hint="eastAsia" w:ascii="Times New Roman" w:hAnsi="Times New Roman" w:eastAsia="宋体" w:cs="Times New Roman"/>
          <w:b/>
          <w:bCs/>
          <w:color w:val="000000" w:themeColor="text1"/>
          <w:sz w:val="24"/>
          <w:szCs w:val="21"/>
          <w:highlight w:val="none"/>
          <w:lang w:val="en-US" w:eastAsia="zh-CN"/>
          <w14:textFill>
            <w14:solidFill>
              <w14:schemeClr w14:val="tx1"/>
            </w14:solidFill>
          </w14:textFill>
        </w:rPr>
        <w:t xml:space="preserve">1.4-2 </w:t>
      </w:r>
      <w:r>
        <w:rPr>
          <w:rFonts w:hint="default" w:ascii="Times New Roman" w:hAnsi="Times New Roman" w:eastAsia="宋体" w:cs="Times New Roman"/>
          <w:b/>
          <w:bCs/>
          <w:color w:val="000000" w:themeColor="text1"/>
          <w:sz w:val="24"/>
          <w:szCs w:val="21"/>
          <w:highlight w:val="none"/>
          <w:lang w:val="zh-CN" w:eastAsia="zh-CN"/>
          <w14:textFill>
            <w14:solidFill>
              <w14:schemeClr w14:val="tx1"/>
            </w14:solidFill>
          </w14:textFill>
        </w:rPr>
        <w:t xml:space="preserve"> </w:t>
      </w:r>
      <w:r>
        <w:rPr>
          <w:rFonts w:hint="eastAsia" w:ascii="Times New Roman" w:hAnsi="Times New Roman" w:eastAsia="宋体" w:cs="Times New Roman"/>
          <w:b/>
          <w:bCs/>
          <w:color w:val="000000" w:themeColor="text1"/>
          <w:sz w:val="24"/>
          <w:szCs w:val="21"/>
          <w:highlight w:val="none"/>
          <w:lang w:val="zh-CN" w:eastAsia="zh-CN"/>
          <w14:textFill>
            <w14:solidFill>
              <w14:schemeClr w14:val="tx1"/>
            </w14:solidFill>
          </w14:textFill>
        </w:rPr>
        <w:t>污染物评价标准</w:t>
      </w:r>
    </w:p>
    <w:tbl>
      <w:tblPr>
        <w:tblStyle w:val="33"/>
        <w:tblW w:w="9284" w:type="dxa"/>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fixed"/>
        <w:tblCellMar>
          <w:top w:w="0" w:type="dxa"/>
          <w:left w:w="108" w:type="dxa"/>
          <w:bottom w:w="0" w:type="dxa"/>
          <w:right w:w="108" w:type="dxa"/>
        </w:tblCellMar>
      </w:tblPr>
      <w:tblGrid>
        <w:gridCol w:w="1411"/>
        <w:gridCol w:w="1276"/>
        <w:gridCol w:w="1562"/>
        <w:gridCol w:w="2020"/>
        <w:gridCol w:w="3015"/>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1" w:type="dxa"/>
            <w:tcBorders>
              <w:top w:val="single" w:color="auto" w:sz="12"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jc w:val="center"/>
              <w:textAlignment w:val="auto"/>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污染物名称</w:t>
            </w:r>
          </w:p>
        </w:tc>
        <w:tc>
          <w:tcPr>
            <w:tcW w:w="1276" w:type="dxa"/>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jc w:val="center"/>
              <w:textAlignment w:val="auto"/>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功能区</w:t>
            </w:r>
          </w:p>
        </w:tc>
        <w:tc>
          <w:tcPr>
            <w:tcW w:w="1562" w:type="dxa"/>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jc w:val="center"/>
              <w:textAlignment w:val="auto"/>
              <w:rPr>
                <w:rFonts w:hint="default" w:ascii="Times New Roman" w:hAnsi="Times New Roman" w:eastAsia="宋体" w:cs="Times New Roman"/>
                <w:color w:val="000000" w:themeColor="text1"/>
                <w:szCs w:val="21"/>
                <w:lang w:val="en-US"/>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取值时间</w:t>
            </w:r>
          </w:p>
        </w:tc>
        <w:tc>
          <w:tcPr>
            <w:tcW w:w="2020" w:type="dxa"/>
            <w:tcBorders>
              <w:top w:val="single" w:color="auto" w:sz="12"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jc w:val="center"/>
              <w:textAlignment w:val="auto"/>
              <w:rPr>
                <w:rFonts w:hint="default" w:ascii="Times New Roman" w:hAnsi="Times New Roman" w:eastAsia="宋体" w:cs="Times New Roman"/>
                <w:color w:val="000000" w:themeColor="text1"/>
                <w:szCs w:val="21"/>
                <w:lang w:val="en-US"/>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标准值</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(μg/m</w:t>
            </w:r>
            <w:r>
              <w:rPr>
                <w:rFonts w:hint="default" w:ascii="Times New Roman" w:hAnsi="Times New Roman" w:eastAsia="宋体" w:cs="Times New Roman"/>
                <w:color w:val="000000" w:themeColor="text1"/>
                <w:kern w:val="2"/>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w:t>
            </w:r>
          </w:p>
        </w:tc>
        <w:tc>
          <w:tcPr>
            <w:tcW w:w="3015" w:type="dxa"/>
            <w:tcBorders>
              <w:top w:val="single" w:color="auto" w:sz="12" w:space="0"/>
              <w:left w:val="single" w:color="auto" w:sz="4" w:space="0"/>
              <w:bottom w:val="single" w:color="auto" w:sz="4" w:space="0"/>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jc w:val="center"/>
              <w:textAlignment w:val="auto"/>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标准来源</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11" w:type="dxa"/>
            <w:tcBorders>
              <w:top w:val="single" w:color="auto" w:sz="4" w:space="0"/>
              <w:left w:val="nil"/>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jc w:val="center"/>
              <w:textAlignment w:val="auto"/>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TSP</w:t>
            </w:r>
          </w:p>
        </w:tc>
        <w:tc>
          <w:tcPr>
            <w:tcW w:w="127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jc w:val="center"/>
              <w:textAlignment w:val="auto"/>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二类限区</w:t>
            </w:r>
          </w:p>
        </w:tc>
        <w:tc>
          <w:tcPr>
            <w:tcW w:w="15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jc w:val="center"/>
              <w:textAlignment w:val="auto"/>
              <w:rPr>
                <w:rFonts w:hint="default" w:ascii="Times New Roman" w:hAnsi="Times New Roman" w:eastAsia="宋体" w:cs="Times New Roman"/>
                <w:color w:val="000000" w:themeColor="text1"/>
                <w:spacing w:val="10"/>
                <w:szCs w:val="21"/>
                <w:lang w:val="en-US"/>
                <w14:textFill>
                  <w14:solidFill>
                    <w14:schemeClr w14:val="tx1"/>
                  </w14:solidFill>
                </w14:textFill>
              </w:rPr>
            </w:pPr>
            <w:r>
              <w:rPr>
                <w:rFonts w:hint="eastAsia" w:ascii="Times New Roman" w:hAnsi="Times New Roman" w:eastAsia="宋体" w:cs="Times New Roman"/>
                <w:color w:val="000000" w:themeColor="text1"/>
                <w:spacing w:val="10"/>
                <w:kern w:val="2"/>
                <w:sz w:val="21"/>
                <w:szCs w:val="21"/>
                <w:lang w:val="en-US" w:eastAsia="zh-CN" w:bidi="ar"/>
                <w14:textFill>
                  <w14:solidFill>
                    <w14:schemeClr w14:val="tx1"/>
                  </w14:solidFill>
                </w14:textFill>
              </w:rPr>
              <w:t>小时平均</w:t>
            </w:r>
          </w:p>
        </w:tc>
        <w:tc>
          <w:tcPr>
            <w:tcW w:w="2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jc w:val="center"/>
              <w:textAlignment w:val="auto"/>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900</w:t>
            </w:r>
          </w:p>
        </w:tc>
        <w:tc>
          <w:tcPr>
            <w:tcW w:w="3015" w:type="dxa"/>
            <w:tcBorders>
              <w:top w:val="single" w:color="auto" w:sz="4" w:space="0"/>
              <w:left w:val="single" w:color="auto" w:sz="4" w:space="0"/>
              <w:bottom w:val="single" w:color="auto" w:sz="4" w:space="0"/>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jc w:val="center"/>
              <w:textAlignment w:val="auto"/>
              <w:rPr>
                <w:rFonts w:hint="default" w:ascii="Times New Roman" w:hAnsi="Times New Roman" w:eastAsia="宋体" w:cs="Times New Roman"/>
                <w:color w:val="000000" w:themeColor="text1"/>
                <w:szCs w:val="21"/>
                <w:lang w:val="en-US"/>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《环境空气质量标准》(GB3095-2012)</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84" w:type="dxa"/>
            <w:gridSpan w:val="5"/>
            <w:tcBorders>
              <w:top w:val="single" w:color="auto" w:sz="4" w:space="0"/>
              <w:left w:val="nil"/>
              <w:bottom w:val="single" w:color="auto" w:sz="12" w:space="0"/>
              <w:right w:val="nil"/>
            </w:tcBorders>
            <w:vAlign w:val="center"/>
          </w:tcPr>
          <w:p>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240" w:lineRule="auto"/>
              <w:ind w:left="0" w:right="0" w:firstLine="0"/>
              <w:jc w:val="both"/>
              <w:textAlignment w:val="auto"/>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本项目评价因子TSP的日均</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值为300μg/m</w:t>
            </w:r>
            <w:r>
              <w:rPr>
                <w:rFonts w:hint="default" w:ascii="Times New Roman" w:hAnsi="Times New Roman" w:eastAsia="宋体" w:cs="Times New Roman"/>
                <w:color w:val="000000" w:themeColor="text1"/>
                <w:kern w:val="2"/>
                <w:sz w:val="21"/>
                <w:szCs w:val="21"/>
                <w:vertAlign w:val="superscript"/>
                <w:lang w:val="en-US" w:eastAsia="zh-CN" w:bidi="ar"/>
                <w14:textFill>
                  <w14:solidFill>
                    <w14:schemeClr w14:val="tx1"/>
                  </w14:solidFill>
                </w14:textFill>
              </w:rPr>
              <w:t>3</w:t>
            </w:r>
            <w:r>
              <w:rPr>
                <w:rFonts w:hint="eastAsia" w:ascii="Times New Roman" w:hAnsi="Times New Roman" w:eastAsia="宋体" w:cs="Times New Roman"/>
                <w:color w:val="000000" w:themeColor="text1"/>
                <w:kern w:val="2"/>
                <w:sz w:val="21"/>
                <w:szCs w:val="21"/>
                <w:lang w:val="en-US" w:eastAsia="zh-CN" w:bidi="ar"/>
                <w14:textFill>
                  <w14:solidFill>
                    <w14:schemeClr w14:val="tx1"/>
                  </w14:solidFill>
                </w14:textFill>
              </w:rPr>
              <w:t>，按其三倍折算为1h平均质量浓度限值，即900</w:t>
            </w:r>
            <w: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t>μg/m</w:t>
            </w:r>
            <w:r>
              <w:rPr>
                <w:rFonts w:hint="default" w:ascii="Times New Roman" w:hAnsi="Times New Roman" w:eastAsia="宋体" w:cs="Times New Roman"/>
                <w:color w:val="000000" w:themeColor="text1"/>
                <w:kern w:val="2"/>
                <w:sz w:val="21"/>
                <w:szCs w:val="21"/>
                <w:vertAlign w:val="superscript"/>
                <w:lang w:val="en-US" w:eastAsia="zh-CN" w:bidi="ar"/>
                <w14:textFill>
                  <w14:solidFill>
                    <w14:schemeClr w14:val="tx1"/>
                  </w14:solidFill>
                </w14:textFill>
              </w:rPr>
              <w:t>3</w:t>
            </w:r>
          </w:p>
        </w:tc>
      </w:tr>
    </w:tbl>
    <w:p>
      <w:pPr>
        <w:pageBreakBefore w:val="0"/>
        <w:widowControl w:val="0"/>
        <w:kinsoku/>
        <w:bidi w:val="0"/>
        <w:spacing w:beforeAutospacing="0" w:afterAutospacing="0" w:line="480" w:lineRule="exact"/>
        <w:ind w:firstLine="480" w:firstLineChars="200"/>
        <w:jc w:val="both"/>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t>（4）污染源参数</w:t>
      </w:r>
    </w:p>
    <w:p>
      <w:pPr>
        <w:pageBreakBefore w:val="0"/>
        <w:widowControl w:val="0"/>
        <w:kinsoku/>
        <w:bidi w:val="0"/>
        <w:spacing w:beforeAutospacing="0" w:afterAutospacing="0" w:line="480" w:lineRule="exact"/>
        <w:ind w:firstLine="480" w:firstLineChars="200"/>
        <w:jc w:val="both"/>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t>本项目废气源参数和污染物排放情况见表1.4-3。</w:t>
      </w:r>
    </w:p>
    <w:p>
      <w:pPr>
        <w:pStyle w:val="70"/>
        <w:pageBreakBefore w:val="0"/>
        <w:kinsoku/>
        <w:bidi w:val="0"/>
        <w:spacing w:beforeAutospacing="0" w:afterAutospacing="0"/>
        <w:outlineLvl w:val="9"/>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表1.4-3 大气污染源排放参数表</w:t>
      </w:r>
    </w:p>
    <w:tbl>
      <w:tblPr>
        <w:tblStyle w:val="33"/>
        <w:tblW w:w="905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18"/>
        <w:gridCol w:w="1205"/>
        <w:gridCol w:w="1921"/>
        <w:gridCol w:w="2367"/>
        <w:gridCol w:w="17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18" w:type="dxa"/>
            <w:tcBorders>
              <w:top w:val="single" w:color="auto" w:sz="12" w:space="0"/>
            </w:tcBorders>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 w:val="21"/>
                <w:szCs w:val="21"/>
                <w:highlight w:val="none"/>
                <w14:textFill>
                  <w14:solidFill>
                    <w14:schemeClr w14:val="tx1"/>
                  </w14:solidFill>
                </w14:textFill>
              </w:rPr>
            </w:pPr>
            <w:r>
              <w:rPr>
                <w:rFonts w:hint="eastAsia" w:ascii="Times New Roman" w:hAnsi="Times New Roman" w:eastAsia="宋体"/>
                <w:bCs/>
                <w:color w:val="000000" w:themeColor="text1"/>
                <w:sz w:val="21"/>
                <w:szCs w:val="21"/>
                <w:highlight w:val="none"/>
                <w14:textFill>
                  <w14:solidFill>
                    <w14:schemeClr w14:val="tx1"/>
                  </w14:solidFill>
                </w14:textFill>
              </w:rPr>
              <w:t>排放源</w:t>
            </w:r>
          </w:p>
        </w:tc>
        <w:tc>
          <w:tcPr>
            <w:tcW w:w="1205" w:type="dxa"/>
            <w:tcBorders>
              <w:top w:val="single" w:color="auto" w:sz="12" w:space="0"/>
            </w:tcBorders>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 w:val="21"/>
                <w:szCs w:val="21"/>
                <w:highlight w:val="none"/>
                <w14:textFill>
                  <w14:solidFill>
                    <w14:schemeClr w14:val="tx1"/>
                  </w14:solidFill>
                </w14:textFill>
              </w:rPr>
            </w:pPr>
            <w:r>
              <w:rPr>
                <w:rFonts w:hint="eastAsia" w:ascii="Times New Roman" w:hAnsi="Times New Roman" w:eastAsia="宋体"/>
                <w:bCs/>
                <w:color w:val="000000" w:themeColor="text1"/>
                <w:sz w:val="21"/>
                <w:szCs w:val="21"/>
                <w:highlight w:val="none"/>
                <w14:textFill>
                  <w14:solidFill>
                    <w14:schemeClr w14:val="tx1"/>
                  </w14:solidFill>
                </w14:textFill>
              </w:rPr>
              <w:t>污染物</w:t>
            </w:r>
          </w:p>
        </w:tc>
        <w:tc>
          <w:tcPr>
            <w:tcW w:w="1921" w:type="dxa"/>
            <w:tcBorders>
              <w:top w:val="single" w:color="auto" w:sz="12" w:space="0"/>
            </w:tcBorders>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 w:val="21"/>
                <w:szCs w:val="21"/>
                <w:highlight w:val="none"/>
                <w14:textFill>
                  <w14:solidFill>
                    <w14:schemeClr w14:val="tx1"/>
                  </w14:solidFill>
                </w14:textFill>
              </w:rPr>
            </w:pPr>
            <w:r>
              <w:rPr>
                <w:rFonts w:hint="eastAsia" w:ascii="Times New Roman" w:hAnsi="Times New Roman" w:eastAsia="宋体"/>
                <w:bCs/>
                <w:color w:val="000000" w:themeColor="text1"/>
                <w:sz w:val="21"/>
                <w:szCs w:val="21"/>
                <w:highlight w:val="none"/>
                <w14:textFill>
                  <w14:solidFill>
                    <w14:schemeClr w14:val="tx1"/>
                  </w14:solidFill>
                </w14:textFill>
              </w:rPr>
              <w:t>排放量</w:t>
            </w:r>
            <w:r>
              <w:rPr>
                <w:rFonts w:hint="eastAsia" w:ascii="Times New Roman" w:hAnsi="Times New Roman" w:eastAsia="宋体"/>
                <w:bCs/>
                <w:color w:val="000000" w:themeColor="text1"/>
                <w:sz w:val="21"/>
                <w:szCs w:val="21"/>
                <w:highlight w:val="none"/>
                <w:lang w:eastAsia="zh-CN"/>
                <w14:textFill>
                  <w14:solidFill>
                    <w14:schemeClr w14:val="tx1"/>
                  </w14:solidFill>
                </w14:textFill>
              </w:rPr>
              <w:t>(</w:t>
            </w:r>
            <w:r>
              <w:rPr>
                <w:rFonts w:ascii="Times New Roman" w:hAnsi="Times New Roman" w:eastAsia="宋体"/>
                <w:bCs/>
                <w:color w:val="000000" w:themeColor="text1"/>
                <w:sz w:val="21"/>
                <w:szCs w:val="21"/>
                <w:highlight w:val="none"/>
                <w14:textFill>
                  <w14:solidFill>
                    <w14:schemeClr w14:val="tx1"/>
                  </w14:solidFill>
                </w14:textFill>
              </w:rPr>
              <w:t>t/a)</w:t>
            </w:r>
          </w:p>
        </w:tc>
        <w:tc>
          <w:tcPr>
            <w:tcW w:w="2367" w:type="dxa"/>
            <w:tcBorders>
              <w:top w:val="single" w:color="auto" w:sz="12" w:space="0"/>
            </w:tcBorders>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 w:val="21"/>
                <w:szCs w:val="21"/>
                <w:highlight w:val="none"/>
                <w14:textFill>
                  <w14:solidFill>
                    <w14:schemeClr w14:val="tx1"/>
                  </w14:solidFill>
                </w14:textFill>
              </w:rPr>
            </w:pPr>
            <w:r>
              <w:rPr>
                <w:rFonts w:hint="eastAsia" w:ascii="Times New Roman" w:hAnsi="Times New Roman" w:eastAsia="宋体"/>
                <w:bCs/>
                <w:color w:val="000000" w:themeColor="text1"/>
                <w:sz w:val="21"/>
                <w:szCs w:val="21"/>
                <w:highlight w:val="none"/>
                <w14:textFill>
                  <w14:solidFill>
                    <w14:schemeClr w14:val="tx1"/>
                  </w14:solidFill>
                </w14:textFill>
              </w:rPr>
              <w:t>面源长度（</w:t>
            </w:r>
            <w:r>
              <w:rPr>
                <w:rFonts w:ascii="Times New Roman" w:hAnsi="Times New Roman" w:eastAsia="宋体"/>
                <w:bCs/>
                <w:color w:val="000000" w:themeColor="text1"/>
                <w:sz w:val="21"/>
                <w:szCs w:val="21"/>
                <w:highlight w:val="none"/>
                <w14:textFill>
                  <w14:solidFill>
                    <w14:schemeClr w14:val="tx1"/>
                  </w14:solidFill>
                </w14:textFill>
              </w:rPr>
              <w:t>m</w:t>
            </w:r>
            <w:r>
              <w:rPr>
                <w:rFonts w:hint="eastAsia" w:ascii="Times New Roman" w:hAnsi="Times New Roman" w:eastAsia="宋体"/>
                <w:bCs/>
                <w:color w:val="000000" w:themeColor="text1"/>
                <w:sz w:val="21"/>
                <w:szCs w:val="21"/>
                <w:highlight w:val="none"/>
                <w14:textFill>
                  <w14:solidFill>
                    <w14:schemeClr w14:val="tx1"/>
                  </w14:solidFill>
                </w14:textFill>
              </w:rPr>
              <w:t>）</w:t>
            </w:r>
          </w:p>
        </w:tc>
        <w:tc>
          <w:tcPr>
            <w:tcW w:w="1745" w:type="dxa"/>
            <w:tcBorders>
              <w:top w:val="single" w:color="auto" w:sz="12" w:space="0"/>
            </w:tcBorders>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 w:val="21"/>
                <w:szCs w:val="21"/>
                <w:highlight w:val="none"/>
                <w14:textFill>
                  <w14:solidFill>
                    <w14:schemeClr w14:val="tx1"/>
                  </w14:solidFill>
                </w14:textFill>
              </w:rPr>
            </w:pPr>
            <w:r>
              <w:rPr>
                <w:rFonts w:hint="eastAsia" w:ascii="Times New Roman" w:hAnsi="Times New Roman" w:eastAsia="宋体"/>
                <w:bCs/>
                <w:color w:val="000000" w:themeColor="text1"/>
                <w:sz w:val="21"/>
                <w:szCs w:val="21"/>
                <w:highlight w:val="none"/>
                <w14:textFill>
                  <w14:solidFill>
                    <w14:schemeClr w14:val="tx1"/>
                  </w14:solidFill>
                </w14:textFill>
              </w:rPr>
              <w:t>面源宽度（</w:t>
            </w:r>
            <w:r>
              <w:rPr>
                <w:rFonts w:ascii="Times New Roman" w:hAnsi="Times New Roman" w:eastAsia="宋体"/>
                <w:bCs/>
                <w:color w:val="000000" w:themeColor="text1"/>
                <w:sz w:val="21"/>
                <w:szCs w:val="21"/>
                <w:highlight w:val="none"/>
                <w14:textFill>
                  <w14:solidFill>
                    <w14:schemeClr w14:val="tx1"/>
                  </w14:solidFill>
                </w14:textFill>
              </w:rPr>
              <w:t>m</w:t>
            </w:r>
            <w:r>
              <w:rPr>
                <w:rFonts w:hint="eastAsia" w:ascii="Times New Roman" w:hAnsi="Times New Roman" w:eastAsia="宋体"/>
                <w:bCs/>
                <w:color w:val="000000" w:themeColor="text1"/>
                <w:sz w:val="21"/>
                <w:szCs w:val="21"/>
                <w:highlight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18" w:type="dxa"/>
            <w:tcBorders>
              <w:bottom w:val="single" w:color="auto" w:sz="12" w:space="0"/>
            </w:tcBorders>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 w:val="21"/>
                <w:szCs w:val="21"/>
                <w:highlight w:val="none"/>
                <w14:textFill>
                  <w14:solidFill>
                    <w14:schemeClr w14:val="tx1"/>
                  </w14:solidFill>
                </w14:textFill>
              </w:rPr>
            </w:pPr>
            <w:r>
              <w:rPr>
                <w:rFonts w:hint="eastAsia" w:ascii="Times New Roman" w:hAnsi="Times New Roman" w:eastAsia="宋体"/>
                <w:bCs/>
                <w:color w:val="000000" w:themeColor="text1"/>
                <w:sz w:val="21"/>
                <w:szCs w:val="21"/>
                <w:highlight w:val="none"/>
                <w14:textFill>
                  <w14:solidFill>
                    <w14:schemeClr w14:val="tx1"/>
                  </w14:solidFill>
                </w14:textFill>
              </w:rPr>
              <w:t>散货堆场</w:t>
            </w:r>
          </w:p>
        </w:tc>
        <w:tc>
          <w:tcPr>
            <w:tcW w:w="1205" w:type="dxa"/>
            <w:tcBorders>
              <w:bottom w:val="single" w:color="auto" w:sz="12" w:space="0"/>
            </w:tcBorders>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 w:val="21"/>
                <w:szCs w:val="21"/>
                <w:highlight w:val="none"/>
                <w14:textFill>
                  <w14:solidFill>
                    <w14:schemeClr w14:val="tx1"/>
                  </w14:solidFill>
                </w14:textFill>
              </w:rPr>
            </w:pPr>
            <w:r>
              <w:rPr>
                <w:rFonts w:hint="eastAsia" w:ascii="Times New Roman" w:hAnsi="Times New Roman" w:eastAsia="宋体"/>
                <w:bCs/>
                <w:color w:val="000000" w:themeColor="text1"/>
                <w:sz w:val="21"/>
                <w:szCs w:val="21"/>
                <w:highlight w:val="none"/>
                <w14:textFill>
                  <w14:solidFill>
                    <w14:schemeClr w14:val="tx1"/>
                  </w14:solidFill>
                </w14:textFill>
              </w:rPr>
              <w:t>颗粒物</w:t>
            </w:r>
          </w:p>
        </w:tc>
        <w:tc>
          <w:tcPr>
            <w:tcW w:w="1921" w:type="dxa"/>
            <w:tcBorders>
              <w:bottom w:val="single" w:color="auto" w:sz="12" w:space="0"/>
            </w:tcBorders>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default"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2.472</w:t>
            </w:r>
          </w:p>
        </w:tc>
        <w:tc>
          <w:tcPr>
            <w:tcW w:w="2367" w:type="dxa"/>
            <w:tcBorders>
              <w:bottom w:val="single" w:color="auto" w:sz="12" w:space="0"/>
            </w:tcBorders>
            <w:vAlign w:val="center"/>
          </w:tcPr>
          <w:p>
            <w:pPr>
              <w:pStyle w:val="108"/>
              <w:keepNext w:val="0"/>
              <w:keepLines w:val="0"/>
              <w:pageBreakBefore w:val="0"/>
              <w:kinsoku/>
              <w:wordWrap/>
              <w:overflowPunct/>
              <w:topLinePunct w:val="0"/>
              <w:bidi w:val="0"/>
              <w:adjustRightInd w:val="0"/>
              <w:snapToGrid w:val="0"/>
              <w:spacing w:beforeAutospacing="0" w:afterAutospacing="0"/>
              <w:textAlignment w:val="auto"/>
              <w:outlineLvl w:val="9"/>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100</w:t>
            </w:r>
          </w:p>
        </w:tc>
        <w:tc>
          <w:tcPr>
            <w:tcW w:w="1745" w:type="dxa"/>
            <w:tcBorders>
              <w:bottom w:val="single" w:color="auto" w:sz="12" w:space="0"/>
            </w:tcBorders>
            <w:vAlign w:val="center"/>
          </w:tcPr>
          <w:p>
            <w:pPr>
              <w:pStyle w:val="108"/>
              <w:keepNext w:val="0"/>
              <w:keepLines w:val="0"/>
              <w:pageBreakBefore w:val="0"/>
              <w:kinsoku/>
              <w:wordWrap/>
              <w:overflowPunct/>
              <w:topLinePunct w:val="0"/>
              <w:bidi w:val="0"/>
              <w:adjustRightInd w:val="0"/>
              <w:snapToGrid w:val="0"/>
              <w:spacing w:beforeAutospacing="0" w:afterAutospacing="0"/>
              <w:textAlignment w:val="auto"/>
              <w:outlineLvl w:val="9"/>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100</w:t>
            </w:r>
          </w:p>
        </w:tc>
      </w:tr>
    </w:tbl>
    <w:p>
      <w:pPr>
        <w:pageBreakBefore w:val="0"/>
        <w:widowControl w:val="0"/>
        <w:kinsoku/>
        <w:bidi w:val="0"/>
        <w:spacing w:beforeAutospacing="0" w:afterAutospacing="0" w:line="480" w:lineRule="exact"/>
        <w:ind w:firstLine="480" w:firstLineChars="200"/>
        <w:jc w:val="both"/>
        <w:rPr>
          <w:rFonts w:hint="default" w:ascii="Times New Roman" w:hAnsi="Times New Roman" w:eastAsia="宋体" w:cs="Times New Roman"/>
          <w:color w:val="000000" w:themeColor="text1"/>
          <w:kern w:val="2"/>
          <w:sz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t>（5）项目参数</w:t>
      </w:r>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firstLine="480" w:firstLineChars="200"/>
        <w:jc w:val="both"/>
        <w:textAlignment w:val="auto"/>
        <w:outlineLvl w:val="9"/>
        <w:rPr>
          <w:rFonts w:hint="eastAsia"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14:textFill>
            <w14:solidFill>
              <w14:schemeClr w14:val="tx1"/>
            </w14:solidFill>
          </w14:textFill>
        </w:rPr>
        <w:t>估算模型所用参数见下表</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1.4-4</w:t>
      </w:r>
      <w:r>
        <w:rPr>
          <w:rFonts w:hint="eastAsia" w:ascii="Times New Roman" w:hAnsi="Times New Roman" w:eastAsia="宋体"/>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outlineLvl w:val="9"/>
        <w:rPr>
          <w:rFonts w:ascii="Times New Roman" w:hAnsi="Times New Roman" w:eastAsia="宋体"/>
          <w:b/>
          <w:bCs/>
          <w:color w:val="000000" w:themeColor="text1"/>
          <w:sz w:val="24"/>
          <w:szCs w:val="32"/>
          <w:highlight w:val="none"/>
          <w14:textFill>
            <w14:solidFill>
              <w14:schemeClr w14:val="tx1"/>
            </w14:solidFill>
          </w14:textFill>
        </w:rPr>
      </w:pPr>
      <w:r>
        <w:rPr>
          <w:rFonts w:hint="eastAsia" w:ascii="Times New Roman" w:hAnsi="Times New Roman" w:eastAsia="宋体"/>
          <w:b/>
          <w:bCs/>
          <w:color w:val="000000" w:themeColor="text1"/>
          <w:sz w:val="24"/>
          <w:szCs w:val="32"/>
          <w:highlight w:val="none"/>
          <w14:textFill>
            <w14:solidFill>
              <w14:schemeClr w14:val="tx1"/>
            </w14:solidFill>
          </w14:textFill>
        </w:rPr>
        <w:t>表</w:t>
      </w:r>
      <w:r>
        <w:rPr>
          <w:rFonts w:hint="eastAsia" w:ascii="Times New Roman" w:hAnsi="Times New Roman" w:eastAsia="宋体"/>
          <w:b/>
          <w:bCs/>
          <w:color w:val="000000" w:themeColor="text1"/>
          <w:sz w:val="24"/>
          <w:szCs w:val="32"/>
          <w:highlight w:val="none"/>
          <w:lang w:val="en-US" w:eastAsia="zh-CN"/>
          <w14:textFill>
            <w14:solidFill>
              <w14:schemeClr w14:val="tx1"/>
            </w14:solidFill>
          </w14:textFill>
        </w:rPr>
        <w:t>1.4-4</w:t>
      </w:r>
      <w:r>
        <w:rPr>
          <w:rFonts w:ascii="Times New Roman" w:hAnsi="Times New Roman" w:eastAsia="宋体"/>
          <w:b/>
          <w:bCs/>
          <w:color w:val="000000" w:themeColor="text1"/>
          <w:sz w:val="24"/>
          <w:szCs w:val="32"/>
          <w:highlight w:val="none"/>
          <w14:textFill>
            <w14:solidFill>
              <w14:schemeClr w14:val="tx1"/>
            </w14:solidFill>
          </w14:textFill>
        </w:rPr>
        <w:t xml:space="preserve"> AERSCREEN</w:t>
      </w:r>
      <w:r>
        <w:rPr>
          <w:rFonts w:hint="eastAsia" w:ascii="Times New Roman" w:hAnsi="Times New Roman" w:eastAsia="宋体"/>
          <w:b/>
          <w:bCs/>
          <w:color w:val="000000" w:themeColor="text1"/>
          <w:sz w:val="24"/>
          <w:szCs w:val="32"/>
          <w:highlight w:val="none"/>
          <w14:textFill>
            <w14:solidFill>
              <w14:schemeClr w14:val="tx1"/>
            </w14:solidFill>
          </w14:textFill>
        </w:rPr>
        <w:t>模型参数表</w:t>
      </w:r>
    </w:p>
    <w:tbl>
      <w:tblPr>
        <w:tblStyle w:val="33"/>
        <w:tblW w:w="905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83"/>
        <w:gridCol w:w="3762"/>
        <w:gridCol w:w="19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5" w:type="dxa"/>
            <w:gridSpan w:val="2"/>
            <w:tcBorders>
              <w:top w:val="single" w:color="auto" w:sz="12" w:space="0"/>
            </w:tcBorders>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参数</w:t>
            </w:r>
          </w:p>
        </w:tc>
        <w:tc>
          <w:tcPr>
            <w:tcW w:w="1913" w:type="dxa"/>
            <w:tcBorders>
              <w:top w:val="single" w:color="auto" w:sz="12" w:space="0"/>
            </w:tcBorders>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取值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83" w:type="dxa"/>
            <w:vMerge w:val="restart"/>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城市/农村选项</w:t>
            </w:r>
          </w:p>
        </w:tc>
        <w:tc>
          <w:tcPr>
            <w:tcW w:w="3762" w:type="dxa"/>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城市/农村</w:t>
            </w:r>
          </w:p>
        </w:tc>
        <w:tc>
          <w:tcPr>
            <w:tcW w:w="1913" w:type="dxa"/>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农村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83" w:type="dxa"/>
            <w:vMerge w:val="continue"/>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762" w:type="dxa"/>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人口数（城市选项）</w:t>
            </w:r>
          </w:p>
        </w:tc>
        <w:tc>
          <w:tcPr>
            <w:tcW w:w="1913" w:type="dxa"/>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5" w:type="dxa"/>
            <w:gridSpan w:val="2"/>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最高环境温度/℃</w:t>
            </w:r>
          </w:p>
        </w:tc>
        <w:tc>
          <w:tcPr>
            <w:tcW w:w="1913" w:type="dxa"/>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40.6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5" w:type="dxa"/>
            <w:gridSpan w:val="2"/>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最低环境温度/℃</w:t>
            </w:r>
          </w:p>
        </w:tc>
        <w:tc>
          <w:tcPr>
            <w:tcW w:w="1913" w:type="dxa"/>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5" w:type="dxa"/>
            <w:gridSpan w:val="2"/>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土地利用类型</w:t>
            </w:r>
          </w:p>
        </w:tc>
        <w:tc>
          <w:tcPr>
            <w:tcW w:w="1913" w:type="dxa"/>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农用地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45" w:type="dxa"/>
            <w:gridSpan w:val="2"/>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区域湿度条件</w:t>
            </w:r>
          </w:p>
        </w:tc>
        <w:tc>
          <w:tcPr>
            <w:tcW w:w="1913" w:type="dxa"/>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潮湿气候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83" w:type="dxa"/>
            <w:vMerge w:val="restart"/>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是否考虑地形</w:t>
            </w:r>
          </w:p>
        </w:tc>
        <w:tc>
          <w:tcPr>
            <w:tcW w:w="3762" w:type="dxa"/>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考虑地形</w:t>
            </w:r>
          </w:p>
        </w:tc>
        <w:tc>
          <w:tcPr>
            <w:tcW w:w="1913" w:type="dxa"/>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83" w:type="dxa"/>
            <w:vMerge w:val="continue"/>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762" w:type="dxa"/>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地形数据分辨率/m</w:t>
            </w:r>
          </w:p>
        </w:tc>
        <w:tc>
          <w:tcPr>
            <w:tcW w:w="1913" w:type="dxa"/>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83" w:type="dxa"/>
            <w:vMerge w:val="restart"/>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是否考虑岸线熏烟</w:t>
            </w:r>
          </w:p>
        </w:tc>
        <w:tc>
          <w:tcPr>
            <w:tcW w:w="3762" w:type="dxa"/>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考虑岸线熏烟</w:t>
            </w:r>
          </w:p>
        </w:tc>
        <w:tc>
          <w:tcPr>
            <w:tcW w:w="1913" w:type="dxa"/>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eastAsia"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83" w:type="dxa"/>
            <w:vMerge w:val="continue"/>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default" w:ascii="Times New Roman" w:hAnsi="Times New Roman" w:eastAsia="宋体" w:cs="Times New Roman"/>
                <w:b/>
                <w:color w:val="000000" w:themeColor="text1"/>
                <w:sz w:val="21"/>
                <w:szCs w:val="21"/>
                <w:highlight w:val="none"/>
                <w14:textFill>
                  <w14:solidFill>
                    <w14:schemeClr w14:val="tx1"/>
                  </w14:solidFill>
                </w14:textFill>
              </w:rPr>
            </w:pPr>
          </w:p>
        </w:tc>
        <w:tc>
          <w:tcPr>
            <w:tcW w:w="3762" w:type="dxa"/>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岸线距离/km</w:t>
            </w:r>
          </w:p>
        </w:tc>
        <w:tc>
          <w:tcPr>
            <w:tcW w:w="1913" w:type="dxa"/>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383" w:type="dxa"/>
            <w:vMerge w:val="continue"/>
            <w:tcBorders>
              <w:bottom w:val="single" w:color="auto" w:sz="12" w:space="0"/>
            </w:tcBorders>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default" w:ascii="Times New Roman" w:hAnsi="Times New Roman" w:eastAsia="宋体" w:cs="Times New Roman"/>
                <w:b/>
                <w:color w:val="000000" w:themeColor="text1"/>
                <w:sz w:val="21"/>
                <w:szCs w:val="21"/>
                <w:highlight w:val="none"/>
                <w14:textFill>
                  <w14:solidFill>
                    <w14:schemeClr w14:val="tx1"/>
                  </w14:solidFill>
                </w14:textFill>
              </w:rPr>
            </w:pPr>
          </w:p>
        </w:tc>
        <w:tc>
          <w:tcPr>
            <w:tcW w:w="3762" w:type="dxa"/>
            <w:tcBorders>
              <w:bottom w:val="single" w:color="auto" w:sz="12" w:space="0"/>
            </w:tcBorders>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岸线方向/º</w:t>
            </w:r>
          </w:p>
        </w:tc>
        <w:tc>
          <w:tcPr>
            <w:tcW w:w="1913" w:type="dxa"/>
            <w:tcBorders>
              <w:bottom w:val="single" w:color="auto" w:sz="12" w:space="0"/>
            </w:tcBorders>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w:t>
            </w:r>
          </w:p>
        </w:tc>
      </w:tr>
    </w:tbl>
    <w:p>
      <w:pPr>
        <w:pageBreakBefore w:val="0"/>
        <w:widowControl w:val="0"/>
        <w:kinsoku/>
        <w:bidi w:val="0"/>
        <w:spacing w:beforeAutospacing="0" w:afterAutospacing="0" w:line="480" w:lineRule="exact"/>
        <w:ind w:firstLine="480" w:firstLineChars="200"/>
        <w:jc w:val="both"/>
        <w:rPr>
          <w:rFonts w:hint="default" w:ascii="Times New Roman" w:hAnsi="Times New Roman" w:eastAsia="宋体" w:cs="Times New Roman"/>
          <w:color w:val="000000" w:themeColor="text1"/>
          <w:kern w:val="2"/>
          <w:sz w:val="24"/>
          <w:szCs w:val="22"/>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2"/>
          <w:lang w:val="en-US" w:eastAsia="zh-CN" w:bidi="ar-SA"/>
          <w14:textFill>
            <w14:solidFill>
              <w14:schemeClr w14:val="tx1"/>
            </w14:solidFill>
          </w14:textFill>
        </w:rPr>
        <w:t>（6）评价工作等级的确定</w:t>
      </w:r>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firstLine="480" w:firstLineChars="200"/>
        <w:jc w:val="both"/>
        <w:textAlignment w:val="auto"/>
        <w:outlineLvl w:val="9"/>
        <w:rPr>
          <w:rFonts w:hint="eastAsia" w:ascii="Times New Roman" w:hAnsi="Times New Roman" w:eastAsia="宋体"/>
          <w:color w:val="000000" w:themeColor="text1"/>
          <w:sz w:val="24"/>
          <w:szCs w:val="24"/>
          <w:highlight w:val="none"/>
          <w:lang w:eastAsia="zh-CN"/>
          <w14:textFill>
            <w14:solidFill>
              <w14:schemeClr w14:val="tx1"/>
            </w14:solidFill>
          </w14:textFill>
        </w:rPr>
      </w:pPr>
      <w:r>
        <w:rPr>
          <w:rFonts w:ascii="Times New Roman" w:hAnsi="Times New Roman" w:eastAsia="宋体"/>
          <w:bCs/>
          <w:color w:val="000000" w:themeColor="text1"/>
          <w:sz w:val="24"/>
          <w:szCs w:val="24"/>
          <w:highlight w:val="none"/>
          <w:u w:val="none"/>
          <w14:textFill>
            <w14:solidFill>
              <w14:schemeClr w14:val="tx1"/>
            </w14:solidFill>
          </w14:textFill>
        </w:rPr>
        <w:t>采用估算模型AERSCREEN对本项目正常工况下的废气污染源进行估算，结果见表</w:t>
      </w:r>
      <w:r>
        <w:rPr>
          <w:rFonts w:hint="eastAsia" w:ascii="Times New Roman" w:hAnsi="Times New Roman" w:eastAsia="宋体"/>
          <w:bCs/>
          <w:color w:val="000000" w:themeColor="text1"/>
          <w:sz w:val="24"/>
          <w:szCs w:val="24"/>
          <w:highlight w:val="none"/>
          <w:u w:val="none"/>
          <w:lang w:val="en-US" w:eastAsia="zh-CN"/>
          <w14:textFill>
            <w14:solidFill>
              <w14:schemeClr w14:val="tx1"/>
            </w14:solidFill>
          </w14:textFill>
        </w:rPr>
        <w:t>1.4-5</w:t>
      </w:r>
      <w:r>
        <w:rPr>
          <w:rFonts w:ascii="Times New Roman" w:hAnsi="Times New Roman" w:eastAsia="宋体"/>
          <w:color w:val="000000" w:themeColor="text1"/>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outlineLvl w:val="9"/>
        <w:rPr>
          <w:rFonts w:ascii="Times New Roman" w:hAnsi="Times New Roman" w:eastAsia="宋体"/>
          <w:b/>
          <w:bCs/>
          <w:color w:val="000000" w:themeColor="text1"/>
          <w:sz w:val="24"/>
          <w:szCs w:val="32"/>
          <w:highlight w:val="none"/>
          <w14:textFill>
            <w14:solidFill>
              <w14:schemeClr w14:val="tx1"/>
            </w14:solidFill>
          </w14:textFill>
        </w:rPr>
      </w:pPr>
      <w:r>
        <w:rPr>
          <w:rFonts w:hint="eastAsia" w:ascii="Times New Roman" w:hAnsi="Times New Roman" w:eastAsia="宋体"/>
          <w:b/>
          <w:bCs/>
          <w:color w:val="000000" w:themeColor="text1"/>
          <w:sz w:val="24"/>
          <w:szCs w:val="32"/>
          <w:highlight w:val="none"/>
          <w14:textFill>
            <w14:solidFill>
              <w14:schemeClr w14:val="tx1"/>
            </w14:solidFill>
          </w14:textFill>
        </w:rPr>
        <w:t>表</w:t>
      </w:r>
      <w:r>
        <w:rPr>
          <w:rFonts w:hint="eastAsia" w:ascii="Times New Roman" w:hAnsi="Times New Roman" w:eastAsia="宋体"/>
          <w:b/>
          <w:bCs/>
          <w:color w:val="000000" w:themeColor="text1"/>
          <w:sz w:val="24"/>
          <w:szCs w:val="32"/>
          <w:highlight w:val="none"/>
          <w:lang w:val="en-US" w:eastAsia="zh-CN"/>
          <w14:textFill>
            <w14:solidFill>
              <w14:schemeClr w14:val="tx1"/>
            </w14:solidFill>
          </w14:textFill>
        </w:rPr>
        <w:t>1.4-5</w:t>
      </w:r>
      <w:r>
        <w:rPr>
          <w:rFonts w:hint="eastAsia" w:ascii="Times New Roman" w:hAnsi="Times New Roman" w:eastAsia="宋体"/>
          <w:b/>
          <w:bCs/>
          <w:color w:val="000000" w:themeColor="text1"/>
          <w:sz w:val="24"/>
          <w:szCs w:val="32"/>
          <w:highlight w:val="none"/>
          <w14:textFill>
            <w14:solidFill>
              <w14:schemeClr w14:val="tx1"/>
            </w14:solidFill>
          </w14:textFill>
        </w:rPr>
        <w:t>废气排放估算模式计算结果一览表</w:t>
      </w:r>
    </w:p>
    <w:tbl>
      <w:tblPr>
        <w:tblStyle w:val="33"/>
        <w:tblW w:w="906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930"/>
        <w:gridCol w:w="975"/>
        <w:gridCol w:w="1161"/>
        <w:gridCol w:w="2094"/>
        <w:gridCol w:w="1171"/>
        <w:gridCol w:w="16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9" w:type="dxa"/>
            <w:vMerge w:val="restart"/>
            <w:tcBorders>
              <w:top w:val="single" w:color="auto" w:sz="12" w:space="0"/>
            </w:tcBorders>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Cs w:val="21"/>
                <w:highlight w:val="none"/>
                <w14:textFill>
                  <w14:solidFill>
                    <w14:schemeClr w14:val="tx1"/>
                  </w14:solidFill>
                </w14:textFill>
              </w:rPr>
            </w:pPr>
            <w:r>
              <w:rPr>
                <w:rFonts w:hint="eastAsia" w:ascii="Times New Roman" w:hAnsi="Times New Roman" w:eastAsia="宋体"/>
                <w:bCs/>
                <w:color w:val="000000" w:themeColor="text1"/>
                <w:szCs w:val="21"/>
                <w:highlight w:val="none"/>
                <w14:textFill>
                  <w14:solidFill>
                    <w14:schemeClr w14:val="tx1"/>
                  </w14:solidFill>
                </w14:textFill>
              </w:rPr>
              <w:t>排放模式</w:t>
            </w:r>
          </w:p>
        </w:tc>
        <w:tc>
          <w:tcPr>
            <w:tcW w:w="930" w:type="dxa"/>
            <w:vMerge w:val="restart"/>
            <w:tcBorders>
              <w:top w:val="single" w:color="auto" w:sz="12" w:space="0"/>
            </w:tcBorders>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Cs w:val="21"/>
                <w:highlight w:val="none"/>
                <w14:textFill>
                  <w14:solidFill>
                    <w14:schemeClr w14:val="tx1"/>
                  </w14:solidFill>
                </w14:textFill>
              </w:rPr>
            </w:pPr>
            <w:r>
              <w:rPr>
                <w:rFonts w:hint="eastAsia" w:ascii="Times New Roman" w:hAnsi="Times New Roman" w:eastAsia="宋体"/>
                <w:bCs/>
                <w:color w:val="000000" w:themeColor="text1"/>
                <w:szCs w:val="21"/>
                <w:highlight w:val="none"/>
                <w14:textFill>
                  <w14:solidFill>
                    <w14:schemeClr w14:val="tx1"/>
                  </w14:solidFill>
                </w14:textFill>
              </w:rPr>
              <w:t>污染源</w:t>
            </w:r>
          </w:p>
        </w:tc>
        <w:tc>
          <w:tcPr>
            <w:tcW w:w="975" w:type="dxa"/>
            <w:vMerge w:val="restart"/>
            <w:tcBorders>
              <w:top w:val="single" w:color="auto" w:sz="12" w:space="0"/>
            </w:tcBorders>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Cs w:val="21"/>
                <w:highlight w:val="none"/>
                <w14:textFill>
                  <w14:solidFill>
                    <w14:schemeClr w14:val="tx1"/>
                  </w14:solidFill>
                </w14:textFill>
              </w:rPr>
            </w:pPr>
            <w:r>
              <w:rPr>
                <w:rFonts w:hint="eastAsia" w:ascii="Times New Roman" w:hAnsi="Times New Roman" w:eastAsia="宋体"/>
                <w:bCs/>
                <w:color w:val="000000" w:themeColor="text1"/>
                <w:szCs w:val="21"/>
                <w:highlight w:val="none"/>
                <w14:textFill>
                  <w14:solidFill>
                    <w14:schemeClr w14:val="tx1"/>
                  </w14:solidFill>
                </w14:textFill>
              </w:rPr>
              <w:t>污染物</w:t>
            </w:r>
          </w:p>
        </w:tc>
        <w:tc>
          <w:tcPr>
            <w:tcW w:w="1161" w:type="dxa"/>
            <w:vMerge w:val="restart"/>
            <w:tcBorders>
              <w:top w:val="single" w:color="auto" w:sz="12" w:space="0"/>
            </w:tcBorders>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Cs w:val="21"/>
                <w:highlight w:val="none"/>
                <w14:textFill>
                  <w14:solidFill>
                    <w14:schemeClr w14:val="tx1"/>
                  </w14:solidFill>
                </w14:textFill>
              </w:rPr>
            </w:pPr>
            <w:r>
              <w:rPr>
                <w:rFonts w:hint="eastAsia" w:ascii="Times New Roman" w:hAnsi="Times New Roman" w:eastAsia="宋体"/>
                <w:bCs/>
                <w:color w:val="000000" w:themeColor="text1"/>
                <w:szCs w:val="21"/>
                <w:highlight w:val="none"/>
                <w14:textFill>
                  <w14:solidFill>
                    <w14:schemeClr w14:val="tx1"/>
                  </w14:solidFill>
                </w14:textFill>
              </w:rPr>
              <w:t>执行标准（</w:t>
            </w:r>
            <w:r>
              <w:rPr>
                <w:rFonts w:ascii="Times New Roman" w:hAnsi="Times New Roman" w:eastAsia="宋体"/>
                <w:bCs/>
                <w:color w:val="000000" w:themeColor="text1"/>
                <w:szCs w:val="21"/>
                <w:highlight w:val="none"/>
                <w14:textFill>
                  <w14:solidFill>
                    <w14:schemeClr w14:val="tx1"/>
                  </w14:solidFill>
                </w14:textFill>
              </w:rPr>
              <w:t>mg/m</w:t>
            </w:r>
            <w:r>
              <w:rPr>
                <w:rFonts w:ascii="Times New Roman" w:hAnsi="Times New Roman" w:eastAsia="宋体"/>
                <w:bCs/>
                <w:color w:val="000000" w:themeColor="text1"/>
                <w:szCs w:val="21"/>
                <w:highlight w:val="none"/>
                <w:vertAlign w:val="superscript"/>
                <w14:textFill>
                  <w14:solidFill>
                    <w14:schemeClr w14:val="tx1"/>
                  </w14:solidFill>
                </w14:textFill>
              </w:rPr>
              <w:t>3</w:t>
            </w:r>
            <w:r>
              <w:rPr>
                <w:rFonts w:hint="eastAsia" w:ascii="Times New Roman" w:hAnsi="Times New Roman" w:eastAsia="宋体"/>
                <w:bCs/>
                <w:color w:val="000000" w:themeColor="text1"/>
                <w:szCs w:val="21"/>
                <w:highlight w:val="none"/>
                <w14:textFill>
                  <w14:solidFill>
                    <w14:schemeClr w14:val="tx1"/>
                  </w14:solidFill>
                </w14:textFill>
              </w:rPr>
              <w:t>）</w:t>
            </w:r>
          </w:p>
        </w:tc>
        <w:tc>
          <w:tcPr>
            <w:tcW w:w="2094" w:type="dxa"/>
            <w:vMerge w:val="restart"/>
            <w:tcBorders>
              <w:top w:val="single" w:color="auto" w:sz="12" w:space="0"/>
            </w:tcBorders>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Cs w:val="21"/>
                <w:highlight w:val="none"/>
                <w14:textFill>
                  <w14:solidFill>
                    <w14:schemeClr w14:val="tx1"/>
                  </w14:solidFill>
                </w14:textFill>
              </w:rPr>
            </w:pPr>
            <w:r>
              <w:rPr>
                <w:rFonts w:hint="eastAsia" w:ascii="Times New Roman" w:hAnsi="Times New Roman" w:eastAsia="宋体"/>
                <w:bCs/>
                <w:color w:val="000000" w:themeColor="text1"/>
                <w:szCs w:val="21"/>
                <w:highlight w:val="none"/>
                <w14:textFill>
                  <w14:solidFill>
                    <w14:schemeClr w14:val="tx1"/>
                  </w14:solidFill>
                </w14:textFill>
              </w:rPr>
              <w:t>距源中心下风向距离（</w:t>
            </w:r>
            <w:r>
              <w:rPr>
                <w:rFonts w:ascii="Times New Roman" w:hAnsi="Times New Roman" w:eastAsia="宋体"/>
                <w:bCs/>
                <w:color w:val="000000" w:themeColor="text1"/>
                <w:szCs w:val="21"/>
                <w:highlight w:val="none"/>
                <w14:textFill>
                  <w14:solidFill>
                    <w14:schemeClr w14:val="tx1"/>
                  </w14:solidFill>
                </w14:textFill>
              </w:rPr>
              <w:t>m</w:t>
            </w:r>
            <w:r>
              <w:rPr>
                <w:rFonts w:hint="eastAsia" w:ascii="Times New Roman" w:hAnsi="Times New Roman" w:eastAsia="宋体"/>
                <w:bCs/>
                <w:color w:val="000000" w:themeColor="text1"/>
                <w:szCs w:val="21"/>
                <w:highlight w:val="none"/>
                <w14:textFill>
                  <w14:solidFill>
                    <w14:schemeClr w14:val="tx1"/>
                  </w14:solidFill>
                </w14:textFill>
              </w:rPr>
              <w:t>）</w:t>
            </w:r>
          </w:p>
        </w:tc>
        <w:tc>
          <w:tcPr>
            <w:tcW w:w="2811" w:type="dxa"/>
            <w:gridSpan w:val="2"/>
            <w:tcBorders>
              <w:top w:val="single" w:color="auto" w:sz="12" w:space="0"/>
            </w:tcBorders>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Cs w:val="21"/>
                <w:highlight w:val="none"/>
                <w14:textFill>
                  <w14:solidFill>
                    <w14:schemeClr w14:val="tx1"/>
                  </w14:solidFill>
                </w14:textFill>
              </w:rPr>
            </w:pPr>
            <w:r>
              <w:rPr>
                <w:rFonts w:hint="eastAsia" w:ascii="Times New Roman" w:hAnsi="Times New Roman" w:eastAsia="宋体"/>
                <w:bCs/>
                <w:color w:val="000000" w:themeColor="text1"/>
                <w:szCs w:val="21"/>
                <w:highlight w:val="none"/>
                <w14:textFill>
                  <w14:solidFill>
                    <w14:schemeClr w14:val="tx1"/>
                  </w14:solidFill>
                </w14:textFill>
              </w:rPr>
              <w:t>正常情况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89" w:type="dxa"/>
            <w:vMerge w:val="continue"/>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Cs w:val="21"/>
                <w:highlight w:val="none"/>
                <w14:textFill>
                  <w14:solidFill>
                    <w14:schemeClr w14:val="tx1"/>
                  </w14:solidFill>
                </w14:textFill>
              </w:rPr>
            </w:pPr>
          </w:p>
        </w:tc>
        <w:tc>
          <w:tcPr>
            <w:tcW w:w="930" w:type="dxa"/>
            <w:vMerge w:val="continue"/>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Cs w:val="21"/>
                <w:highlight w:val="none"/>
                <w14:textFill>
                  <w14:solidFill>
                    <w14:schemeClr w14:val="tx1"/>
                  </w14:solidFill>
                </w14:textFill>
              </w:rPr>
            </w:pPr>
          </w:p>
        </w:tc>
        <w:tc>
          <w:tcPr>
            <w:tcW w:w="975" w:type="dxa"/>
            <w:vMerge w:val="continue"/>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Cs w:val="21"/>
                <w:highlight w:val="none"/>
                <w14:textFill>
                  <w14:solidFill>
                    <w14:schemeClr w14:val="tx1"/>
                  </w14:solidFill>
                </w14:textFill>
              </w:rPr>
            </w:pPr>
          </w:p>
        </w:tc>
        <w:tc>
          <w:tcPr>
            <w:tcW w:w="1161" w:type="dxa"/>
            <w:vMerge w:val="continue"/>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Cs w:val="21"/>
                <w:highlight w:val="none"/>
                <w14:textFill>
                  <w14:solidFill>
                    <w14:schemeClr w14:val="tx1"/>
                  </w14:solidFill>
                </w14:textFill>
              </w:rPr>
            </w:pPr>
          </w:p>
        </w:tc>
        <w:tc>
          <w:tcPr>
            <w:tcW w:w="2094" w:type="dxa"/>
            <w:vMerge w:val="continue"/>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Cs w:val="21"/>
                <w:highlight w:val="none"/>
                <w14:textFill>
                  <w14:solidFill>
                    <w14:schemeClr w14:val="tx1"/>
                  </w14:solidFill>
                </w14:textFill>
              </w:rPr>
            </w:pPr>
          </w:p>
        </w:tc>
        <w:tc>
          <w:tcPr>
            <w:tcW w:w="1171" w:type="dxa"/>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Cs w:val="21"/>
                <w:highlight w:val="none"/>
                <w14:textFill>
                  <w14:solidFill>
                    <w14:schemeClr w14:val="tx1"/>
                  </w14:solidFill>
                </w14:textFill>
              </w:rPr>
            </w:pPr>
            <w:r>
              <w:rPr>
                <w:rFonts w:hint="eastAsia" w:ascii="Times New Roman" w:hAnsi="Times New Roman" w:eastAsia="宋体"/>
                <w:bCs/>
                <w:color w:val="000000" w:themeColor="text1"/>
                <w:szCs w:val="21"/>
                <w:highlight w:val="none"/>
                <w14:textFill>
                  <w14:solidFill>
                    <w14:schemeClr w14:val="tx1"/>
                  </w14:solidFill>
                </w14:textFill>
              </w:rPr>
              <w:t>最大落地浓度</w:t>
            </w:r>
          </w:p>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Cs w:val="21"/>
                <w:highlight w:val="none"/>
                <w14:textFill>
                  <w14:solidFill>
                    <w14:schemeClr w14:val="tx1"/>
                  </w14:solidFill>
                </w14:textFill>
              </w:rPr>
            </w:pPr>
            <w:r>
              <w:rPr>
                <w:rFonts w:hint="eastAsia" w:ascii="Times New Roman" w:hAnsi="Times New Roman" w:eastAsia="宋体"/>
                <w:bCs/>
                <w:color w:val="000000" w:themeColor="text1"/>
                <w:szCs w:val="21"/>
                <w:highlight w:val="none"/>
                <w14:textFill>
                  <w14:solidFill>
                    <w14:schemeClr w14:val="tx1"/>
                  </w14:solidFill>
                </w14:textFill>
              </w:rPr>
              <w:t>（</w:t>
            </w:r>
            <w:r>
              <w:rPr>
                <w:rFonts w:ascii="Times New Roman" w:hAnsi="Times New Roman" w:eastAsia="宋体"/>
                <w:bCs/>
                <w:color w:val="000000" w:themeColor="text1"/>
                <w:szCs w:val="21"/>
                <w:highlight w:val="none"/>
                <w14:textFill>
                  <w14:solidFill>
                    <w14:schemeClr w14:val="tx1"/>
                  </w14:solidFill>
                </w14:textFill>
              </w:rPr>
              <w:t>mg/m</w:t>
            </w:r>
            <w:r>
              <w:rPr>
                <w:rFonts w:ascii="Times New Roman" w:hAnsi="Times New Roman" w:eastAsia="宋体"/>
                <w:bCs/>
                <w:color w:val="000000" w:themeColor="text1"/>
                <w:szCs w:val="21"/>
                <w:highlight w:val="none"/>
                <w:vertAlign w:val="superscript"/>
                <w14:textFill>
                  <w14:solidFill>
                    <w14:schemeClr w14:val="tx1"/>
                  </w14:solidFill>
                </w14:textFill>
              </w:rPr>
              <w:t>3</w:t>
            </w:r>
            <w:r>
              <w:rPr>
                <w:rFonts w:hint="eastAsia" w:ascii="Times New Roman" w:hAnsi="Times New Roman" w:eastAsia="宋体"/>
                <w:bCs/>
                <w:color w:val="000000" w:themeColor="text1"/>
                <w:szCs w:val="21"/>
                <w:highlight w:val="none"/>
                <w14:textFill>
                  <w14:solidFill>
                    <w14:schemeClr w14:val="tx1"/>
                  </w14:solidFill>
                </w14:textFill>
              </w:rPr>
              <w:t>）</w:t>
            </w:r>
          </w:p>
        </w:tc>
        <w:tc>
          <w:tcPr>
            <w:tcW w:w="1640" w:type="dxa"/>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Cs w:val="21"/>
                <w:highlight w:val="none"/>
                <w14:textFill>
                  <w14:solidFill>
                    <w14:schemeClr w14:val="tx1"/>
                  </w14:solidFill>
                </w14:textFill>
              </w:rPr>
            </w:pPr>
            <w:r>
              <w:rPr>
                <w:rFonts w:hint="eastAsia" w:ascii="Times New Roman" w:hAnsi="Times New Roman" w:eastAsia="宋体"/>
                <w:bCs/>
                <w:color w:val="000000" w:themeColor="text1"/>
                <w:szCs w:val="21"/>
                <w:highlight w:val="none"/>
                <w14:textFill>
                  <w14:solidFill>
                    <w14:schemeClr w14:val="tx1"/>
                  </w14:solidFill>
                </w14:textFill>
              </w:rPr>
              <w:t>最大占标率</w:t>
            </w:r>
            <w:r>
              <w:rPr>
                <w:rFonts w:ascii="Times New Roman" w:hAnsi="Times New Roman" w:eastAsia="宋体"/>
                <w:bCs/>
                <w:color w:val="000000" w:themeColor="text1"/>
                <w:szCs w:val="21"/>
                <w:highlight w:val="none"/>
                <w14:textFill>
                  <w14:solidFill>
                    <w14:schemeClr w14:val="tx1"/>
                  </w14:solidFill>
                </w14:textFill>
              </w:rPr>
              <w:t>Pi</w:t>
            </w:r>
            <w:r>
              <w:rPr>
                <w:rFonts w:hint="eastAsia" w:ascii="Times New Roman" w:hAnsi="Times New Roman" w:eastAsia="宋体"/>
                <w:bCs/>
                <w:color w:val="000000" w:themeColor="text1"/>
                <w:szCs w:val="21"/>
                <w:highlight w:val="none"/>
                <w14:textFill>
                  <w14:solidFill>
                    <w14:schemeClr w14:val="tx1"/>
                  </w14:solidFill>
                </w14:textFill>
              </w:rPr>
              <w:t>（</w:t>
            </w:r>
            <w:r>
              <w:rPr>
                <w:rFonts w:ascii="Times New Roman" w:hAnsi="Times New Roman" w:eastAsia="宋体"/>
                <w:bCs/>
                <w:color w:val="000000" w:themeColor="text1"/>
                <w:szCs w:val="21"/>
                <w:highlight w:val="none"/>
                <w14:textFill>
                  <w14:solidFill>
                    <w14:schemeClr w14:val="tx1"/>
                  </w14:solidFill>
                </w14:textFill>
              </w:rPr>
              <w:t>%</w:t>
            </w:r>
            <w:r>
              <w:rPr>
                <w:rFonts w:hint="eastAsia" w:ascii="Times New Roman" w:hAnsi="Times New Roman" w:eastAsia="宋体"/>
                <w:bCs/>
                <w:color w:val="000000" w:themeColor="text1"/>
                <w:szCs w:val="21"/>
                <w:highlight w:val="none"/>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0" w:hRule="atLeast"/>
        </w:trPr>
        <w:tc>
          <w:tcPr>
            <w:tcW w:w="1089" w:type="dxa"/>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Cs w:val="21"/>
                <w:highlight w:val="none"/>
                <w14:textFill>
                  <w14:solidFill>
                    <w14:schemeClr w14:val="tx1"/>
                  </w14:solidFill>
                </w14:textFill>
              </w:rPr>
            </w:pPr>
            <w:r>
              <w:rPr>
                <w:rFonts w:hint="eastAsia" w:ascii="Times New Roman" w:hAnsi="Times New Roman" w:eastAsia="宋体"/>
                <w:bCs/>
                <w:color w:val="000000" w:themeColor="text1"/>
                <w:szCs w:val="21"/>
                <w:highlight w:val="none"/>
                <w14:textFill>
                  <w14:solidFill>
                    <w14:schemeClr w14:val="tx1"/>
                  </w14:solidFill>
                </w14:textFill>
              </w:rPr>
              <w:t>无组织排放</w:t>
            </w:r>
          </w:p>
        </w:tc>
        <w:tc>
          <w:tcPr>
            <w:tcW w:w="930" w:type="dxa"/>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Cs w:val="21"/>
                <w:highlight w:val="none"/>
                <w14:textFill>
                  <w14:solidFill>
                    <w14:schemeClr w14:val="tx1"/>
                  </w14:solidFill>
                </w14:textFill>
              </w:rPr>
            </w:pPr>
            <w:r>
              <w:rPr>
                <w:rFonts w:hint="eastAsia" w:ascii="Times New Roman" w:hAnsi="Times New Roman" w:eastAsia="宋体"/>
                <w:bCs/>
                <w:color w:val="000000" w:themeColor="text1"/>
                <w:szCs w:val="21"/>
                <w:highlight w:val="none"/>
                <w14:textFill>
                  <w14:solidFill>
                    <w14:schemeClr w14:val="tx1"/>
                  </w14:solidFill>
                </w14:textFill>
              </w:rPr>
              <w:t>散货堆场</w:t>
            </w:r>
          </w:p>
        </w:tc>
        <w:tc>
          <w:tcPr>
            <w:tcW w:w="975" w:type="dxa"/>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Cs w:val="21"/>
                <w:highlight w:val="none"/>
                <w14:textFill>
                  <w14:solidFill>
                    <w14:schemeClr w14:val="tx1"/>
                  </w14:solidFill>
                </w14:textFill>
              </w:rPr>
            </w:pPr>
            <w:r>
              <w:rPr>
                <w:rFonts w:hint="eastAsia" w:ascii="Times New Roman" w:hAnsi="Times New Roman" w:eastAsia="宋体"/>
                <w:bCs/>
                <w:color w:val="000000" w:themeColor="text1"/>
                <w:szCs w:val="21"/>
                <w:highlight w:val="none"/>
                <w14:textFill>
                  <w14:solidFill>
                    <w14:schemeClr w14:val="tx1"/>
                  </w14:solidFill>
                </w14:textFill>
              </w:rPr>
              <w:t>颗粒物</w:t>
            </w:r>
          </w:p>
        </w:tc>
        <w:tc>
          <w:tcPr>
            <w:tcW w:w="1161" w:type="dxa"/>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default" w:ascii="Times New Roman" w:hAnsi="Times New Roman" w:eastAsia="宋体"/>
                <w:bCs/>
                <w:color w:val="000000" w:themeColor="text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Cs w:val="21"/>
                <w:highlight w:val="none"/>
                <w:lang w:val="en-US" w:eastAsia="zh-CN"/>
                <w14:textFill>
                  <w14:solidFill>
                    <w14:schemeClr w14:val="tx1"/>
                  </w14:solidFill>
                </w14:textFill>
              </w:rPr>
              <w:t>0.9</w:t>
            </w:r>
          </w:p>
        </w:tc>
        <w:tc>
          <w:tcPr>
            <w:tcW w:w="2094" w:type="dxa"/>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default" w:ascii="Times New Roman" w:hAnsi="Times New Roman" w:eastAsia="宋体"/>
                <w:bCs/>
                <w:color w:val="000000" w:themeColor="text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Cs w:val="21"/>
                <w:highlight w:val="none"/>
                <w:lang w:val="en-US" w:eastAsia="zh-CN"/>
                <w14:textFill>
                  <w14:solidFill>
                    <w14:schemeClr w14:val="tx1"/>
                  </w14:solidFill>
                </w14:textFill>
              </w:rPr>
              <w:t>94</w:t>
            </w:r>
          </w:p>
        </w:tc>
        <w:tc>
          <w:tcPr>
            <w:tcW w:w="1171" w:type="dxa"/>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default" w:ascii="Times New Roman" w:hAnsi="Times New Roman" w:eastAsia="宋体"/>
                <w:bCs/>
                <w:color w:val="000000" w:themeColor="text1"/>
                <w:szCs w:val="21"/>
                <w:highlight w:val="none"/>
                <w:lang w:val="en-US" w:eastAsia="zh-CN"/>
                <w14:textFill>
                  <w14:solidFill>
                    <w14:schemeClr w14:val="tx1"/>
                  </w14:solidFill>
                </w14:textFill>
              </w:rPr>
            </w:pPr>
            <w:r>
              <w:rPr>
                <w:rFonts w:ascii="Times New Roman" w:hAnsi="Times New Roman" w:eastAsia="宋体"/>
                <w:bCs/>
                <w:color w:val="000000" w:themeColor="text1"/>
                <w:szCs w:val="21"/>
                <w:highlight w:val="none"/>
                <w14:textFill>
                  <w14:solidFill>
                    <w14:schemeClr w14:val="tx1"/>
                  </w14:solidFill>
                </w14:textFill>
              </w:rPr>
              <w:t>0.0</w:t>
            </w:r>
            <w:r>
              <w:rPr>
                <w:rFonts w:hint="eastAsia" w:ascii="Times New Roman" w:hAnsi="Times New Roman" w:eastAsia="宋体"/>
                <w:bCs/>
                <w:color w:val="000000" w:themeColor="text1"/>
                <w:szCs w:val="21"/>
                <w:highlight w:val="none"/>
                <w:lang w:val="en-US" w:eastAsia="zh-CN"/>
                <w14:textFill>
                  <w14:solidFill>
                    <w14:schemeClr w14:val="tx1"/>
                  </w14:solidFill>
                </w14:textFill>
              </w:rPr>
              <w:t>755</w:t>
            </w:r>
          </w:p>
        </w:tc>
        <w:tc>
          <w:tcPr>
            <w:tcW w:w="1640" w:type="dxa"/>
            <w:tcBorders>
              <w:bottom w:val="single" w:color="auto" w:sz="12" w:space="0"/>
            </w:tcBorders>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default" w:ascii="Times New Roman" w:hAnsi="Times New Roman" w:eastAsia="宋体"/>
                <w:bCs/>
                <w:color w:val="000000" w:themeColor="text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Cs w:val="21"/>
                <w:highlight w:val="none"/>
                <w:lang w:val="en-US" w:eastAsia="zh-CN"/>
                <w14:textFill>
                  <w14:solidFill>
                    <w14:schemeClr w14:val="tx1"/>
                  </w14:solidFill>
                </w14:textFill>
              </w:rPr>
              <w:t>8.24</w:t>
            </w:r>
          </w:p>
        </w:tc>
      </w:tr>
    </w:tbl>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firstLine="480" w:firstLineChars="200"/>
        <w:jc w:val="both"/>
        <w:textAlignment w:val="auto"/>
        <w:outlineLvl w:val="9"/>
        <w:rPr>
          <w:rFonts w:hint="eastAsia" w:ascii="Times New Roman" w:hAnsi="Times New Roman" w:eastAsia="宋体" w:cs="Times New Roman"/>
          <w:bCs/>
          <w:color w:val="000000" w:themeColor="text1"/>
          <w:sz w:val="24"/>
          <w:szCs w:val="24"/>
          <w:highlight w:val="none"/>
          <w:u w:val="none"/>
          <w:lang w:val="en-US" w:eastAsia="zh-CN"/>
          <w14:textFill>
            <w14:solidFill>
              <w14:schemeClr w14:val="tx1"/>
            </w14:solidFill>
          </w14:textFill>
        </w:rPr>
      </w:pPr>
      <w:r>
        <w:rPr>
          <w:rFonts w:ascii="Times New Roman" w:hAnsi="Times New Roman" w:eastAsia="宋体"/>
          <w:color w:val="000000" w:themeColor="text1"/>
          <w:sz w:val="24"/>
          <w:szCs w:val="24"/>
          <w:highlight w:val="none"/>
          <w:u w:val="none"/>
          <w14:textFill>
            <w14:solidFill>
              <w14:schemeClr w14:val="tx1"/>
            </w14:solidFill>
          </w14:textFill>
        </w:rPr>
        <w:t>根据计算结果，项目大气污染物最大浓度占标率Pmax为</w:t>
      </w:r>
      <w:r>
        <w:rPr>
          <w:rFonts w:hint="eastAsia" w:ascii="Times New Roman" w:hAnsi="Times New Roman" w:eastAsia="宋体"/>
          <w:color w:val="000000" w:themeColor="text1"/>
          <w:sz w:val="24"/>
          <w:szCs w:val="24"/>
          <w:highlight w:val="none"/>
          <w:u w:val="none"/>
          <w:lang w:val="en-US" w:eastAsia="zh-CN"/>
          <w14:textFill>
            <w14:solidFill>
              <w14:schemeClr w14:val="tx1"/>
            </w14:solidFill>
          </w14:textFill>
        </w:rPr>
        <w:t>8.24</w:t>
      </w:r>
      <w:r>
        <w:rPr>
          <w:rFonts w:ascii="Times New Roman" w:hAnsi="Times New Roman" w:eastAsia="宋体"/>
          <w:color w:val="000000" w:themeColor="text1"/>
          <w:sz w:val="24"/>
          <w:szCs w:val="24"/>
          <w:highlight w:val="none"/>
          <w:u w:val="none"/>
          <w14:textFill>
            <w14:solidFill>
              <w14:schemeClr w14:val="tx1"/>
            </w14:solidFill>
          </w14:textFill>
        </w:rPr>
        <w:t>%，根据HJ2.2-20</w:t>
      </w:r>
      <w:r>
        <w:rPr>
          <w:rFonts w:hint="eastAsia" w:ascii="Times New Roman" w:hAnsi="Times New Roman" w:eastAsia="宋体"/>
          <w:color w:val="000000" w:themeColor="text1"/>
          <w:sz w:val="24"/>
          <w:szCs w:val="24"/>
          <w:highlight w:val="none"/>
          <w:u w:val="none"/>
          <w:lang w:val="en-US" w:eastAsia="zh-CN"/>
          <w14:textFill>
            <w14:solidFill>
              <w14:schemeClr w14:val="tx1"/>
            </w14:solidFill>
          </w14:textFill>
        </w:rPr>
        <w:t>1</w:t>
      </w:r>
      <w:r>
        <w:rPr>
          <w:rFonts w:ascii="Times New Roman" w:hAnsi="Times New Roman" w:eastAsia="宋体"/>
          <w:color w:val="000000" w:themeColor="text1"/>
          <w:sz w:val="24"/>
          <w:szCs w:val="24"/>
          <w:highlight w:val="none"/>
          <w:u w:val="none"/>
          <w14:textFill>
            <w14:solidFill>
              <w14:schemeClr w14:val="tx1"/>
            </w14:solidFill>
          </w14:textFill>
        </w:rPr>
        <w:t>8判级规定，确定项目的大气评价等级定为</w:t>
      </w:r>
      <w:r>
        <w:rPr>
          <w:rFonts w:hint="eastAsia" w:ascii="Times New Roman" w:hAnsi="Times New Roman" w:eastAsia="宋体"/>
          <w:color w:val="000000" w:themeColor="text1"/>
          <w:sz w:val="24"/>
          <w:szCs w:val="24"/>
          <w:highlight w:val="none"/>
          <w:u w:val="none"/>
          <w:lang w:eastAsia="zh-CN"/>
          <w14:textFill>
            <w14:solidFill>
              <w14:schemeClr w14:val="tx1"/>
            </w14:solidFill>
          </w14:textFill>
        </w:rPr>
        <w:t>二</w:t>
      </w:r>
      <w:r>
        <w:rPr>
          <w:rFonts w:ascii="Times New Roman" w:hAnsi="Times New Roman" w:eastAsia="宋体"/>
          <w:color w:val="000000" w:themeColor="text1"/>
          <w:sz w:val="24"/>
          <w:szCs w:val="24"/>
          <w:highlight w:val="none"/>
          <w:u w:val="none"/>
          <w14:textFill>
            <w14:solidFill>
              <w14:schemeClr w14:val="tx1"/>
            </w14:solidFill>
          </w14:textFill>
        </w:rPr>
        <w:t>级。</w:t>
      </w:r>
      <w:r>
        <w:rPr>
          <w:rFonts w:hint="eastAsia" w:ascii="Times New Roman" w:hAnsi="Times New Roman" w:eastAsia="宋体"/>
          <w:color w:val="000000" w:themeColor="text1"/>
          <w:sz w:val="24"/>
          <w:szCs w:val="24"/>
          <w:highlight w:val="none"/>
          <w14:textFill>
            <w14:solidFill>
              <w14:schemeClr w14:val="tx1"/>
            </w14:solidFill>
          </w14:textFill>
        </w:rPr>
        <w:t>根据《环境影响评价技术导则</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14:textFill>
            <w14:solidFill>
              <w14:schemeClr w14:val="tx1"/>
            </w14:solidFill>
          </w14:textFill>
        </w:rPr>
        <w:t>大气环境》</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ascii="Times New Roman" w:hAnsi="Times New Roman" w:eastAsia="宋体"/>
          <w:color w:val="000000" w:themeColor="text1"/>
          <w:sz w:val="24"/>
          <w:szCs w:val="24"/>
          <w:highlight w:val="none"/>
          <w14:textFill>
            <w14:solidFill>
              <w14:schemeClr w14:val="tx1"/>
            </w14:solidFill>
          </w14:textFill>
        </w:rPr>
        <w:t>HJ2.2-2018</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14:textFill>
            <w14:solidFill>
              <w14:schemeClr w14:val="tx1"/>
            </w14:solidFill>
          </w14:textFill>
        </w:rPr>
        <w:t>中的相关要求，二级评价不进行进一步预测和评价，仅对污染物排放量进行核算。</w:t>
      </w:r>
    </w:p>
    <w:p>
      <w:pPr>
        <w:pageBreakBefore w:val="0"/>
        <w:kinsoku/>
        <w:bidi w:val="0"/>
        <w:spacing w:beforeAutospacing="0" w:afterAutospacing="0" w:line="360" w:lineRule="auto"/>
        <w:ind w:firstLine="0"/>
        <w:outlineLvl w:val="2"/>
        <w:rPr>
          <w:rFonts w:hint="default" w:ascii="Times New Roman" w:hAnsi="Times New Roman" w:eastAsia="宋体" w:cs="Times New Roman"/>
          <w:b/>
          <w:bCs/>
          <w:color w:val="000000" w:themeColor="text1"/>
          <w:kern w:val="0"/>
          <w:sz w:val="30"/>
          <w:szCs w:val="30"/>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0"/>
          <w:sz w:val="30"/>
          <w:szCs w:val="30"/>
          <w:lang w:val="en-US" w:eastAsia="zh-CN" w:bidi="ar-SA"/>
          <w14:textFill>
            <w14:solidFill>
              <w14:schemeClr w14:val="tx1"/>
            </w14:solidFill>
          </w14:textFill>
        </w:rPr>
        <w:t>1.4.2 评价范围</w:t>
      </w:r>
    </w:p>
    <w:p>
      <w:pPr>
        <w:pageBreakBefore w:val="0"/>
        <w:kinsoku/>
        <w:bidi w:val="0"/>
        <w:spacing w:beforeAutospacing="0" w:afterAutospacing="0" w:line="360" w:lineRule="auto"/>
        <w:ind w:firstLine="480" w:firstLineChars="200"/>
        <w:rPr>
          <w:rFonts w:ascii="Times New Roman" w:hAnsi="Times New Roman" w:eastAsia="宋体" w:cs="Times New Roman"/>
          <w:color w:val="000000" w:themeColor="text1"/>
          <w:sz w:val="24"/>
          <w:highlight w:val="none"/>
          <w14:textFill>
            <w14:solidFill>
              <w14:schemeClr w14:val="tx1"/>
            </w14:solidFill>
          </w14:textFill>
        </w:rPr>
      </w:pPr>
      <w: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t>根据AERSCREEN的估算结果，</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本项目为二级评价，因此评价范围为项目厂界周边5km范围</w:t>
      </w:r>
      <w:r>
        <w:rPr>
          <w:rFonts w:ascii="Times New Roman" w:hAnsi="Times New Roman" w:eastAsia="宋体" w:cs="Times New Roman"/>
          <w:color w:val="000000" w:themeColor="text1"/>
          <w:sz w:val="24"/>
          <w:highlight w:val="none"/>
          <w14:textFill>
            <w14:solidFill>
              <w14:schemeClr w14:val="tx1"/>
            </w14:solidFill>
          </w14:textFill>
        </w:rPr>
        <w:t>。</w:t>
      </w:r>
    </w:p>
    <w:p>
      <w:pPr>
        <w:pStyle w:val="11"/>
        <w:pageBreakBefore w:val="0"/>
        <w:kinsoku/>
        <w:bidi w:val="0"/>
        <w:spacing w:beforeAutospacing="0" w:afterAutospacing="0"/>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1.5 大气环境保护目标</w:t>
      </w:r>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firstLine="480" w:firstLineChars="200"/>
        <w:jc w:val="both"/>
        <w:textAlignment w:val="auto"/>
        <w:outlineLvl w:val="9"/>
        <w:rPr>
          <w:rFonts w:hint="eastAsia" w:ascii="Times New Roman" w:hAnsi="Times New Roman" w:eastAsia="宋体" w:cs="Times New Roman"/>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项目厂界周边5km范围内</w:t>
      </w:r>
      <w:r>
        <w:rPr>
          <w:rFonts w:hint="eastAsia" w:ascii="Times New Roman" w:hAnsi="Times New Roman" w:eastAsia="宋体" w:cs="Times New Roman"/>
          <w:color w:val="000000" w:themeColor="text1"/>
          <w:sz w:val="24"/>
          <w14:textFill>
            <w14:solidFill>
              <w14:schemeClr w14:val="tx1"/>
            </w14:solidFill>
          </w14:textFill>
        </w:rPr>
        <w:t>大气环境保护目标</w:t>
      </w:r>
      <w:r>
        <w:rPr>
          <w:rFonts w:hint="eastAsia" w:ascii="Times New Roman" w:hAnsi="Times New Roman" w:eastAsia="宋体" w:cs="Times New Roman"/>
          <w:color w:val="000000" w:themeColor="text1"/>
          <w:sz w:val="24"/>
          <w:lang w:val="en-US" w:eastAsia="zh-CN"/>
          <w14:textFill>
            <w14:solidFill>
              <w14:schemeClr w14:val="tx1"/>
            </w14:solidFill>
          </w14:textFill>
        </w:rPr>
        <w:t>详见表1.5-1和图1.5-1</w:t>
      </w:r>
      <w:r>
        <w:rPr>
          <w:rFonts w:hint="eastAsia" w:ascii="Times New Roman" w:hAnsi="Times New Roman" w:eastAsia="宋体" w:cs="Times New Roman"/>
          <w:color w:val="000000" w:themeColor="text1"/>
          <w:sz w:val="24"/>
          <w14:textFill>
            <w14:solidFill>
              <w14:schemeClr w14:val="tx1"/>
            </w14:solidFill>
          </w14:textFill>
        </w:rPr>
        <w:t>。</w:t>
      </w:r>
    </w:p>
    <w:p>
      <w:pPr>
        <w:pageBreakBefore w:val="0"/>
        <w:kinsoku/>
        <w:bidi w:val="0"/>
        <w:adjustRightInd w:val="0"/>
        <w:snapToGrid w:val="0"/>
        <w:spacing w:beforeAutospacing="0" w:afterAutospacing="0"/>
        <w:jc w:val="cente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表1.5-1</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 项目环境保护目标一览表</w:t>
      </w:r>
    </w:p>
    <w:tbl>
      <w:tblPr>
        <w:tblStyle w:val="33"/>
        <w:tblW w:w="884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66"/>
        <w:gridCol w:w="1590"/>
        <w:gridCol w:w="1600"/>
        <w:gridCol w:w="1278"/>
        <w:gridCol w:w="1150"/>
        <w:gridCol w:w="18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5" w:hRule="atLeast"/>
          <w:jc w:val="center"/>
        </w:trPr>
        <w:tc>
          <w:tcPr>
            <w:tcW w:w="1366" w:type="dxa"/>
            <w:tcBorders>
              <w:top w:val="single" w:color="auto" w:sz="12" w:space="0"/>
            </w:tcBorders>
            <w:vAlign w:val="center"/>
          </w:tcPr>
          <w:p>
            <w:pPr>
              <w:pStyle w:val="146"/>
              <w:keepNext w:val="0"/>
              <w:keepLines w:val="0"/>
              <w:pageBreakBefore w:val="0"/>
              <w:kinsoku/>
              <w:wordWrap/>
              <w:overflowPunct/>
              <w:topLinePunct w:val="0"/>
              <w:bidi w:val="0"/>
              <w:adjustRightInd w:val="0"/>
              <w:snapToGrid w:val="0"/>
              <w:spacing w:before="0" w:beforeAutospacing="0" w:after="0" w:afterAutospacing="0"/>
              <w:jc w:val="center"/>
              <w:textAlignment w:val="auto"/>
              <w:outlineLvl w:val="9"/>
              <w:rPr>
                <w:rFonts w:ascii="Times New Roman" w:hAnsi="Times New Roman" w:eastAsia="宋体"/>
                <w:b w:val="0"/>
                <w:bCs w:val="0"/>
                <w:color w:val="000000" w:themeColor="text1"/>
                <w:szCs w:val="21"/>
                <w:highlight w:val="none"/>
                <w:lang w:val="zh-CN"/>
                <w14:textFill>
                  <w14:solidFill>
                    <w14:schemeClr w14:val="tx1"/>
                  </w14:solidFill>
                </w14:textFill>
              </w:rPr>
            </w:pPr>
            <w:r>
              <w:rPr>
                <w:rFonts w:ascii="Times New Roman" w:hAnsi="Times New Roman" w:eastAsia="宋体"/>
                <w:b w:val="0"/>
                <w:bCs w:val="0"/>
                <w:color w:val="000000" w:themeColor="text1"/>
                <w:szCs w:val="21"/>
                <w:highlight w:val="none"/>
                <w:lang w:val="zh-CN"/>
                <w14:textFill>
                  <w14:solidFill>
                    <w14:schemeClr w14:val="tx1"/>
                  </w14:solidFill>
                </w14:textFill>
              </w:rPr>
              <w:t>名称</w:t>
            </w:r>
          </w:p>
        </w:tc>
        <w:tc>
          <w:tcPr>
            <w:tcW w:w="1590" w:type="dxa"/>
            <w:tcBorders>
              <w:top w:val="single" w:color="auto" w:sz="12" w:space="0"/>
            </w:tcBorders>
            <w:vAlign w:val="center"/>
          </w:tcPr>
          <w:p>
            <w:pPr>
              <w:pStyle w:val="146"/>
              <w:keepNext w:val="0"/>
              <w:keepLines w:val="0"/>
              <w:pageBreakBefore w:val="0"/>
              <w:kinsoku/>
              <w:wordWrap/>
              <w:overflowPunct/>
              <w:topLinePunct w:val="0"/>
              <w:bidi w:val="0"/>
              <w:adjustRightInd w:val="0"/>
              <w:snapToGrid w:val="0"/>
              <w:spacing w:before="0" w:beforeAutospacing="0" w:after="0" w:afterAutospacing="0"/>
              <w:jc w:val="center"/>
              <w:textAlignment w:val="auto"/>
              <w:outlineLvl w:val="9"/>
              <w:rPr>
                <w:rFonts w:ascii="Times New Roman" w:hAnsi="Times New Roman" w:eastAsia="宋体"/>
                <w:b w:val="0"/>
                <w:bCs w:val="0"/>
                <w:color w:val="000000" w:themeColor="text1"/>
                <w:szCs w:val="21"/>
                <w:highlight w:val="none"/>
                <w:lang w:val="zh-CN"/>
                <w14:textFill>
                  <w14:solidFill>
                    <w14:schemeClr w14:val="tx1"/>
                  </w14:solidFill>
                </w14:textFill>
              </w:rPr>
            </w:pPr>
            <w:r>
              <w:rPr>
                <w:rFonts w:ascii="Times New Roman" w:hAnsi="Times New Roman" w:eastAsia="宋体"/>
                <w:b w:val="0"/>
                <w:bCs w:val="0"/>
                <w:color w:val="000000" w:themeColor="text1"/>
                <w:szCs w:val="21"/>
                <w:highlight w:val="none"/>
                <w:lang w:val="zh-CN"/>
                <w14:textFill>
                  <w14:solidFill>
                    <w14:schemeClr w14:val="tx1"/>
                  </w14:solidFill>
                </w14:textFill>
              </w:rPr>
              <w:t>相对厂址方位</w:t>
            </w:r>
          </w:p>
        </w:tc>
        <w:tc>
          <w:tcPr>
            <w:tcW w:w="1600" w:type="dxa"/>
            <w:tcBorders>
              <w:top w:val="single" w:color="auto" w:sz="12" w:space="0"/>
            </w:tcBorders>
            <w:vAlign w:val="center"/>
          </w:tcPr>
          <w:p>
            <w:pPr>
              <w:pStyle w:val="146"/>
              <w:keepNext w:val="0"/>
              <w:keepLines w:val="0"/>
              <w:pageBreakBefore w:val="0"/>
              <w:kinsoku/>
              <w:wordWrap/>
              <w:overflowPunct/>
              <w:topLinePunct w:val="0"/>
              <w:bidi w:val="0"/>
              <w:adjustRightInd w:val="0"/>
              <w:snapToGrid w:val="0"/>
              <w:spacing w:before="0" w:beforeAutospacing="0" w:after="0" w:afterAutospacing="0"/>
              <w:jc w:val="center"/>
              <w:textAlignment w:val="auto"/>
              <w:outlineLvl w:val="9"/>
              <w:rPr>
                <w:rFonts w:ascii="Times New Roman" w:hAnsi="Times New Roman" w:eastAsia="宋体"/>
                <w:b w:val="0"/>
                <w:bCs w:val="0"/>
                <w:color w:val="000000" w:themeColor="text1"/>
                <w:szCs w:val="21"/>
                <w:highlight w:val="none"/>
                <w:lang w:val="zh-CN"/>
                <w14:textFill>
                  <w14:solidFill>
                    <w14:schemeClr w14:val="tx1"/>
                  </w14:solidFill>
                </w14:textFill>
              </w:rPr>
            </w:pPr>
            <w:r>
              <w:rPr>
                <w:rFonts w:ascii="Times New Roman" w:hAnsi="Times New Roman" w:eastAsia="宋体"/>
                <w:b w:val="0"/>
                <w:bCs w:val="0"/>
                <w:color w:val="000000" w:themeColor="text1"/>
                <w:szCs w:val="21"/>
                <w:highlight w:val="none"/>
                <w:lang w:val="zh-CN"/>
                <w14:textFill>
                  <w14:solidFill>
                    <w14:schemeClr w14:val="tx1"/>
                  </w14:solidFill>
                </w14:textFill>
              </w:rPr>
              <w:t>相对厂界距离</w:t>
            </w:r>
            <w:r>
              <w:rPr>
                <w:rFonts w:ascii="Times New Roman" w:hAnsi="Times New Roman" w:eastAsia="宋体"/>
                <w:b w:val="0"/>
                <w:bCs w:val="0"/>
                <w:color w:val="000000" w:themeColor="text1"/>
                <w:szCs w:val="21"/>
                <w:highlight w:val="none"/>
                <w14:textFill>
                  <w14:solidFill>
                    <w14:schemeClr w14:val="tx1"/>
                  </w14:solidFill>
                </w14:textFill>
              </w:rPr>
              <w:t>/m</w:t>
            </w:r>
          </w:p>
        </w:tc>
        <w:tc>
          <w:tcPr>
            <w:tcW w:w="1278" w:type="dxa"/>
            <w:tcBorders>
              <w:top w:val="single" w:color="auto" w:sz="12" w:space="0"/>
            </w:tcBorders>
            <w:vAlign w:val="center"/>
          </w:tcPr>
          <w:p>
            <w:pPr>
              <w:pStyle w:val="146"/>
              <w:keepNext w:val="0"/>
              <w:keepLines w:val="0"/>
              <w:pageBreakBefore w:val="0"/>
              <w:kinsoku/>
              <w:wordWrap/>
              <w:overflowPunct/>
              <w:topLinePunct w:val="0"/>
              <w:bidi w:val="0"/>
              <w:adjustRightInd w:val="0"/>
              <w:snapToGrid w:val="0"/>
              <w:spacing w:before="0" w:beforeAutospacing="0" w:after="0" w:afterAutospacing="0"/>
              <w:jc w:val="center"/>
              <w:textAlignment w:val="auto"/>
              <w:outlineLvl w:val="9"/>
              <w:rPr>
                <w:rFonts w:ascii="Times New Roman" w:hAnsi="Times New Roman" w:eastAsia="宋体"/>
                <w:b w:val="0"/>
                <w:bCs w:val="0"/>
                <w:color w:val="000000" w:themeColor="text1"/>
                <w:szCs w:val="21"/>
                <w:highlight w:val="none"/>
                <w:lang w:val="zh-CN"/>
                <w14:textFill>
                  <w14:solidFill>
                    <w14:schemeClr w14:val="tx1"/>
                  </w14:solidFill>
                </w14:textFill>
              </w:rPr>
            </w:pPr>
            <w:r>
              <w:rPr>
                <w:rFonts w:ascii="Times New Roman" w:hAnsi="Times New Roman" w:eastAsia="宋体"/>
                <w:b w:val="0"/>
                <w:bCs w:val="0"/>
                <w:color w:val="000000" w:themeColor="text1"/>
                <w:szCs w:val="21"/>
                <w:highlight w:val="none"/>
                <w:lang w:val="zh-CN"/>
                <w14:textFill>
                  <w14:solidFill>
                    <w14:schemeClr w14:val="tx1"/>
                  </w14:solidFill>
                </w14:textFill>
              </w:rPr>
              <w:t>保护对象</w:t>
            </w:r>
          </w:p>
        </w:tc>
        <w:tc>
          <w:tcPr>
            <w:tcW w:w="1150" w:type="dxa"/>
            <w:tcBorders>
              <w:top w:val="single" w:color="auto" w:sz="12" w:space="0"/>
            </w:tcBorders>
            <w:vAlign w:val="center"/>
          </w:tcPr>
          <w:p>
            <w:pPr>
              <w:pStyle w:val="146"/>
              <w:keepNext w:val="0"/>
              <w:keepLines w:val="0"/>
              <w:pageBreakBefore w:val="0"/>
              <w:kinsoku/>
              <w:wordWrap/>
              <w:overflowPunct/>
              <w:topLinePunct w:val="0"/>
              <w:bidi w:val="0"/>
              <w:adjustRightInd w:val="0"/>
              <w:snapToGrid w:val="0"/>
              <w:spacing w:before="0" w:beforeAutospacing="0" w:after="0" w:afterAutospacing="0"/>
              <w:jc w:val="center"/>
              <w:textAlignment w:val="auto"/>
              <w:outlineLvl w:val="9"/>
              <w:rPr>
                <w:rFonts w:ascii="Times New Roman" w:hAnsi="Times New Roman" w:eastAsia="宋体"/>
                <w:b w:val="0"/>
                <w:bCs w:val="0"/>
                <w:color w:val="000000" w:themeColor="text1"/>
                <w:szCs w:val="21"/>
                <w:highlight w:val="none"/>
                <w:lang w:val="zh-CN"/>
                <w14:textFill>
                  <w14:solidFill>
                    <w14:schemeClr w14:val="tx1"/>
                  </w14:solidFill>
                </w14:textFill>
              </w:rPr>
            </w:pPr>
            <w:r>
              <w:rPr>
                <w:rFonts w:ascii="Times New Roman" w:hAnsi="Times New Roman" w:eastAsia="宋体"/>
                <w:b w:val="0"/>
                <w:bCs w:val="0"/>
                <w:color w:val="000000" w:themeColor="text1"/>
                <w:szCs w:val="21"/>
                <w:highlight w:val="none"/>
                <w:lang w:val="zh-CN"/>
                <w14:textFill>
                  <w14:solidFill>
                    <w14:schemeClr w14:val="tx1"/>
                  </w14:solidFill>
                </w14:textFill>
              </w:rPr>
              <w:t>保护内容</w:t>
            </w:r>
          </w:p>
        </w:tc>
        <w:tc>
          <w:tcPr>
            <w:tcW w:w="1860" w:type="dxa"/>
            <w:tcBorders>
              <w:top w:val="single" w:color="auto" w:sz="12" w:space="0"/>
            </w:tcBorders>
            <w:vAlign w:val="center"/>
          </w:tcPr>
          <w:p>
            <w:pPr>
              <w:pStyle w:val="146"/>
              <w:keepNext w:val="0"/>
              <w:keepLines w:val="0"/>
              <w:pageBreakBefore w:val="0"/>
              <w:kinsoku/>
              <w:wordWrap/>
              <w:overflowPunct/>
              <w:topLinePunct w:val="0"/>
              <w:bidi w:val="0"/>
              <w:adjustRightInd w:val="0"/>
              <w:snapToGrid w:val="0"/>
              <w:spacing w:before="0" w:beforeAutospacing="0" w:after="0" w:afterAutospacing="0"/>
              <w:jc w:val="center"/>
              <w:textAlignment w:val="auto"/>
              <w:outlineLvl w:val="9"/>
              <w:rPr>
                <w:rFonts w:ascii="Times New Roman" w:hAnsi="Times New Roman" w:eastAsia="宋体"/>
                <w:b w:val="0"/>
                <w:bCs w:val="0"/>
                <w:color w:val="000000" w:themeColor="text1"/>
                <w:szCs w:val="21"/>
                <w:highlight w:val="none"/>
                <w:lang w:val="zh-CN"/>
                <w14:textFill>
                  <w14:solidFill>
                    <w14:schemeClr w14:val="tx1"/>
                  </w14:solidFill>
                </w14:textFill>
              </w:rPr>
            </w:pPr>
            <w:r>
              <w:rPr>
                <w:rFonts w:ascii="Times New Roman" w:hAnsi="Times New Roman" w:eastAsia="宋体"/>
                <w:b w:val="0"/>
                <w:bCs w:val="0"/>
                <w:color w:val="000000" w:themeColor="text1"/>
                <w:szCs w:val="21"/>
                <w:highlight w:val="none"/>
                <w:lang w:val="zh-CN"/>
                <w14:textFill>
                  <w14:solidFill>
                    <w14:schemeClr w14:val="tx1"/>
                  </w14:solidFill>
                </w14:textFill>
              </w:rPr>
              <w:t>环境功能区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66" w:type="dxa"/>
            <w:vAlign w:val="center"/>
          </w:tcPr>
          <w:p>
            <w:pPr>
              <w:keepNext w:val="0"/>
              <w:keepLines w:val="0"/>
              <w:pageBreakBefore w:val="0"/>
              <w:widowControl/>
              <w:kinsoku/>
              <w:wordWrap/>
              <w:overflowPunct/>
              <w:topLinePunct w:val="0"/>
              <w:bidi w:val="0"/>
              <w:snapToGrid w:val="0"/>
              <w:spacing w:beforeAutospacing="0" w:afterAutospacing="0"/>
              <w:jc w:val="center"/>
              <w:textAlignment w:val="auto"/>
              <w:outlineLvl w:val="9"/>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沿州村</w:t>
            </w:r>
          </w:p>
        </w:tc>
        <w:tc>
          <w:tcPr>
            <w:tcW w:w="1590" w:type="dxa"/>
            <w:vAlign w:val="center"/>
          </w:tcPr>
          <w:p>
            <w:pPr>
              <w:keepNext w:val="0"/>
              <w:keepLines w:val="0"/>
              <w:pageBreakBefore w:val="0"/>
              <w:widowControl/>
              <w:kinsoku/>
              <w:wordWrap/>
              <w:overflowPunct/>
              <w:topLinePunct w:val="0"/>
              <w:bidi w:val="0"/>
              <w:snapToGrid w:val="0"/>
              <w:spacing w:beforeAutospacing="0" w:afterAutospacing="0"/>
              <w:jc w:val="center"/>
              <w:textAlignment w:val="auto"/>
              <w:outlineLvl w:val="9"/>
              <w:rPr>
                <w:rFonts w:hint="eastAsia" w:ascii="Times New Roman" w:hAnsi="Times New Roman" w:eastAsia="宋体"/>
                <w:color w:val="000000" w:themeColor="text1"/>
                <w:szCs w:val="21"/>
                <w:highlight w:val="none"/>
                <w:lang w:val="zh-CN"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西南</w:t>
            </w:r>
          </w:p>
        </w:tc>
        <w:tc>
          <w:tcPr>
            <w:tcW w:w="1600" w:type="dxa"/>
            <w:vAlign w:val="center"/>
          </w:tcPr>
          <w:p>
            <w:pPr>
              <w:pStyle w:val="147"/>
              <w:keepNext w:val="0"/>
              <w:keepLines w:val="0"/>
              <w:pageBreakBefore w:val="0"/>
              <w:kinsoku/>
              <w:wordWrap/>
              <w:overflowPunct/>
              <w:topLinePunct w:val="0"/>
              <w:bidi w:val="0"/>
              <w:snapToGrid w:val="0"/>
              <w:spacing w:beforeAutospacing="0" w:afterAutospacing="0"/>
              <w:textAlignment w:val="auto"/>
              <w:outlineLvl w:val="9"/>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917</w:t>
            </w:r>
          </w:p>
        </w:tc>
        <w:tc>
          <w:tcPr>
            <w:tcW w:w="1278" w:type="dxa"/>
            <w:vMerge w:val="restart"/>
            <w:vAlign w:val="center"/>
          </w:tcPr>
          <w:p>
            <w:pPr>
              <w:pStyle w:val="147"/>
              <w:keepNext w:val="0"/>
              <w:keepLines w:val="0"/>
              <w:pageBreakBefore w:val="0"/>
              <w:kinsoku/>
              <w:wordWrap/>
              <w:overflowPunct/>
              <w:topLinePunct w:val="0"/>
              <w:bidi w:val="0"/>
              <w:snapToGrid w:val="0"/>
              <w:spacing w:beforeAutospacing="0" w:afterAutospacing="0"/>
              <w:textAlignment w:val="auto"/>
              <w:outlineLvl w:val="9"/>
              <w:rPr>
                <w:rFonts w:hint="eastAsia" w:ascii="Times New Roman" w:hAnsi="Times New Roman" w:eastAsia="宋体"/>
                <w:color w:val="000000" w:themeColor="text1"/>
                <w:highlight w:val="none"/>
                <w:lang w:eastAsia="zh-CN"/>
                <w14:textFill>
                  <w14:solidFill>
                    <w14:schemeClr w14:val="tx1"/>
                  </w14:solidFill>
                </w14:textFill>
              </w:rPr>
            </w:pPr>
            <w:r>
              <w:rPr>
                <w:rFonts w:hint="eastAsia" w:ascii="Times New Roman" w:hAnsi="Times New Roman" w:eastAsia="宋体"/>
                <w:color w:val="000000" w:themeColor="text1"/>
                <w:highlight w:val="none"/>
                <w:lang w:eastAsia="zh-CN"/>
                <w14:textFill>
                  <w14:solidFill>
                    <w14:schemeClr w14:val="tx1"/>
                  </w14:solidFill>
                </w14:textFill>
              </w:rPr>
              <w:t>居民</w:t>
            </w:r>
          </w:p>
        </w:tc>
        <w:tc>
          <w:tcPr>
            <w:tcW w:w="1150" w:type="dxa"/>
            <w:vMerge w:val="restart"/>
            <w:vAlign w:val="center"/>
          </w:tcPr>
          <w:p>
            <w:pPr>
              <w:pStyle w:val="146"/>
              <w:keepNext w:val="0"/>
              <w:keepLines w:val="0"/>
              <w:pageBreakBefore w:val="0"/>
              <w:kinsoku/>
              <w:wordWrap/>
              <w:overflowPunct/>
              <w:topLinePunct w:val="0"/>
              <w:bidi w:val="0"/>
              <w:adjustRightInd w:val="0"/>
              <w:snapToGrid w:val="0"/>
              <w:spacing w:before="0" w:beforeAutospacing="0" w:after="0" w:afterAutospacing="0"/>
              <w:jc w:val="center"/>
              <w:textAlignment w:val="auto"/>
              <w:outlineLvl w:val="9"/>
              <w:rPr>
                <w:rFonts w:ascii="Times New Roman" w:hAnsi="Times New Roman" w:eastAsia="宋体"/>
                <w:color w:val="000000" w:themeColor="text1"/>
                <w:szCs w:val="21"/>
                <w:highlight w:val="none"/>
                <w:lang w:val="zh-CN"/>
                <w14:textFill>
                  <w14:solidFill>
                    <w14:schemeClr w14:val="tx1"/>
                  </w14:solidFill>
                </w14:textFill>
              </w:rPr>
            </w:pPr>
            <w:r>
              <w:rPr>
                <w:rFonts w:ascii="Times New Roman" w:hAnsi="Times New Roman" w:eastAsia="宋体"/>
                <w:color w:val="000000" w:themeColor="text1"/>
                <w:szCs w:val="21"/>
                <w:highlight w:val="none"/>
                <w:lang w:val="zh-CN"/>
                <w14:textFill>
                  <w14:solidFill>
                    <w14:schemeClr w14:val="tx1"/>
                  </w14:solidFill>
                </w14:textFill>
              </w:rPr>
              <w:t>大气环境</w:t>
            </w:r>
          </w:p>
        </w:tc>
        <w:tc>
          <w:tcPr>
            <w:tcW w:w="1860" w:type="dxa"/>
            <w:vMerge w:val="restart"/>
            <w:vAlign w:val="center"/>
          </w:tcPr>
          <w:p>
            <w:pPr>
              <w:pStyle w:val="146"/>
              <w:keepNext w:val="0"/>
              <w:keepLines w:val="0"/>
              <w:pageBreakBefore w:val="0"/>
              <w:kinsoku/>
              <w:wordWrap/>
              <w:overflowPunct/>
              <w:topLinePunct w:val="0"/>
              <w:bidi w:val="0"/>
              <w:adjustRightInd w:val="0"/>
              <w:snapToGrid w:val="0"/>
              <w:spacing w:before="0" w:beforeAutospacing="0" w:after="0" w:afterAutospacing="0"/>
              <w:jc w:val="center"/>
              <w:textAlignment w:val="auto"/>
              <w:outlineLvl w:val="9"/>
              <w:rPr>
                <w:rFonts w:ascii="Times New Roman" w:hAnsi="Times New Roman" w:eastAsia="宋体"/>
                <w:color w:val="000000" w:themeColor="text1"/>
                <w:szCs w:val="21"/>
                <w:highlight w:val="none"/>
                <w:lang w:val="zh-CN"/>
                <w14:textFill>
                  <w14:solidFill>
                    <w14:schemeClr w14:val="tx1"/>
                  </w14:solidFill>
                </w14:textFill>
              </w:rPr>
            </w:pPr>
            <w:r>
              <w:rPr>
                <w:rFonts w:ascii="Times New Roman" w:hAnsi="Times New Roman" w:eastAsia="宋体"/>
                <w:color w:val="000000" w:themeColor="text1"/>
                <w:szCs w:val="21"/>
                <w:highlight w:val="none"/>
                <w:lang w:val="zh-CN"/>
                <w14:textFill>
                  <w14:solidFill>
                    <w14:schemeClr w14:val="tx1"/>
                  </w14:solidFill>
                </w14:textFill>
              </w:rPr>
              <w:t>《环境空气质量标准》（GB3095-2012）中二级标准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66" w:type="dxa"/>
            <w:vAlign w:val="center"/>
          </w:tcPr>
          <w:p>
            <w:pPr>
              <w:keepNext w:val="0"/>
              <w:keepLines w:val="0"/>
              <w:pageBreakBefore w:val="0"/>
              <w:widowControl/>
              <w:kinsoku/>
              <w:wordWrap/>
              <w:overflowPunct/>
              <w:topLinePunct w:val="0"/>
              <w:bidi w:val="0"/>
              <w:snapToGrid w:val="0"/>
              <w:spacing w:beforeAutospacing="0" w:afterAutospacing="0"/>
              <w:jc w:val="center"/>
              <w:textAlignment w:val="auto"/>
              <w:outlineLvl w:val="9"/>
              <w:rPr>
                <w:rFonts w:hint="eastAsia" w:ascii="Times New Roman" w:hAnsi="Times New Roman" w:eastAsia="宋体"/>
                <w:color w:val="000000" w:themeColor="text1"/>
                <w:szCs w:val="21"/>
                <w:highlight w:val="none"/>
                <w:lang w:val="zh-CN"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白岩村</w:t>
            </w:r>
          </w:p>
        </w:tc>
        <w:tc>
          <w:tcPr>
            <w:tcW w:w="1590" w:type="dxa"/>
            <w:vAlign w:val="center"/>
          </w:tcPr>
          <w:p>
            <w:pPr>
              <w:keepNext w:val="0"/>
              <w:keepLines w:val="0"/>
              <w:pageBreakBefore w:val="0"/>
              <w:widowControl/>
              <w:kinsoku/>
              <w:wordWrap/>
              <w:overflowPunct/>
              <w:topLinePunct w:val="0"/>
              <w:bidi w:val="0"/>
              <w:snapToGrid w:val="0"/>
              <w:spacing w:beforeAutospacing="0" w:afterAutospacing="0"/>
              <w:jc w:val="center"/>
              <w:textAlignment w:val="auto"/>
              <w:outlineLvl w:val="9"/>
              <w:rPr>
                <w:rFonts w:ascii="Times New Roman" w:hAnsi="Times New Roman" w:eastAsia="宋体"/>
                <w:color w:val="000000" w:themeColor="text1"/>
                <w:szCs w:val="21"/>
                <w:highlight w:val="none"/>
                <w:lang w:val="zh-CN"/>
                <w14:textFill>
                  <w14:solidFill>
                    <w14:schemeClr w14:val="tx1"/>
                  </w14:solidFill>
                </w14:textFill>
              </w:rPr>
            </w:pPr>
            <w:r>
              <w:rPr>
                <w:rFonts w:ascii="Times New Roman" w:hAnsi="Times New Roman" w:eastAsia="宋体"/>
                <w:color w:val="000000" w:themeColor="text1"/>
                <w:szCs w:val="21"/>
                <w:highlight w:val="none"/>
                <w:lang w:val="zh-CN"/>
                <w14:textFill>
                  <w14:solidFill>
                    <w14:schemeClr w14:val="tx1"/>
                  </w14:solidFill>
                </w14:textFill>
              </w:rPr>
              <w:t>西</w:t>
            </w:r>
          </w:p>
        </w:tc>
        <w:tc>
          <w:tcPr>
            <w:tcW w:w="1600" w:type="dxa"/>
            <w:vAlign w:val="center"/>
          </w:tcPr>
          <w:p>
            <w:pPr>
              <w:pStyle w:val="147"/>
              <w:keepNext w:val="0"/>
              <w:keepLines w:val="0"/>
              <w:pageBreakBefore w:val="0"/>
              <w:kinsoku/>
              <w:wordWrap/>
              <w:overflowPunct/>
              <w:topLinePunct w:val="0"/>
              <w:bidi w:val="0"/>
              <w:snapToGrid w:val="0"/>
              <w:spacing w:beforeAutospacing="0" w:afterAutospacing="0"/>
              <w:textAlignment w:val="auto"/>
              <w:outlineLvl w:val="9"/>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1241</w:t>
            </w:r>
          </w:p>
        </w:tc>
        <w:tc>
          <w:tcPr>
            <w:tcW w:w="1278" w:type="dxa"/>
            <w:vMerge w:val="continue"/>
            <w:vAlign w:val="center"/>
          </w:tcPr>
          <w:p>
            <w:pPr>
              <w:pStyle w:val="147"/>
              <w:keepNext w:val="0"/>
              <w:keepLines w:val="0"/>
              <w:pageBreakBefore w:val="0"/>
              <w:kinsoku/>
              <w:wordWrap/>
              <w:overflowPunct/>
              <w:topLinePunct w:val="0"/>
              <w:bidi w:val="0"/>
              <w:snapToGrid w:val="0"/>
              <w:spacing w:beforeAutospacing="0" w:afterAutospacing="0"/>
              <w:textAlignment w:val="auto"/>
              <w:outlineLvl w:val="9"/>
              <w:rPr>
                <w:rFonts w:ascii="Times New Roman" w:hAnsi="Times New Roman" w:eastAsia="宋体"/>
                <w:color w:val="000000" w:themeColor="text1"/>
                <w:highlight w:val="none"/>
                <w:lang w:val="zh-CN"/>
                <w14:textFill>
                  <w14:solidFill>
                    <w14:schemeClr w14:val="tx1"/>
                  </w14:solidFill>
                </w14:textFill>
              </w:rPr>
            </w:pPr>
          </w:p>
        </w:tc>
        <w:tc>
          <w:tcPr>
            <w:tcW w:w="1150" w:type="dxa"/>
            <w:vMerge w:val="continue"/>
            <w:vAlign w:val="center"/>
          </w:tcPr>
          <w:p>
            <w:pPr>
              <w:pStyle w:val="146"/>
              <w:keepNext w:val="0"/>
              <w:keepLines w:val="0"/>
              <w:pageBreakBefore w:val="0"/>
              <w:kinsoku/>
              <w:wordWrap/>
              <w:overflowPunct/>
              <w:topLinePunct w:val="0"/>
              <w:bidi w:val="0"/>
              <w:adjustRightInd w:val="0"/>
              <w:snapToGrid w:val="0"/>
              <w:spacing w:before="0" w:beforeAutospacing="0" w:after="0" w:afterAutospacing="0"/>
              <w:jc w:val="center"/>
              <w:textAlignment w:val="auto"/>
              <w:outlineLvl w:val="9"/>
              <w:rPr>
                <w:rFonts w:ascii="Times New Roman" w:hAnsi="Times New Roman" w:eastAsia="宋体"/>
                <w:color w:val="000000" w:themeColor="text1"/>
                <w:szCs w:val="21"/>
                <w:highlight w:val="none"/>
                <w:lang w:val="zh-CN"/>
                <w14:textFill>
                  <w14:solidFill>
                    <w14:schemeClr w14:val="tx1"/>
                  </w14:solidFill>
                </w14:textFill>
              </w:rPr>
            </w:pPr>
          </w:p>
        </w:tc>
        <w:tc>
          <w:tcPr>
            <w:tcW w:w="1860" w:type="dxa"/>
            <w:vMerge w:val="continue"/>
            <w:vAlign w:val="center"/>
          </w:tcPr>
          <w:p>
            <w:pPr>
              <w:pStyle w:val="146"/>
              <w:keepNext w:val="0"/>
              <w:keepLines w:val="0"/>
              <w:pageBreakBefore w:val="0"/>
              <w:kinsoku/>
              <w:wordWrap/>
              <w:overflowPunct/>
              <w:topLinePunct w:val="0"/>
              <w:bidi w:val="0"/>
              <w:adjustRightInd w:val="0"/>
              <w:snapToGrid w:val="0"/>
              <w:spacing w:before="0" w:beforeAutospacing="0" w:after="0" w:afterAutospacing="0"/>
              <w:jc w:val="center"/>
              <w:textAlignment w:val="auto"/>
              <w:outlineLvl w:val="9"/>
              <w:rPr>
                <w:rFonts w:ascii="Times New Roman" w:hAnsi="Times New Roman" w:eastAsia="宋体"/>
                <w:color w:val="000000" w:themeColor="text1"/>
                <w:szCs w:val="21"/>
                <w:highlight w:val="none"/>
                <w:lang w:val="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66" w:type="dxa"/>
            <w:vAlign w:val="center"/>
          </w:tcPr>
          <w:p>
            <w:pPr>
              <w:keepNext w:val="0"/>
              <w:keepLines w:val="0"/>
              <w:pageBreakBefore w:val="0"/>
              <w:widowControl/>
              <w:kinsoku/>
              <w:wordWrap/>
              <w:overflowPunct/>
              <w:topLinePunct w:val="0"/>
              <w:bidi w:val="0"/>
              <w:snapToGrid w:val="0"/>
              <w:spacing w:beforeAutospacing="0" w:afterAutospacing="0"/>
              <w:jc w:val="center"/>
              <w:textAlignment w:val="auto"/>
              <w:outlineLvl w:val="9"/>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双屿村</w:t>
            </w:r>
          </w:p>
        </w:tc>
        <w:tc>
          <w:tcPr>
            <w:tcW w:w="1590" w:type="dxa"/>
            <w:vAlign w:val="center"/>
          </w:tcPr>
          <w:p>
            <w:pPr>
              <w:keepNext w:val="0"/>
              <w:keepLines w:val="0"/>
              <w:pageBreakBefore w:val="0"/>
              <w:widowControl/>
              <w:kinsoku/>
              <w:wordWrap/>
              <w:overflowPunct/>
              <w:topLinePunct w:val="0"/>
              <w:bidi w:val="0"/>
              <w:snapToGrid w:val="0"/>
              <w:spacing w:beforeAutospacing="0" w:afterAutospacing="0"/>
              <w:jc w:val="center"/>
              <w:textAlignment w:val="auto"/>
              <w:outlineLvl w:val="9"/>
              <w:rPr>
                <w:rFonts w:hint="default" w:ascii="Times New Roman" w:hAnsi="Times New Roman" w:eastAsia="宋体"/>
                <w:color w:val="000000" w:themeColor="text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highlight w:val="none"/>
                <w:lang w:val="en-US" w:eastAsia="zh-CN"/>
                <w14:textFill>
                  <w14:solidFill>
                    <w14:schemeClr w14:val="tx1"/>
                  </w14:solidFill>
                </w14:textFill>
              </w:rPr>
              <w:t>东北</w:t>
            </w:r>
          </w:p>
        </w:tc>
        <w:tc>
          <w:tcPr>
            <w:tcW w:w="1600" w:type="dxa"/>
            <w:vAlign w:val="center"/>
          </w:tcPr>
          <w:p>
            <w:pPr>
              <w:pStyle w:val="147"/>
              <w:keepNext w:val="0"/>
              <w:keepLines w:val="0"/>
              <w:pageBreakBefore w:val="0"/>
              <w:kinsoku/>
              <w:wordWrap/>
              <w:overflowPunct/>
              <w:topLinePunct w:val="0"/>
              <w:bidi w:val="0"/>
              <w:snapToGrid w:val="0"/>
              <w:spacing w:beforeAutospacing="0" w:afterAutospacing="0"/>
              <w:textAlignment w:val="auto"/>
              <w:outlineLvl w:val="9"/>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1989</w:t>
            </w:r>
          </w:p>
        </w:tc>
        <w:tc>
          <w:tcPr>
            <w:tcW w:w="1278" w:type="dxa"/>
            <w:vMerge w:val="continue"/>
            <w:vAlign w:val="center"/>
          </w:tcPr>
          <w:p>
            <w:pPr>
              <w:pStyle w:val="147"/>
              <w:keepNext w:val="0"/>
              <w:keepLines w:val="0"/>
              <w:pageBreakBefore w:val="0"/>
              <w:kinsoku/>
              <w:wordWrap/>
              <w:overflowPunct/>
              <w:topLinePunct w:val="0"/>
              <w:bidi w:val="0"/>
              <w:snapToGrid w:val="0"/>
              <w:spacing w:beforeAutospacing="0" w:afterAutospacing="0"/>
              <w:textAlignment w:val="auto"/>
              <w:outlineLvl w:val="9"/>
              <w:rPr>
                <w:rFonts w:hint="eastAsia" w:ascii="Times New Roman" w:hAnsi="Times New Roman" w:eastAsia="宋体"/>
                <w:color w:val="000000" w:themeColor="text1"/>
                <w:highlight w:val="none"/>
                <w:lang w:val="en-US" w:eastAsia="zh-CN"/>
                <w14:textFill>
                  <w14:solidFill>
                    <w14:schemeClr w14:val="tx1"/>
                  </w14:solidFill>
                </w14:textFill>
              </w:rPr>
            </w:pPr>
          </w:p>
        </w:tc>
        <w:tc>
          <w:tcPr>
            <w:tcW w:w="1150" w:type="dxa"/>
            <w:vMerge w:val="continue"/>
            <w:vAlign w:val="center"/>
          </w:tcPr>
          <w:p>
            <w:pPr>
              <w:pStyle w:val="146"/>
              <w:keepNext w:val="0"/>
              <w:keepLines w:val="0"/>
              <w:pageBreakBefore w:val="0"/>
              <w:kinsoku/>
              <w:wordWrap/>
              <w:overflowPunct/>
              <w:topLinePunct w:val="0"/>
              <w:bidi w:val="0"/>
              <w:adjustRightInd w:val="0"/>
              <w:snapToGrid w:val="0"/>
              <w:spacing w:before="0" w:beforeAutospacing="0" w:after="0" w:afterAutospacing="0"/>
              <w:jc w:val="center"/>
              <w:textAlignment w:val="auto"/>
              <w:outlineLvl w:val="9"/>
              <w:rPr>
                <w:rFonts w:ascii="Times New Roman" w:hAnsi="Times New Roman" w:eastAsia="宋体"/>
                <w:color w:val="000000" w:themeColor="text1"/>
                <w:szCs w:val="21"/>
                <w:highlight w:val="none"/>
                <w:lang w:val="zh-CN"/>
                <w14:textFill>
                  <w14:solidFill>
                    <w14:schemeClr w14:val="tx1"/>
                  </w14:solidFill>
                </w14:textFill>
              </w:rPr>
            </w:pPr>
          </w:p>
        </w:tc>
        <w:tc>
          <w:tcPr>
            <w:tcW w:w="1860" w:type="dxa"/>
            <w:vMerge w:val="continue"/>
            <w:vAlign w:val="center"/>
          </w:tcPr>
          <w:p>
            <w:pPr>
              <w:pStyle w:val="146"/>
              <w:keepNext w:val="0"/>
              <w:keepLines w:val="0"/>
              <w:pageBreakBefore w:val="0"/>
              <w:kinsoku/>
              <w:wordWrap/>
              <w:overflowPunct/>
              <w:topLinePunct w:val="0"/>
              <w:bidi w:val="0"/>
              <w:adjustRightInd w:val="0"/>
              <w:snapToGrid w:val="0"/>
              <w:spacing w:before="0" w:beforeAutospacing="0" w:after="0" w:afterAutospacing="0"/>
              <w:jc w:val="center"/>
              <w:textAlignment w:val="auto"/>
              <w:outlineLvl w:val="9"/>
              <w:rPr>
                <w:rFonts w:ascii="Times New Roman" w:hAnsi="Times New Roman" w:eastAsia="宋体"/>
                <w:color w:val="000000" w:themeColor="text1"/>
                <w:szCs w:val="21"/>
                <w:highlight w:val="none"/>
                <w:lang w:val="zh-CN"/>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jc w:val="both"/>
        <w:textAlignment w:val="auto"/>
        <w:outlineLvl w:val="9"/>
        <w:rPr>
          <w:rFonts w:hint="eastAsia" w:ascii="Times New Roman" w:hAnsi="Times New Roman" w:eastAsia="宋体"/>
          <w:color w:val="000000" w:themeColor="text1"/>
          <w:sz w:val="24"/>
          <w:szCs w:val="24"/>
          <w:highlight w:val="none"/>
          <w:lang w:eastAsia="zh-CN"/>
          <w14:textFill>
            <w14:solidFill>
              <w14:schemeClr w14:val="tx1"/>
            </w14:solidFill>
          </w14:textFill>
        </w:rPr>
      </w:pPr>
      <w:r>
        <w:rPr>
          <w:rFonts w:hint="eastAsia" w:ascii="Times New Roman" w:hAnsi="Times New Roman" w:eastAsia="宋体"/>
          <w:color w:val="000000" w:themeColor="text1"/>
          <w:sz w:val="24"/>
          <w:szCs w:val="24"/>
          <w:highlight w:val="none"/>
          <w:lang w:eastAsia="zh-CN"/>
          <w14:textFill>
            <w14:solidFill>
              <w14:schemeClr w14:val="tx1"/>
            </w14:solidFill>
          </w14:textFill>
        </w:rPr>
        <w:drawing>
          <wp:inline distT="0" distB="0" distL="114300" distR="114300">
            <wp:extent cx="5615940" cy="4429125"/>
            <wp:effectExtent l="0" t="0" r="3810" b="9525"/>
            <wp:docPr id="227" name="图片 227" descr="万成码头大气评价范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万成码头大气评价范围"/>
                    <pic:cNvPicPr>
                      <a:picLocks noChangeAspect="1"/>
                    </pic:cNvPicPr>
                  </pic:nvPicPr>
                  <pic:blipFill>
                    <a:blip r:embed="rId39"/>
                    <a:stretch>
                      <a:fillRect/>
                    </a:stretch>
                  </pic:blipFill>
                  <pic:spPr>
                    <a:xfrm>
                      <a:off x="0" y="0"/>
                      <a:ext cx="5615940" cy="4429125"/>
                    </a:xfrm>
                    <a:prstGeom prst="rect">
                      <a:avLst/>
                    </a:prstGeom>
                  </pic:spPr>
                </pic:pic>
              </a:graphicData>
            </a:graphic>
          </wp:inline>
        </w:drawing>
      </w:r>
    </w:p>
    <w:p>
      <w:pPr>
        <w:pageBreakBefore w:val="0"/>
        <w:kinsoku/>
        <w:bidi w:val="0"/>
        <w:adjustRightInd w:val="0"/>
        <w:snapToGrid w:val="0"/>
        <w:spacing w:beforeAutospacing="0" w:afterAutospacing="0"/>
        <w:jc w:val="cente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图1.5-1   大气环境保护目标及大气评价范围图</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outlineLvl w:val="0"/>
        <w:rPr>
          <w:rFonts w:hint="default" w:ascii="Times New Roman" w:hAnsi="Times New Roman" w:eastAsia="宋体" w:cs="Times New Roman"/>
          <w:b/>
          <w:bCs/>
          <w:color w:val="000000" w:themeColor="text1"/>
          <w:sz w:val="32"/>
          <w:szCs w:val="40"/>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32"/>
          <w:szCs w:val="40"/>
          <w:highlight w:val="none"/>
          <w:lang w:val="en-US" w:eastAsia="zh-CN"/>
          <w14:textFill>
            <w14:solidFill>
              <w14:schemeClr w14:val="tx1"/>
            </w14:solidFill>
          </w14:textFill>
        </w:rPr>
        <w:t>2</w:t>
      </w:r>
      <w:r>
        <w:rPr>
          <w:rFonts w:hint="eastAsia" w:ascii="Times New Roman" w:hAnsi="Times New Roman" w:eastAsia="宋体" w:cs="Times New Roman"/>
          <w:b/>
          <w:bCs/>
          <w:color w:val="000000" w:themeColor="text1"/>
          <w:sz w:val="32"/>
          <w:szCs w:val="40"/>
          <w:highlight w:val="none"/>
          <w:lang w:eastAsia="zh-CN"/>
          <w14:textFill>
            <w14:solidFill>
              <w14:schemeClr w14:val="tx1"/>
            </w14:solidFill>
          </w14:textFill>
        </w:rPr>
        <w:t>、</w:t>
      </w:r>
      <w:r>
        <w:rPr>
          <w:rFonts w:hint="eastAsia" w:ascii="Times New Roman" w:hAnsi="Times New Roman" w:eastAsia="宋体" w:cs="Times New Roman"/>
          <w:b/>
          <w:bCs/>
          <w:color w:val="000000" w:themeColor="text1"/>
          <w:sz w:val="32"/>
          <w:szCs w:val="40"/>
          <w:highlight w:val="none"/>
          <w:lang w:val="en-US" w:eastAsia="zh-CN"/>
          <w14:textFill>
            <w14:solidFill>
              <w14:schemeClr w14:val="tx1"/>
            </w14:solidFill>
          </w14:textFill>
        </w:rPr>
        <w:t>工程分析</w:t>
      </w:r>
    </w:p>
    <w:p>
      <w:pPr>
        <w:pStyle w:val="11"/>
        <w:pageBreakBefore w:val="0"/>
        <w:kinsoku/>
        <w:bidi w:val="0"/>
        <w:spacing w:beforeAutospacing="0" w:afterAutospacing="0"/>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2.1施工期源强分析</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jc w:val="both"/>
        <w:textAlignment w:val="auto"/>
        <w:outlineLvl w:val="9"/>
        <w:rPr>
          <w:rFonts w:hint="default" w:ascii="Times New Roman" w:hAnsi="Times New Roman" w:eastAsia="宋体" w:cs="Times New Roman"/>
          <w:snapToGrid w:val="0"/>
          <w:color w:val="000000" w:themeColor="text1"/>
          <w:kern w:val="2"/>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u w:val="none" w:color="auto"/>
          <w:shd w:val="clear" w:color="auto" w:fill="auto"/>
          <w:lang w:val="en-US" w:eastAsia="zh-CN" w:bidi="ar-SA"/>
          <w14:textFill>
            <w14:solidFill>
              <w14:schemeClr w14:val="tx1"/>
            </w14:solidFill>
          </w14:textFill>
        </w:rPr>
        <w:t>本项目</w:t>
      </w:r>
      <w:r>
        <w:rPr>
          <w:rFonts w:hint="eastAsia" w:ascii="Times New Roman" w:hAnsi="Times New Roman" w:eastAsia="宋体" w:cs="Times New Roman"/>
          <w:b w:val="0"/>
          <w:bCs w:val="0"/>
          <w:color w:val="000000" w:themeColor="text1"/>
          <w:kern w:val="2"/>
          <w:sz w:val="24"/>
          <w:szCs w:val="24"/>
          <w:highlight w:val="none"/>
          <w:u w:val="none" w:color="auto"/>
          <w:shd w:val="clear" w:color="auto" w:fill="auto"/>
          <w:lang w:val="en-US" w:eastAsia="zh-CN" w:bidi="ar-SA"/>
          <w14:textFill>
            <w14:solidFill>
              <w14:schemeClr w14:val="tx1"/>
            </w14:solidFill>
          </w14:textFill>
        </w:rPr>
        <w:t>施工期</w:t>
      </w:r>
      <w:r>
        <w:rPr>
          <w:rFonts w:hint="default" w:ascii="Times New Roman" w:hAnsi="Times New Roman" w:eastAsia="宋体" w:cs="Times New Roman"/>
          <w:b w:val="0"/>
          <w:bCs w:val="0"/>
          <w:color w:val="000000" w:themeColor="text1"/>
          <w:kern w:val="2"/>
          <w:sz w:val="24"/>
          <w:szCs w:val="24"/>
          <w:highlight w:val="none"/>
          <w:u w:val="none" w:color="auto"/>
          <w:shd w:val="clear" w:color="auto" w:fill="auto"/>
          <w:lang w:val="en-US" w:eastAsia="zh-CN" w:bidi="ar-SA"/>
          <w14:textFill>
            <w14:solidFill>
              <w14:schemeClr w14:val="tx1"/>
            </w14:solidFill>
          </w14:textFill>
        </w:rPr>
        <w:t>主要大气污染物为</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表层土剥离粉尘；</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钻孔与凿岩粉尘</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喂料口粉尘</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14:textFill>
            <w14:solidFill>
              <w14:schemeClr w14:val="tx1"/>
            </w14:solidFill>
          </w14:textFill>
        </w:rPr>
        <w:t>生产线粉尘</w:t>
      </w:r>
      <w:r>
        <w:rPr>
          <w:rFonts w:hint="default" w:ascii="Times New Roman" w:hAnsi="Times New Roman" w:eastAsia="宋体" w:cs="Times New Roman"/>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堆料粉尘</w:t>
      </w:r>
      <w:r>
        <w:rPr>
          <w:rFonts w:hint="default" w:ascii="Times New Roman" w:hAnsi="Times New Roman" w:eastAsia="宋体" w:cs="Times New Roman"/>
          <w:b w:val="0"/>
          <w:bCs/>
          <w:color w:val="000000" w:themeColor="text1"/>
          <w:sz w:val="24"/>
          <w:szCs w:val="24"/>
          <w:highlight w:val="none"/>
          <w:lang w:val="en-US"/>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物料输送及转运过程产生的粉</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尘</w:t>
      </w:r>
      <w:r>
        <w:rPr>
          <w:rFonts w:hint="eastAsia"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车辆</w:t>
      </w:r>
      <w:r>
        <w:rPr>
          <w:rFonts w:hint="default" w:ascii="Times New Roman" w:hAnsi="Times New Roman" w:eastAsia="宋体" w:cs="Times New Roman"/>
          <w:b w:val="0"/>
          <w:bCs/>
          <w:color w:val="000000" w:themeColor="text1"/>
          <w:sz w:val="24"/>
          <w:szCs w:val="24"/>
          <w:highlight w:val="none"/>
          <w:lang w:val="en-US"/>
          <w14:textFill>
            <w14:solidFill>
              <w14:schemeClr w14:val="tx1"/>
            </w14:solidFill>
          </w14:textFill>
        </w:rPr>
        <w:t>运输起尘</w:t>
      </w:r>
      <w:r>
        <w:rPr>
          <w:rFonts w:hint="default" w:ascii="Times New Roman" w:hAnsi="Times New Roman" w:eastAsia="宋体" w:cs="Times New Roman"/>
          <w:snapToGrid w:val="0"/>
          <w:color w:val="000000" w:themeColor="text1"/>
          <w:kern w:val="2"/>
          <w:sz w:val="24"/>
          <w:szCs w:val="24"/>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jc w:val="both"/>
        <w:textAlignment w:val="auto"/>
        <w:outlineLvl w:val="9"/>
        <w:rPr>
          <w:rFonts w:hint="default" w:ascii="Times New Roman" w:hAnsi="Times New Roman" w:eastAsia="宋体" w:cs="Times New Roman"/>
          <w:b w:val="0"/>
          <w:bCs w:val="0"/>
          <w:color w:val="000000" w:themeColor="text1"/>
          <w:kern w:val="2"/>
          <w:sz w:val="24"/>
          <w:szCs w:val="24"/>
          <w:highlight w:val="none"/>
          <w:u w:val="none" w:color="auto"/>
          <w:shd w:val="clear" w:color="auto" w:fill="auto"/>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u w:val="none" w:color="auto"/>
          <w:shd w:val="clear" w:color="auto" w:fill="auto"/>
          <w:lang w:val="en-US" w:eastAsia="zh-CN" w:bidi="ar-SA"/>
          <w14:textFill>
            <w14:solidFill>
              <w14:schemeClr w14:val="tx1"/>
            </w14:solidFill>
          </w14:textFill>
        </w:rPr>
        <w:t>（1）场地平整过程</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jc w:val="both"/>
        <w:textAlignment w:val="auto"/>
        <w:outlineLvl w:val="9"/>
        <w:rPr>
          <w:rFonts w:hint="default" w:ascii="Times New Roman" w:hAnsi="Times New Roman" w:eastAsia="宋体" w:cs="Times New Roman"/>
          <w:b w:val="0"/>
          <w:bCs w:val="0"/>
          <w:color w:val="000000" w:themeColor="text1"/>
          <w:kern w:val="2"/>
          <w:sz w:val="24"/>
          <w:szCs w:val="24"/>
          <w:highlight w:val="none"/>
          <w:u w:val="none" w:color="auto"/>
          <w:shd w:val="clear" w:color="auto" w:fill="auto"/>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u w:val="none" w:color="auto"/>
          <w:shd w:val="clear" w:color="auto" w:fill="auto"/>
          <w:lang w:val="en-US" w:eastAsia="zh-CN" w:bidi="ar-SA"/>
          <w14:textFill>
            <w14:solidFill>
              <w14:schemeClr w14:val="tx1"/>
            </w14:solidFill>
          </w14:textFill>
        </w:rPr>
        <w:t>①表土剥离粉尘</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u w:val="none" w:color="auto"/>
          <w:shd w:val="clear" w:color="auto" w:fill="auto"/>
          <w:lang w:val="en-US" w:eastAsia="zh-CN" w:bidi="ar-SA"/>
          <w14:textFill>
            <w14:solidFill>
              <w14:schemeClr w14:val="tx1"/>
            </w14:solidFill>
          </w14:textFill>
        </w:rPr>
        <w:t>本</w:t>
      </w:r>
      <w:r>
        <w:rPr>
          <w:rFonts w:hint="default" w:ascii="Times New Roman" w:hAnsi="Times New Roman" w:eastAsia="宋体" w:cs="Times New Roman"/>
          <w:b w:val="0"/>
          <w:bCs w:val="0"/>
          <w:color w:val="000000" w:themeColor="text1"/>
          <w:kern w:val="2"/>
          <w:sz w:val="24"/>
          <w:szCs w:val="24"/>
          <w:highlight w:val="none"/>
          <w:u w:val="none" w:color="auto"/>
          <w:shd w:val="clear" w:color="auto" w:fill="auto"/>
          <w:lang w:val="en-US" w:eastAsia="zh-CN" w:bidi="ar-SA"/>
          <w14:textFill>
            <w14:solidFill>
              <w14:schemeClr w14:val="tx1"/>
            </w14:solidFill>
          </w14:textFill>
        </w:rPr>
        <w:t>项目场地平整过程剥离表层土</w:t>
      </w:r>
      <w:r>
        <w:rPr>
          <w:rFonts w:hint="default" w:ascii="Times New Roman" w:hAnsi="Times New Roman" w:eastAsia="宋体" w:cs="Times New Roman"/>
          <w:b w:val="0"/>
          <w:color w:val="000000" w:themeColor="text1"/>
          <w:sz w:val="24"/>
          <w:szCs w:val="24"/>
          <w:highlight w:val="none"/>
          <w:lang w:eastAsia="zh-CN"/>
          <w14:textFill>
            <w14:solidFill>
              <w14:schemeClr w14:val="tx1"/>
            </w14:solidFill>
          </w14:textFill>
        </w:rPr>
        <w:t>，使土层内的</w:t>
      </w: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砂石土资源</w:t>
      </w:r>
      <w:r>
        <w:rPr>
          <w:rFonts w:hint="default" w:ascii="Times New Roman" w:hAnsi="Times New Roman" w:eastAsia="宋体" w:cs="Times New Roman"/>
          <w:b w:val="0"/>
          <w:color w:val="000000" w:themeColor="text1"/>
          <w:sz w:val="24"/>
          <w:szCs w:val="24"/>
          <w:highlight w:val="none"/>
          <w:lang w:eastAsia="zh-CN"/>
          <w14:textFill>
            <w14:solidFill>
              <w14:schemeClr w14:val="tx1"/>
            </w14:solidFill>
          </w14:textFill>
        </w:rPr>
        <w:t>裸露</w:t>
      </w:r>
      <w:r>
        <w:rPr>
          <w:rFonts w:hint="default" w:ascii="Times New Roman" w:hAnsi="Times New Roman" w:eastAsia="宋体" w:cs="Times New Roman"/>
          <w:b w:val="0"/>
          <w:bCs w:val="0"/>
          <w:color w:val="000000" w:themeColor="text1"/>
          <w:kern w:val="2"/>
          <w:sz w:val="24"/>
          <w:szCs w:val="24"/>
          <w:highlight w:val="none"/>
          <w:u w:val="none" w:color="auto"/>
          <w:shd w:val="clear" w:color="auto" w:fill="auto"/>
          <w:lang w:val="en-US" w:eastAsia="zh-CN" w:bidi="ar-SA"/>
          <w14:textFill>
            <w14:solidFill>
              <w14:schemeClr w14:val="tx1"/>
            </w14:solidFill>
          </w14:textFill>
        </w:rPr>
        <w:t>。</w:t>
      </w:r>
      <w:r>
        <w:rPr>
          <w:rFonts w:hint="default" w:ascii="Times New Roman" w:hAnsi="Times New Roman" w:eastAsia="宋体" w:cs="Times New Roman"/>
          <w:b w:val="0"/>
          <w:color w:val="000000" w:themeColor="text1"/>
          <w:sz w:val="24"/>
          <w:szCs w:val="24"/>
          <w:highlight w:val="none"/>
          <w:lang w:val="en-US" w:eastAsia="zh-CN"/>
          <w14:textFill>
            <w14:solidFill>
              <w14:schemeClr w14:val="tx1"/>
            </w14:solidFill>
          </w14:textFill>
        </w:rPr>
        <w:t>砂石土资源</w:t>
      </w:r>
      <w:r>
        <w:rPr>
          <w:rFonts w:hint="default" w:ascii="Times New Roman" w:hAnsi="Times New Roman" w:eastAsia="宋体" w:cs="Times New Roman"/>
          <w:b w:val="0"/>
          <w:bCs w:val="0"/>
          <w:color w:val="000000" w:themeColor="text1"/>
          <w:kern w:val="2"/>
          <w:sz w:val="24"/>
          <w:szCs w:val="24"/>
          <w:highlight w:val="none"/>
          <w:u w:val="none" w:color="auto"/>
          <w:shd w:val="clear" w:color="auto" w:fill="auto"/>
          <w:lang w:val="en-US" w:eastAsia="zh-CN" w:bidi="ar-SA"/>
          <w14:textFill>
            <w14:solidFill>
              <w14:schemeClr w14:val="tx1"/>
            </w14:solidFill>
          </w14:textFill>
        </w:rPr>
        <w:t>采用防尘密目网覆盖。</w:t>
      </w:r>
      <w:r>
        <w:rPr>
          <w:rFonts w:hint="eastAsia" w:ascii="Times New Roman" w:hAnsi="Times New Roman" w:eastAsia="宋体" w:cs="Times New Roman"/>
          <w:b w:val="0"/>
          <w:bCs w:val="0"/>
          <w:color w:val="000000" w:themeColor="text1"/>
          <w:kern w:val="2"/>
          <w:sz w:val="24"/>
          <w:szCs w:val="24"/>
          <w:highlight w:val="none"/>
          <w:u w:val="none" w:color="auto"/>
          <w:shd w:val="clear" w:color="auto" w:fill="auto"/>
          <w:lang w:val="en-US" w:eastAsia="zh-CN" w:bidi="ar-SA"/>
          <w14:textFill>
            <w14:solidFill>
              <w14:schemeClr w14:val="tx1"/>
            </w14:solidFill>
          </w14:textFill>
        </w:rPr>
        <w:t>场地平整</w:t>
      </w:r>
      <w:r>
        <w:rPr>
          <w:rFonts w:hint="default" w:ascii="Times New Roman" w:hAnsi="Times New Roman" w:eastAsia="宋体" w:cs="Times New Roman"/>
          <w:b w:val="0"/>
          <w:bCs w:val="0"/>
          <w:color w:val="000000" w:themeColor="text1"/>
          <w:kern w:val="2"/>
          <w:sz w:val="24"/>
          <w:szCs w:val="24"/>
          <w:highlight w:val="none"/>
          <w:u w:val="none" w:color="auto"/>
          <w:shd w:val="clear" w:color="auto" w:fill="auto"/>
          <w:lang w:val="en-US" w:eastAsia="zh-CN" w:bidi="ar-SA"/>
          <w14:textFill>
            <w14:solidFill>
              <w14:schemeClr w14:val="tx1"/>
            </w14:solidFill>
          </w14:textFill>
        </w:rPr>
        <w:t>作业时，可收网作业，</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采取湿法剥离，土壤湿润</w:t>
      </w:r>
      <w:r>
        <w:rPr>
          <w:rFonts w:hint="default" w:ascii="Times New Roman" w:hAnsi="Times New Roman" w:eastAsia="宋体" w:cs="Times New Roman"/>
          <w:b w:val="0"/>
          <w:bCs w:val="0"/>
          <w:color w:val="000000" w:themeColor="text1"/>
          <w:kern w:val="2"/>
          <w:sz w:val="24"/>
          <w:szCs w:val="24"/>
          <w:highlight w:val="none"/>
          <w:u w:val="none" w:color="auto"/>
          <w:shd w:val="clear" w:color="auto" w:fill="auto"/>
          <w:lang w:val="en-US" w:eastAsia="zh-CN" w:bidi="ar-SA"/>
          <w14:textFill>
            <w14:solidFill>
              <w14:schemeClr w14:val="tx1"/>
            </w14:solidFill>
          </w14:textFill>
        </w:rPr>
        <w:t>，作业结束加盖防尘密目网，减少因风力作用产生</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无组织扬尘</w:t>
      </w:r>
      <w:r>
        <w:rPr>
          <w:rFonts w:hint="default" w:ascii="Times New Roman" w:hAnsi="Times New Roman" w:eastAsia="宋体" w:cs="Times New Roman"/>
          <w:color w:val="000000" w:themeColor="text1"/>
          <w:sz w:val="24"/>
          <w:szCs w:val="24"/>
          <w:highlight w:val="none"/>
          <w:shd w:val="clear" w:color="auto" w:fill="auto"/>
          <w:lang w:eastAsia="zh-CN"/>
          <w14:textFill>
            <w14:solidFill>
              <w14:schemeClr w14:val="tx1"/>
            </w14:solidFill>
          </w14:textFill>
        </w:rPr>
        <w:t>，基本不会对环境造成污染</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jc w:val="both"/>
        <w:textAlignment w:val="auto"/>
        <w:outlineLvl w:val="9"/>
        <w:rPr>
          <w:rFonts w:hint="default" w:ascii="Times New Roman" w:hAnsi="Times New Roman" w:eastAsia="宋体" w:cs="Times New Roman"/>
          <w:b w:val="0"/>
          <w:bCs w:val="0"/>
          <w:color w:val="000000" w:themeColor="text1"/>
          <w:kern w:val="2"/>
          <w:sz w:val="24"/>
          <w:szCs w:val="24"/>
          <w:highlight w:val="none"/>
          <w:u w:val="none" w:color="auto"/>
          <w:shd w:val="clear" w:color="auto" w:fill="auto"/>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u w:val="none" w:color="auto"/>
          <w:shd w:val="clear" w:color="auto" w:fill="auto"/>
          <w:lang w:val="en-US" w:eastAsia="zh-CN" w:bidi="ar-SA"/>
          <w14:textFill>
            <w14:solidFill>
              <w14:schemeClr w14:val="tx1"/>
            </w14:solidFill>
          </w14:textFill>
        </w:rPr>
        <w:t>②钻孔与凿岩粉尘</w:t>
      </w:r>
    </w:p>
    <w:p>
      <w:pPr>
        <w:keepNext w:val="0"/>
        <w:keepLines w:val="0"/>
        <w:pageBreakBefore w:val="0"/>
        <w:kinsoku/>
        <w:wordWrap/>
        <w:overflowPunct/>
        <w:topLinePunct w:val="0"/>
        <w:bidi w:val="0"/>
        <w:spacing w:beforeAutospacing="0" w:afterAutospacing="0"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pPr>
      <w:r>
        <w:rPr>
          <w:rFonts w:hint="eastAsia" w:ascii="Times New Roman" w:hAnsi="Times New Roman" w:eastAsia="宋体" w:cs="Times New Roman"/>
          <w:color w:val="000000" w:themeColor="text1"/>
          <w:sz w:val="24"/>
          <w:szCs w:val="24"/>
          <w:highlight w:val="none"/>
          <w:shd w:val="clear" w:color="auto" w:fill="auto"/>
          <w:lang w:eastAsia="zh-CN"/>
          <w14:textFill>
            <w14:solidFill>
              <w14:schemeClr w14:val="tx1"/>
            </w14:solidFill>
          </w14:textFill>
        </w:rPr>
        <w:t>本</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项目凿岩钻孔时，钻头撞击岩石产生粉尘，根据《露天采矿场粉尘污染及其防治》（张震宇，2006）研究表明：在没有防尘措施的条件下，钻机附近空气中的平均粉尘浓度约129.8mg/m</w:t>
      </w:r>
      <w:r>
        <w:rPr>
          <w:rFonts w:hint="default" w:ascii="Times New Roman" w:hAnsi="Times New Roman" w:eastAsia="宋体" w:cs="Times New Roman"/>
          <w:color w:val="000000" w:themeColor="text1"/>
          <w:sz w:val="24"/>
          <w:szCs w:val="24"/>
          <w:highlight w:val="none"/>
          <w:shd w:val="clear" w:color="auto" w:fill="auto"/>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，最高可达448.9mg/m</w:t>
      </w:r>
      <w:r>
        <w:rPr>
          <w:rFonts w:hint="default" w:ascii="Times New Roman" w:hAnsi="Times New Roman" w:eastAsia="宋体" w:cs="Times New Roman"/>
          <w:color w:val="000000" w:themeColor="text1"/>
          <w:sz w:val="24"/>
          <w:szCs w:val="24"/>
          <w:highlight w:val="none"/>
          <w:shd w:val="clear" w:color="auto" w:fill="auto"/>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。为降低粉尘的危害，在凿岩钻孔过程中一般采用</w:t>
      </w:r>
      <w:r>
        <w:rPr>
          <w:rFonts w:hint="default" w:ascii="Times New Roman" w:hAnsi="Times New Roman" w:eastAsia="宋体" w:cs="Times New Roman"/>
          <w:color w:val="000000" w:themeColor="text1"/>
          <w:sz w:val="24"/>
          <w:szCs w:val="24"/>
          <w:highlight w:val="none"/>
          <w14:textFill>
            <w14:solidFill>
              <w14:schemeClr w14:val="tx1"/>
            </w14:solidFill>
          </w14:textFill>
        </w:rPr>
        <w:t>钻机配套布袋除尘器收尘措施</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抑制钻机和凿岩工作中的粉尘。根据类比调查结果，</w:t>
      </w:r>
      <w:r>
        <w:rPr>
          <w:rFonts w:hint="default" w:ascii="Times New Roman" w:hAnsi="Times New Roman" w:eastAsia="宋体" w:cs="Times New Roman"/>
          <w:color w:val="000000" w:themeColor="text1"/>
          <w:sz w:val="24"/>
          <w:szCs w:val="24"/>
          <w:highlight w:val="none"/>
          <w14:textFill>
            <w14:solidFill>
              <w14:schemeClr w14:val="tx1"/>
            </w14:solidFill>
          </w14:textFill>
        </w:rPr>
        <w:t>钻机配套布袋除尘器收尘措施</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可有效收集</w:t>
      </w:r>
      <w:r>
        <w:rPr>
          <w:rFonts w:hint="default" w:ascii="Times New Roman" w:hAnsi="Times New Roman" w:eastAsia="宋体" w:cs="Times New Roman"/>
          <w:b w:val="0"/>
          <w:bCs w:val="0"/>
          <w:color w:val="000000" w:themeColor="text1"/>
          <w:kern w:val="2"/>
          <w:sz w:val="24"/>
          <w:szCs w:val="24"/>
          <w:highlight w:val="none"/>
          <w:u w:val="none" w:color="auto"/>
          <w:shd w:val="clear" w:color="auto" w:fill="auto"/>
          <w:lang w:val="en-US" w:eastAsia="zh-CN" w:bidi="ar-SA"/>
          <w14:textFill>
            <w14:solidFill>
              <w14:schemeClr w14:val="tx1"/>
            </w14:solidFill>
          </w14:textFill>
        </w:rPr>
        <w:t>钻孔凿岩过程中产生的粉尘</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，少量呈面源形式排放。</w:t>
      </w:r>
    </w:p>
    <w:p>
      <w:pPr>
        <w:keepNext w:val="0"/>
        <w:keepLines w:val="0"/>
        <w:pageBreakBefore w:val="0"/>
        <w:kinsoku/>
        <w:wordWrap/>
        <w:overflowPunct/>
        <w:topLinePunct w:val="0"/>
        <w:bidi w:val="0"/>
        <w:spacing w:beforeAutospacing="0" w:afterAutospacing="0"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本项目工程在凿岩钻孔过程中采用</w:t>
      </w:r>
      <w:r>
        <w:rPr>
          <w:rFonts w:hint="default" w:ascii="Times New Roman" w:hAnsi="Times New Roman" w:eastAsia="宋体" w:cs="Times New Roman"/>
          <w:color w:val="000000" w:themeColor="text1"/>
          <w:sz w:val="24"/>
          <w:szCs w:val="24"/>
          <w:highlight w:val="none"/>
          <w14:textFill>
            <w14:solidFill>
              <w14:schemeClr w14:val="tx1"/>
            </w14:solidFill>
          </w14:textFill>
        </w:rPr>
        <w:t>钻机配套布袋除尘器收尘措施</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，大大降低了扬尘的排放量。根据《深凹露天矿粉尘污染及扩散规律分析》（杨玉新，2003），钻机作业时粉尘无组织排放量为1.05kg/</w:t>
      </w:r>
      <w:r>
        <w:rPr>
          <w:rFonts w:hint="default" w:ascii="Times New Roman" w:hAnsi="Times New Roman" w:eastAsia="宋体" w:cs="Times New Roman"/>
          <w:color w:val="000000" w:themeColor="text1"/>
          <w:sz w:val="24"/>
          <w:szCs w:val="24"/>
          <w:highlight w:val="none"/>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台·h</w:t>
      </w:r>
      <w:r>
        <w:rPr>
          <w:rFonts w:hint="eastAsia" w:ascii="Times New Roman" w:hAnsi="Times New Roman" w:eastAsia="宋体" w:cs="Times New Roman"/>
          <w:color w:val="000000" w:themeColor="text1"/>
          <w:sz w:val="24"/>
          <w:szCs w:val="24"/>
          <w:highlight w:val="none"/>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，该工段每</w:t>
      </w:r>
      <w:r>
        <w:rPr>
          <w:rFonts w:hint="default"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半个</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月工作</w:t>
      </w:r>
      <w:r>
        <w:rPr>
          <w:rFonts w:hint="default"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4h</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，则该工段采用湿法作业时粉尘无组织产生量为</w:t>
      </w:r>
      <w:r>
        <w:rPr>
          <w:rFonts w:hint="default" w:ascii="Times New Roman" w:hAnsi="Times New Roman" w:eastAsia="宋体" w:cs="Times New Roman"/>
          <w:snapToGrid w:val="0"/>
          <w:color w:val="000000" w:themeColor="text1"/>
          <w:sz w:val="24"/>
          <w:szCs w:val="24"/>
          <w:highlight w:val="none"/>
          <w:shd w:val="clear" w:color="auto" w:fill="auto"/>
          <w14:textFill>
            <w14:solidFill>
              <w14:schemeClr w14:val="tx1"/>
            </w14:solidFill>
          </w14:textFill>
        </w:rPr>
        <w:t>0.</w:t>
      </w:r>
      <w:r>
        <w:rPr>
          <w:rFonts w:hint="default" w:ascii="Times New Roman" w:hAnsi="Times New Roman" w:eastAsia="宋体" w:cs="Times New Roman"/>
          <w:snapToGrid w:val="0"/>
          <w:color w:val="000000" w:themeColor="text1"/>
          <w:sz w:val="24"/>
          <w:szCs w:val="24"/>
          <w:highlight w:val="none"/>
          <w:shd w:val="clear" w:color="auto" w:fill="auto"/>
          <w:lang w:val="en-US" w:eastAsia="zh-CN"/>
          <w14:textFill>
            <w14:solidFill>
              <w14:schemeClr w14:val="tx1"/>
            </w14:solidFill>
          </w14:textFill>
        </w:rPr>
        <w:t>20</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t/a</w:t>
      </w:r>
      <w:r>
        <w:rPr>
          <w:rFonts w:hint="default" w:ascii="Times New Roman" w:hAnsi="Times New Roman" w:eastAsia="宋体" w:cs="Times New Roman"/>
          <w:color w:val="000000" w:themeColor="text1"/>
          <w:sz w:val="24"/>
          <w:szCs w:val="24"/>
          <w:highlight w:val="none"/>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即</w:t>
      </w:r>
      <w:r>
        <w:rPr>
          <w:rFonts w:hint="eastAsia" w:ascii="Times New Roman" w:hAnsi="Times New Roman" w:eastAsia="宋体" w:cs="Times New Roman"/>
          <w:snapToGrid w:val="0"/>
          <w:color w:val="000000" w:themeColor="text1"/>
          <w:sz w:val="24"/>
          <w:szCs w:val="24"/>
          <w:highlight w:val="none"/>
          <w:shd w:val="clear" w:color="auto" w:fill="auto"/>
          <w:lang w:val="en-US" w:eastAsia="zh-CN"/>
          <w14:textFill>
            <w14:solidFill>
              <w14:schemeClr w14:val="tx1"/>
            </w14:solidFill>
          </w14:textFill>
        </w:rPr>
        <w:t>1.05</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kg/h</w:t>
      </w:r>
      <w:r>
        <w:rPr>
          <w:rFonts w:hint="eastAsia" w:ascii="Times New Roman" w:hAnsi="Times New Roman" w:eastAsia="宋体" w:cs="Times New Roman"/>
          <w:color w:val="000000" w:themeColor="text1"/>
          <w:sz w:val="24"/>
          <w:szCs w:val="24"/>
          <w:highlight w:val="none"/>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，经</w:t>
      </w:r>
      <w:r>
        <w:rPr>
          <w:rFonts w:hint="default" w:ascii="Times New Roman" w:hAnsi="Times New Roman" w:eastAsia="宋体" w:cs="Times New Roman"/>
          <w:color w:val="000000" w:themeColor="text1"/>
          <w:sz w:val="24"/>
          <w:szCs w:val="24"/>
          <w:highlight w:val="none"/>
          <w14:textFill>
            <w14:solidFill>
              <w14:schemeClr w14:val="tx1"/>
            </w14:solidFill>
          </w14:textFill>
        </w:rPr>
        <w:t>布袋除尘器收尘措施</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后，除尘效率可达</w:t>
      </w:r>
      <w:r>
        <w:rPr>
          <w:rFonts w:hint="default"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95</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%以上，排放量为</w:t>
      </w:r>
      <w:r>
        <w:rPr>
          <w:rFonts w:hint="default" w:ascii="Times New Roman" w:hAnsi="Times New Roman" w:eastAsia="宋体" w:cs="Times New Roman"/>
          <w:snapToGrid w:val="0"/>
          <w:color w:val="000000" w:themeColor="text1"/>
          <w:sz w:val="24"/>
          <w:szCs w:val="24"/>
          <w:highlight w:val="none"/>
          <w:shd w:val="clear" w:color="auto" w:fill="auto"/>
          <w14:textFill>
            <w14:solidFill>
              <w14:schemeClr w14:val="tx1"/>
            </w14:solidFill>
          </w14:textFill>
        </w:rPr>
        <w:t>0.0</w:t>
      </w:r>
      <w:r>
        <w:rPr>
          <w:rFonts w:hint="default" w:ascii="Times New Roman" w:hAnsi="Times New Roman" w:eastAsia="宋体" w:cs="Times New Roman"/>
          <w:snapToGrid w:val="0"/>
          <w:color w:val="000000" w:themeColor="text1"/>
          <w:sz w:val="24"/>
          <w:szCs w:val="24"/>
          <w:highlight w:val="none"/>
          <w:shd w:val="clear" w:color="auto" w:fill="auto"/>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t/a</w:t>
      </w:r>
      <w:r>
        <w:rPr>
          <w:rFonts w:hint="default" w:ascii="Times New Roman" w:hAnsi="Times New Roman" w:eastAsia="宋体" w:cs="Times New Roman"/>
          <w:color w:val="000000" w:themeColor="text1"/>
          <w:sz w:val="24"/>
          <w:szCs w:val="24"/>
          <w:highlight w:val="none"/>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即</w:t>
      </w:r>
      <w:r>
        <w:rPr>
          <w:rFonts w:hint="default" w:ascii="Times New Roman" w:hAnsi="Times New Roman" w:eastAsia="宋体" w:cs="Times New Roman"/>
          <w:snapToGrid w:val="0"/>
          <w:color w:val="000000" w:themeColor="text1"/>
          <w:sz w:val="24"/>
          <w:szCs w:val="24"/>
          <w:highlight w:val="none"/>
          <w:shd w:val="clear" w:color="auto" w:fill="auto"/>
          <w14:textFill>
            <w14:solidFill>
              <w14:schemeClr w14:val="tx1"/>
            </w14:solidFill>
          </w14:textFill>
        </w:rPr>
        <w:t>0.</w:t>
      </w:r>
      <w:r>
        <w:rPr>
          <w:rFonts w:hint="eastAsia" w:ascii="Times New Roman" w:hAnsi="Times New Roman" w:eastAsia="宋体" w:cs="Times New Roman"/>
          <w:snapToGrid w:val="0"/>
          <w:color w:val="000000" w:themeColor="text1"/>
          <w:sz w:val="24"/>
          <w:szCs w:val="24"/>
          <w:highlight w:val="none"/>
          <w:shd w:val="clear" w:color="auto" w:fill="auto"/>
          <w:lang w:val="en-US" w:eastAsia="zh-CN"/>
          <w14:textFill>
            <w14:solidFill>
              <w14:schemeClr w14:val="tx1"/>
            </w14:solidFill>
          </w14:textFill>
        </w:rPr>
        <w:t>06</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kg/h</w:t>
      </w:r>
      <w:r>
        <w:rPr>
          <w:rFonts w:hint="eastAsia" w:ascii="Times New Roman" w:hAnsi="Times New Roman" w:eastAsia="宋体" w:cs="Times New Roman"/>
          <w:color w:val="000000" w:themeColor="text1"/>
          <w:sz w:val="24"/>
          <w:szCs w:val="24"/>
          <w:highlight w:val="none"/>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，可有效抑制粉尘排放</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jc w:val="both"/>
        <w:textAlignment w:val="auto"/>
        <w:outlineLvl w:val="9"/>
        <w:rPr>
          <w:rFonts w:hint="default" w:ascii="Times New Roman" w:hAnsi="Times New Roman" w:eastAsia="宋体" w:cs="Times New Roman"/>
          <w:b w:val="0"/>
          <w:bCs w:val="0"/>
          <w:color w:val="000000" w:themeColor="text1"/>
          <w:kern w:val="2"/>
          <w:sz w:val="24"/>
          <w:szCs w:val="24"/>
          <w:highlight w:val="none"/>
          <w:u w:val="none" w:color="auto"/>
          <w:shd w:val="clear" w:color="auto" w:fill="auto"/>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u w:val="none" w:color="auto"/>
          <w:shd w:val="clear" w:color="auto" w:fill="auto"/>
          <w:lang w:val="en-US" w:eastAsia="zh-CN" w:bidi="ar-SA"/>
          <w14:textFill>
            <w14:solidFill>
              <w14:schemeClr w14:val="tx1"/>
            </w14:solidFill>
          </w14:textFill>
        </w:rPr>
        <w:t>（2）配套加工（碎石加工）</w:t>
      </w:r>
    </w:p>
    <w:p>
      <w:pPr>
        <w:pStyle w:val="5"/>
        <w:keepNext w:val="0"/>
        <w:keepLines w:val="0"/>
        <w:pageBreakBefore w:val="0"/>
        <w:widowControl w:val="0"/>
        <w:kinsoku/>
        <w:wordWrap/>
        <w:overflowPunct/>
        <w:topLinePunct w:val="0"/>
        <w:bidi w:val="0"/>
        <w:snapToGrid/>
        <w:spacing w:before="0" w:beforeAutospacing="0" w:after="0" w:afterAutospacing="0" w:line="360" w:lineRule="auto"/>
        <w:ind w:firstLine="420"/>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①</w:t>
      </w:r>
      <w:r>
        <w:rPr>
          <w:rFonts w:hint="default" w:ascii="Times New Roman" w:hAnsi="Times New Roman" w:eastAsia="宋体" w:cs="Times New Roman"/>
          <w:color w:val="000000" w:themeColor="text1"/>
          <w:sz w:val="24"/>
          <w:szCs w:val="24"/>
          <w:highlight w:val="none"/>
          <w14:textFill>
            <w14:solidFill>
              <w14:schemeClr w14:val="tx1"/>
            </w14:solidFill>
          </w14:textFill>
        </w:rPr>
        <w:t>喂料口粉尘</w:t>
      </w:r>
    </w:p>
    <w:p>
      <w:pPr>
        <w:keepNext w:val="0"/>
        <w:keepLines w:val="0"/>
        <w:pageBreakBefore w:val="0"/>
        <w:kinsoku/>
        <w:wordWrap/>
        <w:overflowPunct/>
        <w:topLinePunct w:val="0"/>
        <w:bidi w:val="0"/>
        <w:spacing w:beforeAutospacing="0" w:afterAutospacing="0" w:line="360" w:lineRule="auto"/>
        <w:ind w:firstLine="480"/>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原料由装载机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从料槽</w:t>
      </w:r>
      <w:r>
        <w:rPr>
          <w:rFonts w:hint="default" w:ascii="Times New Roman" w:hAnsi="Times New Roman" w:eastAsia="宋体" w:cs="Times New Roman"/>
          <w:color w:val="000000" w:themeColor="text1"/>
          <w:sz w:val="24"/>
          <w:szCs w:val="24"/>
          <w:highlight w:val="none"/>
          <w14:textFill>
            <w14:solidFill>
              <w14:schemeClr w14:val="tx1"/>
            </w14:solidFill>
          </w14:textFill>
        </w:rPr>
        <w:t>喂料时由于存在高差，喂料过程会产生粉尘，</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由于本项目原料粒径较大，</w:t>
      </w:r>
      <w:r>
        <w:rPr>
          <w:rFonts w:hint="default" w:ascii="Times New Roman" w:hAnsi="Times New Roman" w:eastAsia="宋体" w:cs="Times New Roman"/>
          <w:color w:val="000000" w:themeColor="text1"/>
          <w:sz w:val="24"/>
          <w:szCs w:val="24"/>
          <w:highlight w:val="none"/>
          <w14:textFill>
            <w14:solidFill>
              <w14:schemeClr w14:val="tx1"/>
            </w14:solidFill>
          </w14:textFill>
        </w:rPr>
        <w:t>喂料口起尘量按照原料的0.0001%计算，即</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1.65</w:t>
      </w:r>
      <w:r>
        <w:rPr>
          <w:rFonts w:hint="default" w:ascii="Times New Roman" w:hAnsi="Times New Roman" w:eastAsia="宋体" w:cs="Times New Roman"/>
          <w:color w:val="000000" w:themeColor="text1"/>
          <w:sz w:val="24"/>
          <w:szCs w:val="24"/>
          <w:highlight w:val="none"/>
          <w14:textFill>
            <w14:solidFill>
              <w14:schemeClr w14:val="tx1"/>
            </w14:solidFill>
          </w14:textFill>
        </w:rPr>
        <w:t>t/a</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无组织粉尘</w:t>
      </w:r>
      <w:r>
        <w:rPr>
          <w:rFonts w:hint="default" w:ascii="Times New Roman" w:hAnsi="Times New Roman" w:eastAsia="宋体" w:cs="Times New Roman"/>
          <w:color w:val="000000" w:themeColor="text1"/>
          <w:sz w:val="24"/>
          <w:szCs w:val="24"/>
          <w:highlight w:val="none"/>
          <w14:textFill>
            <w14:solidFill>
              <w14:schemeClr w14:val="tx1"/>
            </w14:solidFill>
          </w14:textFill>
        </w:rPr>
        <w:t>通过洒水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抑尘、喷洒水雾、软帘密闭等措施，抑尘效率可达80%，故喂料口粉尘排放量为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0.33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t/a（0.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16</w:t>
      </w:r>
      <w:r>
        <w:rPr>
          <w:rFonts w:hint="default" w:ascii="Times New Roman" w:hAnsi="Times New Roman" w:eastAsia="宋体" w:cs="Times New Roman"/>
          <w:color w:val="000000" w:themeColor="text1"/>
          <w:sz w:val="24"/>
          <w:szCs w:val="24"/>
          <w:highlight w:val="none"/>
          <w14:textFill>
            <w14:solidFill>
              <w14:schemeClr w14:val="tx1"/>
            </w14:solidFill>
          </w14:textFill>
        </w:rPr>
        <w:t>kg/h）。</w:t>
      </w:r>
    </w:p>
    <w:p>
      <w:pPr>
        <w:pStyle w:val="5"/>
        <w:keepNext w:val="0"/>
        <w:keepLines w:val="0"/>
        <w:pageBreakBefore w:val="0"/>
        <w:kinsoku/>
        <w:wordWrap/>
        <w:overflowPunct/>
        <w:topLinePunct w:val="0"/>
        <w:bidi w:val="0"/>
        <w:snapToGrid/>
        <w:spacing w:before="0" w:beforeAutospacing="0" w:after="0" w:afterAutospacing="0"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②加工</w:t>
      </w:r>
      <w:r>
        <w:rPr>
          <w:rFonts w:hint="default" w:ascii="Times New Roman" w:hAnsi="Times New Roman" w:eastAsia="宋体" w:cs="Times New Roman"/>
          <w:color w:val="000000" w:themeColor="text1"/>
          <w:sz w:val="24"/>
          <w:szCs w:val="24"/>
          <w:highlight w:val="none"/>
          <w14:textFill>
            <w14:solidFill>
              <w14:schemeClr w14:val="tx1"/>
            </w14:solidFill>
          </w14:textFill>
        </w:rPr>
        <w:t>线粉尘</w:t>
      </w:r>
    </w:p>
    <w:p>
      <w:pPr>
        <w:keepNext w:val="0"/>
        <w:keepLines w:val="0"/>
        <w:pageBreakBefore w:val="0"/>
        <w:tabs>
          <w:tab w:val="center" w:pos="4918"/>
        </w:tabs>
        <w:kinsoku/>
        <w:wordWrap/>
        <w:overflowPunct/>
        <w:topLinePunct w:val="0"/>
        <w:bidi w:val="0"/>
        <w:spacing w:beforeAutospacing="0" w:afterAutospacing="0" w:line="360" w:lineRule="auto"/>
        <w:ind w:firstLine="480" w:firstLineChars="200"/>
        <w:jc w:val="both"/>
        <w:textAlignment w:val="auto"/>
        <w:outlineLvl w:val="9"/>
        <w:rPr>
          <w:rFonts w:hint="default" w:ascii="Times New Roman" w:hAnsi="Times New Roman" w:eastAsia="宋体"/>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本项目在破碎、筛分过程中会产生少量生产线粉尘，主要产尘点出现在破碎机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出料口和</w:t>
      </w:r>
      <w:r>
        <w:rPr>
          <w:rFonts w:hint="default" w:ascii="Times New Roman" w:hAnsi="Times New Roman" w:eastAsia="宋体" w:cs="Times New Roman"/>
          <w:color w:val="000000" w:themeColor="text1"/>
          <w:sz w:val="24"/>
          <w:szCs w:val="24"/>
          <w:highlight w:val="none"/>
          <w14:textFill>
            <w14:solidFill>
              <w14:schemeClr w14:val="tx1"/>
            </w14:solidFill>
          </w14:textFill>
        </w:rPr>
        <w:t>筛分机进落料口等处。</w:t>
      </w:r>
      <w:r>
        <w:rPr>
          <w:rFonts w:hint="default" w:ascii="Times New Roman" w:hAnsi="Times New Roman" w:eastAsia="宋体"/>
          <w:color w:val="000000" w:themeColor="text1"/>
          <w:sz w:val="24"/>
          <w:szCs w:val="24"/>
          <w14:textFill>
            <w14:solidFill>
              <w14:schemeClr w14:val="tx1"/>
            </w14:solidFill>
          </w14:textFill>
        </w:rPr>
        <w:t>本项目年</w:t>
      </w:r>
      <w:r>
        <w:rPr>
          <w:rFonts w:hint="eastAsia" w:ascii="Times New Roman" w:hAnsi="Times New Roman" w:eastAsia="宋体"/>
          <w:color w:val="000000" w:themeColor="text1"/>
          <w:sz w:val="24"/>
          <w:szCs w:val="24"/>
          <w:lang w:val="en-US" w:eastAsia="zh-CN"/>
          <w14:textFill>
            <w14:solidFill>
              <w14:schemeClr w14:val="tx1"/>
            </w14:solidFill>
          </w14:textFill>
        </w:rPr>
        <w:t>加工</w:t>
      </w:r>
      <w:r>
        <w:rPr>
          <w:rFonts w:hint="default" w:ascii="Times New Roman" w:hAnsi="Times New Roman" w:eastAsia="宋体"/>
          <w:color w:val="000000" w:themeColor="text1"/>
          <w:sz w:val="24"/>
          <w:szCs w:val="24"/>
          <w14:textFill>
            <w14:solidFill>
              <w14:schemeClr w14:val="tx1"/>
            </w14:solidFill>
          </w14:textFill>
        </w:rPr>
        <w:t>量</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164.5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万</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t</w:t>
      </w:r>
      <w:r>
        <w:rPr>
          <w:rFonts w:hint="default" w:ascii="Times New Roman" w:hAnsi="Times New Roman" w:eastAsia="宋体"/>
          <w:color w:val="000000" w:themeColor="text1"/>
          <w:sz w:val="24"/>
          <w:szCs w:val="24"/>
          <w14:textFill>
            <w14:solidFill>
              <w14:schemeClr w14:val="tx1"/>
            </w14:solidFill>
          </w14:textFill>
        </w:rPr>
        <w:t>。根据《工业污染源核算》（2007）筛分产尘系数为0.005kg/t，</w:t>
      </w:r>
      <w:r>
        <w:rPr>
          <w:rFonts w:hint="eastAsia" w:ascii="Times New Roman" w:hAnsi="Times New Roman" w:eastAsia="宋体"/>
          <w:color w:val="000000" w:themeColor="text1"/>
          <w:sz w:val="24"/>
          <w:szCs w:val="24"/>
          <w:lang w:val="en-US" w:eastAsia="zh-CN"/>
          <w14:textFill>
            <w14:solidFill>
              <w14:schemeClr w14:val="tx1"/>
            </w14:solidFill>
          </w14:textFill>
        </w:rPr>
        <w:t>破碎</w:t>
      </w:r>
      <w:r>
        <w:rPr>
          <w:rFonts w:hint="default" w:ascii="Times New Roman" w:hAnsi="Times New Roman" w:eastAsia="宋体"/>
          <w:color w:val="000000" w:themeColor="text1"/>
          <w:sz w:val="24"/>
          <w:szCs w:val="24"/>
          <w14:textFill>
            <w14:solidFill>
              <w14:schemeClr w14:val="tx1"/>
            </w14:solidFill>
          </w14:textFill>
        </w:rPr>
        <w:t>产尘系数为0.0045kg/t，则本项目筛分过程中粉尘产生量为</w:t>
      </w:r>
      <w:r>
        <w:rPr>
          <w:rFonts w:hint="eastAsia" w:ascii="Times New Roman" w:hAnsi="Times New Roman" w:eastAsia="宋体"/>
          <w:color w:val="000000" w:themeColor="text1"/>
          <w:sz w:val="24"/>
          <w:szCs w:val="24"/>
          <w:lang w:val="en-US" w:eastAsia="zh-CN"/>
          <w14:textFill>
            <w14:solidFill>
              <w14:schemeClr w14:val="tx1"/>
            </w14:solidFill>
          </w14:textFill>
        </w:rPr>
        <w:t>8.23</w:t>
      </w:r>
      <w:r>
        <w:rPr>
          <w:rFonts w:hint="default" w:ascii="Times New Roman" w:hAnsi="Times New Roman" w:eastAsia="宋体"/>
          <w:color w:val="000000" w:themeColor="text1"/>
          <w:sz w:val="24"/>
          <w:szCs w:val="24"/>
          <w14:textFill>
            <w14:solidFill>
              <w14:schemeClr w14:val="tx1"/>
            </w14:solidFill>
          </w14:textFill>
        </w:rPr>
        <w:t>t/a，破碎过程中粉尘产生量为</w:t>
      </w:r>
      <w:r>
        <w:rPr>
          <w:rFonts w:hint="eastAsia" w:ascii="Times New Roman" w:hAnsi="Times New Roman" w:eastAsia="宋体"/>
          <w:color w:val="000000" w:themeColor="text1"/>
          <w:sz w:val="24"/>
          <w:szCs w:val="24"/>
          <w:lang w:val="en-US" w:eastAsia="zh-CN"/>
          <w14:textFill>
            <w14:solidFill>
              <w14:schemeClr w14:val="tx1"/>
            </w14:solidFill>
          </w14:textFill>
        </w:rPr>
        <w:t>7.41</w:t>
      </w:r>
      <w:r>
        <w:rPr>
          <w:rFonts w:hint="default" w:ascii="Times New Roman" w:hAnsi="Times New Roman" w:eastAsia="宋体"/>
          <w:color w:val="000000" w:themeColor="text1"/>
          <w:sz w:val="24"/>
          <w:szCs w:val="24"/>
          <w14:textFill>
            <w14:solidFill>
              <w14:schemeClr w14:val="tx1"/>
            </w14:solidFill>
          </w14:textFill>
        </w:rPr>
        <w:t>t/a</w:t>
      </w:r>
      <w:r>
        <w:rPr>
          <w:rFonts w:hint="default" w:ascii="Times New Roman" w:hAnsi="Times New Roman" w:eastAsia="宋体"/>
          <w:color w:val="000000" w:themeColor="text1"/>
          <w:sz w:val="24"/>
          <w:szCs w:val="24"/>
          <w:lang w:eastAsia="zh-CN"/>
          <w14:textFill>
            <w14:solidFill>
              <w14:schemeClr w14:val="tx1"/>
            </w14:solidFill>
          </w14:textFill>
        </w:rPr>
        <w:t>，</w:t>
      </w:r>
      <w:r>
        <w:rPr>
          <w:rFonts w:hint="default" w:ascii="Times New Roman" w:hAnsi="Times New Roman" w:eastAsia="宋体"/>
          <w:color w:val="000000" w:themeColor="text1"/>
          <w:sz w:val="24"/>
          <w:szCs w:val="24"/>
          <w:lang w:val="en-US" w:eastAsia="zh-CN"/>
          <w14:textFill>
            <w14:solidFill>
              <w14:schemeClr w14:val="tx1"/>
            </w14:solidFill>
          </w14:textFill>
        </w:rPr>
        <w:t>则生产线粉尘产生量为</w:t>
      </w:r>
      <w:r>
        <w:rPr>
          <w:rFonts w:hint="eastAsia" w:ascii="Times New Roman" w:hAnsi="Times New Roman" w:eastAsia="宋体"/>
          <w:color w:val="000000" w:themeColor="text1"/>
          <w:sz w:val="24"/>
          <w:szCs w:val="24"/>
          <w:lang w:val="en-US" w:eastAsia="zh-CN"/>
          <w14:textFill>
            <w14:solidFill>
              <w14:schemeClr w14:val="tx1"/>
            </w14:solidFill>
          </w14:textFill>
        </w:rPr>
        <w:t>15.64</w:t>
      </w:r>
      <w:r>
        <w:rPr>
          <w:rFonts w:hint="default" w:ascii="Times New Roman" w:hAnsi="Times New Roman" w:eastAsia="宋体"/>
          <w:color w:val="000000" w:themeColor="text1"/>
          <w:sz w:val="24"/>
          <w:szCs w:val="24"/>
          <w:lang w:val="en-US" w:eastAsia="zh-CN"/>
          <w14:textFill>
            <w14:solidFill>
              <w14:schemeClr w14:val="tx1"/>
            </w14:solidFill>
          </w14:textFill>
        </w:rPr>
        <w:t>t/a</w:t>
      </w:r>
      <w:r>
        <w:rPr>
          <w:rFonts w:hint="default" w:ascii="Times New Roman" w:hAnsi="Times New Roman" w:eastAsia="宋体"/>
          <w:color w:val="000000" w:themeColor="text1"/>
          <w:sz w:val="24"/>
          <w:szCs w:val="24"/>
          <w14:textFill>
            <w14:solidFill>
              <w14:schemeClr w14:val="tx1"/>
            </w14:solidFill>
          </w14:textFill>
        </w:rPr>
        <w:t>。</w:t>
      </w:r>
    </w:p>
    <w:p>
      <w:pPr>
        <w:pStyle w:val="100"/>
        <w:keepNext w:val="0"/>
        <w:keepLines w:val="0"/>
        <w:pageBreakBefore w:val="0"/>
        <w:kinsoku/>
        <w:wordWrap/>
        <w:overflowPunct/>
        <w:topLinePunct w:val="0"/>
        <w:bidi w:val="0"/>
        <w:spacing w:beforeAutospacing="0" w:afterAutospacing="0" w:line="360" w:lineRule="auto"/>
        <w:ind w:firstLine="480" w:firstLineChars="200"/>
        <w:jc w:val="both"/>
        <w:textAlignment w:val="auto"/>
        <w:outlineLvl w:val="9"/>
        <w:rPr>
          <w:rFonts w:hint="default" w:ascii="Times New Roman" w:hAnsi="Times New Roman" w:eastAsia="宋体"/>
          <w:color w:val="000000" w:themeColor="text1"/>
          <w14:textFill>
            <w14:solidFill>
              <w14:schemeClr w14:val="tx1"/>
            </w14:solidFill>
          </w14:textFill>
        </w:rPr>
      </w:pPr>
      <w:r>
        <w:rPr>
          <w:rFonts w:hint="default" w:ascii="Times New Roman" w:hAnsi="Times New Roman" w:eastAsia="宋体"/>
          <w:color w:val="000000" w:themeColor="text1"/>
          <w14:textFill>
            <w14:solidFill>
              <w14:schemeClr w14:val="tx1"/>
            </w14:solidFill>
          </w14:textFill>
        </w:rPr>
        <w:t>本项目在筛分、破碎</w:t>
      </w:r>
      <w:r>
        <w:rPr>
          <w:rFonts w:hint="default" w:ascii="Times New Roman" w:hAnsi="Times New Roman" w:eastAsia="宋体"/>
          <w:color w:val="000000" w:themeColor="text1"/>
          <w:lang w:eastAsia="zh-CN"/>
          <w14:textFill>
            <w14:solidFill>
              <w14:schemeClr w14:val="tx1"/>
            </w14:solidFill>
          </w14:textFill>
        </w:rPr>
        <w:t>设备</w:t>
      </w:r>
      <w:r>
        <w:rPr>
          <w:rFonts w:hint="default" w:ascii="Times New Roman" w:hAnsi="Times New Roman" w:eastAsia="宋体"/>
          <w:color w:val="000000" w:themeColor="text1"/>
          <w:lang w:val="en-US" w:eastAsia="zh-CN"/>
          <w14:textFill>
            <w14:solidFill>
              <w14:schemeClr w14:val="tx1"/>
            </w14:solidFill>
          </w14:textFill>
        </w:rPr>
        <w:t>和产品要采取棚化密闭</w:t>
      </w:r>
      <w:r>
        <w:rPr>
          <w:rFonts w:hint="default" w:ascii="Times New Roman" w:hAnsi="Times New Roman" w:eastAsia="宋体"/>
          <w:color w:val="000000" w:themeColor="text1"/>
          <w14:textFill>
            <w14:solidFill>
              <w14:schemeClr w14:val="tx1"/>
            </w14:solidFill>
          </w14:textFill>
        </w:rPr>
        <w:t>，并定期收集粉尘，在设备上安装雾化喷</w:t>
      </w:r>
      <w:r>
        <w:rPr>
          <w:rFonts w:hint="default" w:ascii="Times New Roman" w:hAnsi="Times New Roman" w:eastAsia="宋体" w:cs="Times New Roman"/>
          <w:color w:val="000000" w:themeColor="text1"/>
          <w14:textFill>
            <w14:solidFill>
              <w14:schemeClr w14:val="tx1"/>
            </w14:solidFill>
          </w14:textFill>
        </w:rPr>
        <w:t>头进行洒水，增加</w:t>
      </w:r>
      <w:r>
        <w:rPr>
          <w:rFonts w:hint="default" w:ascii="Times New Roman" w:hAnsi="Times New Roman" w:eastAsia="宋体" w:cs="Times New Roman"/>
          <w:color w:val="000000" w:themeColor="text1"/>
          <w:lang w:eastAsia="zh-CN"/>
          <w14:textFill>
            <w14:solidFill>
              <w14:schemeClr w14:val="tx1"/>
            </w14:solidFill>
          </w14:textFill>
        </w:rPr>
        <w:t>原料及中间产物</w:t>
      </w:r>
      <w:r>
        <w:rPr>
          <w:rFonts w:hint="default" w:ascii="Times New Roman" w:hAnsi="Times New Roman" w:eastAsia="宋体" w:cs="Times New Roman"/>
          <w:color w:val="000000" w:themeColor="text1"/>
          <w14:textFill>
            <w14:solidFill>
              <w14:schemeClr w14:val="tx1"/>
            </w14:solidFill>
          </w14:textFill>
        </w:rPr>
        <w:t>湿度，以减少粉尘产生；</w:t>
      </w:r>
      <w:r>
        <w:rPr>
          <w:rFonts w:hint="default" w:ascii="Times New Roman" w:hAnsi="Times New Roman" w:eastAsia="宋体" w:cs="Times New Roman"/>
          <w:color w:val="000000" w:themeColor="text1"/>
          <w:lang w:val="en-US" w:eastAsia="zh-CN"/>
          <w14:textFill>
            <w14:solidFill>
              <w14:schemeClr w14:val="tx1"/>
            </w14:solidFill>
          </w14:textFill>
        </w:rPr>
        <w:t>进料口等产尘点采用彩钢板密封，并在上方设置雾化喷头</w:t>
      </w:r>
      <w:r>
        <w:rPr>
          <w:rFonts w:hint="default" w:ascii="Times New Roman" w:hAnsi="Times New Roman" w:eastAsia="宋体" w:cs="Times New Roman"/>
          <w:color w:val="000000" w:themeColor="text1"/>
          <w14:textFill>
            <w14:solidFill>
              <w14:schemeClr w14:val="tx1"/>
            </w14:solidFill>
          </w14:textFill>
        </w:rPr>
        <w:t>。</w:t>
      </w:r>
      <w:r>
        <w:rPr>
          <w:rFonts w:hint="default" w:ascii="Times New Roman" w:hAnsi="Times New Roman" w:eastAsia="宋体" w:cs="Times New Roman"/>
          <w:color w:val="000000" w:themeColor="text1"/>
          <w:lang w:eastAsia="zh-CN"/>
          <w14:textFill>
            <w14:solidFill>
              <w14:schemeClr w14:val="tx1"/>
            </w14:solidFill>
          </w14:textFill>
        </w:rPr>
        <w:t>本</w:t>
      </w:r>
      <w:r>
        <w:rPr>
          <w:rFonts w:hint="default" w:ascii="Times New Roman" w:hAnsi="Times New Roman" w:eastAsia="宋体" w:cs="Times New Roman"/>
          <w:color w:val="000000" w:themeColor="text1"/>
          <w14:textFill>
            <w14:solidFill>
              <w14:schemeClr w14:val="tx1"/>
            </w14:solidFill>
          </w14:textFill>
        </w:rPr>
        <w:t>项目采取</w:t>
      </w:r>
      <w:r>
        <w:rPr>
          <w:rFonts w:hint="default" w:ascii="Times New Roman" w:hAnsi="Times New Roman" w:eastAsia="宋体" w:cs="Times New Roman"/>
          <w:color w:val="000000" w:themeColor="text1"/>
          <w:lang w:val="en-US" w:eastAsia="zh-CN"/>
          <w14:textFill>
            <w14:solidFill>
              <w14:schemeClr w14:val="tx1"/>
            </w14:solidFill>
          </w14:textFill>
        </w:rPr>
        <w:t>车间半</w:t>
      </w:r>
      <w:r>
        <w:rPr>
          <w:rFonts w:hint="default" w:ascii="Times New Roman" w:hAnsi="Times New Roman" w:eastAsia="宋体" w:cs="Times New Roman"/>
          <w:color w:val="000000" w:themeColor="text1"/>
          <w14:textFill>
            <w14:solidFill>
              <w14:schemeClr w14:val="tx1"/>
            </w14:solidFill>
          </w14:textFill>
        </w:rPr>
        <w:t>封闭措施、设置喷雾</w:t>
      </w:r>
      <w:r>
        <w:rPr>
          <w:rFonts w:hint="default" w:ascii="Times New Roman" w:hAnsi="Times New Roman" w:eastAsia="宋体" w:cs="Times New Roman"/>
          <w:color w:val="000000" w:themeColor="text1"/>
          <w:lang w:val="en-US" w:eastAsia="zh-CN"/>
          <w14:textFill>
            <w14:solidFill>
              <w14:schemeClr w14:val="tx1"/>
            </w14:solidFill>
          </w14:textFill>
        </w:rPr>
        <w:t>洒水</w:t>
      </w:r>
      <w:r>
        <w:rPr>
          <w:rFonts w:hint="default" w:ascii="Times New Roman" w:hAnsi="Times New Roman" w:eastAsia="宋体" w:cs="Times New Roman"/>
          <w:color w:val="000000" w:themeColor="text1"/>
          <w14:textFill>
            <w14:solidFill>
              <w14:schemeClr w14:val="tx1"/>
            </w14:solidFill>
          </w14:textFill>
        </w:rPr>
        <w:t>装置等措施后，预计可减少9</w:t>
      </w:r>
      <w:r>
        <w:rPr>
          <w:rFonts w:hint="default" w:ascii="Times New Roman" w:hAnsi="Times New Roman" w:eastAsia="宋体" w:cs="Times New Roman"/>
          <w:color w:val="000000" w:themeColor="text1"/>
          <w:lang w:val="en-US" w:eastAsia="zh-CN"/>
          <w14:textFill>
            <w14:solidFill>
              <w14:schemeClr w14:val="tx1"/>
            </w14:solidFill>
          </w14:textFill>
        </w:rPr>
        <w:t>5</w:t>
      </w:r>
      <w:r>
        <w:rPr>
          <w:rFonts w:hint="default" w:ascii="Times New Roman" w:hAnsi="Times New Roman" w:eastAsia="宋体" w:cs="Times New Roman"/>
          <w:color w:val="000000" w:themeColor="text1"/>
          <w14:textFill>
            <w14:solidFill>
              <w14:schemeClr w14:val="tx1"/>
            </w14:solidFill>
          </w14:textFill>
        </w:rPr>
        <w:t>%以上的</w:t>
      </w:r>
      <w:r>
        <w:rPr>
          <w:rFonts w:hint="default" w:ascii="Times New Roman" w:hAnsi="Times New Roman" w:eastAsia="宋体" w:cs="Times New Roman"/>
          <w:color w:val="000000" w:themeColor="text1"/>
          <w:lang w:val="en-US" w:eastAsia="zh-CN"/>
          <w14:textFill>
            <w14:solidFill>
              <w14:schemeClr w14:val="tx1"/>
            </w14:solidFill>
          </w14:textFill>
        </w:rPr>
        <w:t>无组织</w:t>
      </w:r>
      <w:r>
        <w:rPr>
          <w:rFonts w:hint="default" w:ascii="Times New Roman" w:hAnsi="Times New Roman" w:eastAsia="宋体" w:cs="Times New Roman"/>
          <w:color w:val="000000" w:themeColor="text1"/>
          <w14:textFill>
            <w14:solidFill>
              <w14:schemeClr w14:val="tx1"/>
            </w14:solidFill>
          </w14:textFill>
        </w:rPr>
        <w:t>粉尘。经采取以上措施，</w:t>
      </w:r>
      <w:r>
        <w:rPr>
          <w:rFonts w:hint="default" w:ascii="Times New Roman" w:hAnsi="Times New Roman" w:eastAsia="宋体" w:cs="Times New Roman"/>
          <w:color w:val="000000" w:themeColor="text1"/>
          <w:lang w:val="en-US" w:eastAsia="zh-CN"/>
          <w14:textFill>
            <w14:solidFill>
              <w14:schemeClr w14:val="tx1"/>
            </w14:solidFill>
          </w14:textFill>
        </w:rPr>
        <w:t>生产线无组织粉尘排放量为</w:t>
      </w:r>
      <w:r>
        <w:rPr>
          <w:rFonts w:hint="eastAsia" w:ascii="Times New Roman" w:hAnsi="Times New Roman" w:eastAsia="宋体" w:cs="Times New Roman"/>
          <w:color w:val="000000" w:themeColor="text1"/>
          <w:lang w:val="en-US" w:eastAsia="zh-CN"/>
          <w14:textFill>
            <w14:solidFill>
              <w14:schemeClr w14:val="tx1"/>
            </w14:solidFill>
          </w14:textFill>
        </w:rPr>
        <w:t>0.78</w:t>
      </w:r>
      <w:r>
        <w:rPr>
          <w:rFonts w:hint="default" w:ascii="Times New Roman" w:hAnsi="Times New Roman" w:eastAsia="宋体" w:cs="Times New Roman"/>
          <w:color w:val="000000" w:themeColor="text1"/>
          <w:lang w:val="en-US" w:eastAsia="zh-CN"/>
          <w14:textFill>
            <w14:solidFill>
              <w14:schemeClr w14:val="tx1"/>
            </w14:solidFill>
          </w14:textFill>
        </w:rPr>
        <w:t>t/a</w:t>
      </w:r>
      <w:r>
        <w:rPr>
          <w:rFonts w:hint="default"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lang w:val="en-US" w:eastAsia="zh-CN"/>
          <w14:textFill>
            <w14:solidFill>
              <w14:schemeClr w14:val="tx1"/>
            </w14:solidFill>
          </w14:textFill>
        </w:rPr>
        <w:t>0.10</w:t>
      </w:r>
      <w:r>
        <w:rPr>
          <w:rFonts w:hint="default" w:ascii="Times New Roman" w:hAnsi="Times New Roman" w:eastAsia="宋体" w:cs="Times New Roman"/>
          <w:color w:val="000000" w:themeColor="text1"/>
          <w14:textFill>
            <w14:solidFill>
              <w14:schemeClr w14:val="tx1"/>
            </w14:solidFill>
          </w14:textFill>
        </w:rPr>
        <w:t>kg/h。</w:t>
      </w:r>
    </w:p>
    <w:p>
      <w:pPr>
        <w:pStyle w:val="100"/>
        <w:keepNext w:val="0"/>
        <w:keepLines w:val="0"/>
        <w:pageBreakBefore w:val="0"/>
        <w:kinsoku/>
        <w:wordWrap/>
        <w:overflowPunct/>
        <w:topLinePunct w:val="0"/>
        <w:bidi w:val="0"/>
        <w:spacing w:beforeAutospacing="0" w:afterAutospacing="0"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③</w:t>
      </w:r>
      <w:r>
        <w:rPr>
          <w:rFonts w:hint="default" w:ascii="Times New Roman" w:hAnsi="Times New Roman" w:eastAsia="宋体" w:cs="Times New Roman"/>
          <w:color w:val="000000" w:themeColor="text1"/>
          <w:sz w:val="24"/>
          <w:szCs w:val="24"/>
          <w:highlight w:val="none"/>
          <w14:textFill>
            <w14:solidFill>
              <w14:schemeClr w14:val="tx1"/>
            </w14:solidFill>
          </w14:textFill>
        </w:rPr>
        <w:t>堆料粉尘</w:t>
      </w:r>
    </w:p>
    <w:p>
      <w:pPr>
        <w:pStyle w:val="100"/>
        <w:keepNext w:val="0"/>
        <w:keepLines w:val="0"/>
        <w:pageBreakBefore w:val="0"/>
        <w:kinsoku/>
        <w:wordWrap/>
        <w:overflowPunct/>
        <w:topLinePunct w:val="0"/>
        <w:bidi w:val="0"/>
        <w:spacing w:beforeAutospacing="0" w:afterAutospacing="0"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由于本项目原料粒径较大，故</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半成品料仓</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堆存时粉尘产生量可忽略不计。</w:t>
      </w:r>
      <w:r>
        <w:rPr>
          <w:rFonts w:hint="default" w:ascii="Times New Roman" w:hAnsi="Times New Roman" w:eastAsia="宋体" w:cs="Times New Roman"/>
          <w:color w:val="000000" w:themeColor="text1"/>
          <w:sz w:val="24"/>
          <w:szCs w:val="24"/>
          <w:highlight w:val="none"/>
          <w14:textFill>
            <w14:solidFill>
              <w14:schemeClr w14:val="tx1"/>
            </w14:solidFill>
          </w14:textFill>
        </w:rPr>
        <w:t>企业</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成品</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料仓</w:t>
      </w:r>
      <w:r>
        <w:rPr>
          <w:rFonts w:hint="default" w:ascii="Times New Roman" w:hAnsi="Times New Roman" w:eastAsia="宋体" w:cs="Times New Roman"/>
          <w:color w:val="000000" w:themeColor="text1"/>
          <w:sz w:val="24"/>
          <w:szCs w:val="24"/>
          <w:highlight w:val="none"/>
          <w14:textFill>
            <w14:solidFill>
              <w14:schemeClr w14:val="tx1"/>
            </w14:solidFill>
          </w14:textFill>
        </w:rPr>
        <w:t>的堆存时间均为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天，</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成品</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料</w:t>
      </w:r>
      <w:r>
        <w:rPr>
          <w:rFonts w:hint="default" w:ascii="Times New Roman" w:hAnsi="Times New Roman" w:eastAsia="宋体" w:cs="Times New Roman"/>
          <w:color w:val="000000" w:themeColor="text1"/>
          <w:sz w:val="24"/>
          <w:szCs w:val="24"/>
          <w:highlight w:val="none"/>
          <w14:textFill>
            <w14:solidFill>
              <w14:schemeClr w14:val="tx1"/>
            </w14:solidFill>
          </w14:textFill>
        </w:rPr>
        <w:t>堆存量为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0000t</w:t>
      </w:r>
      <w:r>
        <w:rPr>
          <w:rFonts w:hint="default" w:ascii="Times New Roman" w:hAnsi="Times New Roman" w:eastAsia="宋体" w:cs="Times New Roman"/>
          <w:color w:val="000000" w:themeColor="text1"/>
          <w:sz w:val="24"/>
          <w:szCs w:val="24"/>
          <w:highlight w:val="none"/>
          <w14:textFill>
            <w14:solidFill>
              <w14:schemeClr w14:val="tx1"/>
            </w14:solidFill>
          </w14:textFill>
        </w:rPr>
        <w:t>/d</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根据《逸散性工业粉尘控制技术》（中国环境科学出版社），粉尘排放因子为0.0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15</w:t>
      </w:r>
      <w:r>
        <w:rPr>
          <w:rFonts w:hint="default" w:ascii="Times New Roman" w:hAnsi="Times New Roman" w:eastAsia="宋体" w:cs="Times New Roman"/>
          <w:color w:val="000000" w:themeColor="text1"/>
          <w:sz w:val="24"/>
          <w:szCs w:val="24"/>
          <w:highlight w:val="none"/>
          <w14:textFill>
            <w14:solidFill>
              <w14:schemeClr w14:val="tx1"/>
            </w14:solidFill>
          </w14:textFill>
        </w:rPr>
        <w:t>5kg/t（石料），故本项目在堆料过程中产生的粉尘量</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约</w:t>
      </w:r>
      <w:r>
        <w:rPr>
          <w:rFonts w:hint="default" w:ascii="Times New Roman" w:hAnsi="Times New Roman" w:eastAsia="宋体" w:cs="Times New Roman"/>
          <w:color w:val="000000" w:themeColor="text1"/>
          <w:sz w:val="24"/>
          <w:szCs w:val="24"/>
          <w:highlight w:val="none"/>
          <w14:textFill>
            <w14:solidFill>
              <w14:schemeClr w14:val="tx1"/>
            </w14:solidFill>
          </w14:textFill>
        </w:rPr>
        <w:t>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1.465</w:t>
      </w:r>
      <w:r>
        <w:rPr>
          <w:rFonts w:hint="default" w:ascii="Times New Roman" w:hAnsi="Times New Roman" w:eastAsia="宋体" w:cs="Times New Roman"/>
          <w:color w:val="000000" w:themeColor="text1"/>
          <w:sz w:val="24"/>
          <w:szCs w:val="24"/>
          <w:highlight w:val="none"/>
          <w14:textFill>
            <w14:solidFill>
              <w14:schemeClr w14:val="tx1"/>
            </w14:solidFill>
          </w14:textFill>
        </w:rPr>
        <w:t>t/a。</w:t>
      </w:r>
    </w:p>
    <w:p>
      <w:pPr>
        <w:pStyle w:val="100"/>
        <w:keepNext w:val="0"/>
        <w:keepLines w:val="0"/>
        <w:pageBreakBefore w:val="0"/>
        <w:kinsoku/>
        <w:wordWrap/>
        <w:overflowPunct/>
        <w:topLinePunct w:val="0"/>
        <w:bidi w:val="0"/>
        <w:spacing w:beforeAutospacing="0" w:afterAutospacing="0"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整体采用半封闭式并</w:t>
      </w:r>
      <w:r>
        <w:rPr>
          <w:rFonts w:hint="default" w:ascii="Times New Roman" w:hAnsi="Times New Roman" w:eastAsia="宋体" w:cs="Times New Roman"/>
          <w:color w:val="000000" w:themeColor="text1"/>
          <w:sz w:val="24"/>
          <w:szCs w:val="24"/>
          <w:highlight w:val="none"/>
          <w14:textFill>
            <w14:solidFill>
              <w14:schemeClr w14:val="tx1"/>
            </w14:solidFill>
          </w14:textFill>
        </w:rPr>
        <w:t>配套安装洒水设施，定期洒水，保持堆表层湿润度，洒水设施根据风送原理，先使用进口高压泵、微细雾化喷嘴将水雾化，再利用风机风量和风压将雾化后的水雾送到较远距离，使得水雾到达较远距离同时能够覆盖更大面积，水雾与粉尘凝结后降落，从而达到降尘目的。堆场采取定期洒水降尘措施后，扬尘无组织排放量可降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9</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%，故堆料粉尘排放量为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0.07</w:t>
      </w:r>
      <w:r>
        <w:rPr>
          <w:rFonts w:hint="default" w:ascii="Times New Roman" w:hAnsi="Times New Roman" w:eastAsia="宋体" w:cs="Times New Roman"/>
          <w:color w:val="000000" w:themeColor="text1"/>
          <w:sz w:val="24"/>
          <w:szCs w:val="24"/>
          <w:highlight w:val="none"/>
          <w14:textFill>
            <w14:solidFill>
              <w14:schemeClr w14:val="tx1"/>
            </w14:solidFill>
          </w14:textFill>
        </w:rPr>
        <w:t>t/a</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0.01</w:t>
      </w:r>
      <w:r>
        <w:rPr>
          <w:rFonts w:hint="default" w:ascii="Times New Roman" w:hAnsi="Times New Roman" w:eastAsia="宋体" w:cs="Times New Roman"/>
          <w:color w:val="000000" w:themeColor="text1"/>
          <w:sz w:val="24"/>
          <w:szCs w:val="24"/>
          <w:highlight w:val="none"/>
          <w14:textFill>
            <w14:solidFill>
              <w14:schemeClr w14:val="tx1"/>
            </w14:solidFill>
          </w14:textFill>
        </w:rPr>
        <w:t>kg/h）。</w:t>
      </w:r>
    </w:p>
    <w:p>
      <w:pPr>
        <w:pStyle w:val="5"/>
        <w:keepNext w:val="0"/>
        <w:keepLines w:val="0"/>
        <w:pageBreakBefore w:val="0"/>
        <w:kinsoku/>
        <w:wordWrap/>
        <w:overflowPunct/>
        <w:topLinePunct w:val="0"/>
        <w:bidi w:val="0"/>
        <w:snapToGrid/>
        <w:spacing w:before="0" w:beforeAutospacing="0" w:after="0" w:afterAutospacing="0"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④</w:t>
      </w:r>
      <w:r>
        <w:rPr>
          <w:rFonts w:hint="default" w:ascii="Times New Roman" w:hAnsi="Times New Roman" w:eastAsia="宋体" w:cs="Times New Roman"/>
          <w:color w:val="000000" w:themeColor="text1"/>
          <w:sz w:val="24"/>
          <w:szCs w:val="24"/>
          <w:highlight w:val="none"/>
          <w14:textFill>
            <w14:solidFill>
              <w14:schemeClr w14:val="tx1"/>
            </w14:solidFill>
          </w14:textFill>
        </w:rPr>
        <w:t>物料输送及转运过程产生的粉尘</w:t>
      </w:r>
    </w:p>
    <w:p>
      <w:pPr>
        <w:pStyle w:val="5"/>
        <w:keepNext w:val="0"/>
        <w:keepLines w:val="0"/>
        <w:pageBreakBefore w:val="0"/>
        <w:kinsoku/>
        <w:wordWrap/>
        <w:overflowPunct/>
        <w:topLinePunct w:val="0"/>
        <w:bidi w:val="0"/>
        <w:snapToGrid/>
        <w:spacing w:before="0" w:beforeAutospacing="0" w:after="0" w:afterAutospacing="0"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pP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破碎后的成品粒径较大，且</w:t>
      </w:r>
      <w:r>
        <w:rPr>
          <w:rFonts w:hint="eastAsia"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建筑石料</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含有一定水份，不易形成扬尘。</w:t>
      </w:r>
      <w:r>
        <w:rPr>
          <w:rFonts w:hint="default" w:ascii="Times New Roman" w:hAnsi="Times New Roman" w:eastAsia="宋体" w:cs="Times New Roman"/>
          <w:color w:val="000000" w:themeColor="text1"/>
          <w:sz w:val="24"/>
          <w:szCs w:val="24"/>
          <w:highlight w:val="none"/>
          <w:shd w:val="clear" w:color="auto" w:fill="auto"/>
          <w:lang w:eastAsia="zh-CN"/>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输送带</w:t>
      </w:r>
      <w:r>
        <w:rPr>
          <w:rFonts w:hint="eastAsia"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增设</w:t>
      </w:r>
      <w:r>
        <w:rPr>
          <w:rFonts w:hint="default"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喷雾洒水</w:t>
      </w:r>
      <w:r>
        <w:rPr>
          <w:rFonts w:hint="eastAsia"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增湿</w:t>
      </w:r>
      <w:r>
        <w:rPr>
          <w:rFonts w:hint="default"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抑尘</w:t>
      </w:r>
      <w:r>
        <w:rPr>
          <w:rFonts w:hint="eastAsia"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设施</w:t>
      </w:r>
      <w:r>
        <w:rPr>
          <w:rFonts w:hint="default" w:ascii="Times New Roman" w:hAnsi="Times New Roman" w:eastAsia="宋体" w:cs="Times New Roman"/>
          <w:color w:val="000000" w:themeColor="text1"/>
          <w:sz w:val="24"/>
          <w:szCs w:val="24"/>
          <w:highlight w:val="none"/>
          <w:shd w:val="clear" w:color="auto" w:fill="auto"/>
          <w:lang w:eastAsia="zh-CN"/>
          <w14:textFill>
            <w14:solidFill>
              <w14:schemeClr w14:val="tx1"/>
            </w14:solidFill>
          </w14:textFill>
        </w:rPr>
        <w:t>，可有效降低风力扬尘影响，</w:t>
      </w:r>
      <w:r>
        <w:rPr>
          <w:rFonts w:hint="eastAsia"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同时在后续装船运输过程中，采取</w:t>
      </w:r>
      <w:r>
        <w:rPr>
          <w:rFonts w:hint="default" w:ascii="Times New Roman" w:hAnsi="Times New Roman" w:eastAsia="宋体" w:cs="Times New Roman"/>
          <w:color w:val="000000" w:themeColor="text1"/>
          <w:sz w:val="24"/>
          <w:szCs w:val="24"/>
          <w:highlight w:val="none"/>
          <w:shd w:val="clear" w:color="auto" w:fill="auto"/>
          <w:lang w:eastAsia="zh-CN"/>
          <w14:textFill>
            <w14:solidFill>
              <w14:schemeClr w14:val="tx1"/>
            </w14:solidFill>
          </w14:textFill>
        </w:rPr>
        <w:t>遮盖篷布，基本不会对环境造成污染</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w:t>
      </w:r>
    </w:p>
    <w:p>
      <w:pPr>
        <w:pStyle w:val="5"/>
        <w:keepNext w:val="0"/>
        <w:keepLines w:val="0"/>
        <w:pageBreakBefore w:val="0"/>
        <w:kinsoku/>
        <w:wordWrap/>
        <w:overflowPunct/>
        <w:topLinePunct w:val="0"/>
        <w:bidi w:val="0"/>
        <w:spacing w:before="0" w:beforeAutospacing="0" w:after="0" w:afterAutospacing="0" w:line="360" w:lineRule="auto"/>
        <w:ind w:left="496"/>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⑤</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车辆</w:t>
      </w:r>
      <w:r>
        <w:rPr>
          <w:rFonts w:hint="default" w:ascii="Times New Roman" w:hAnsi="Times New Roman" w:eastAsia="宋体" w:cs="Times New Roman"/>
          <w:color w:val="000000" w:themeColor="text1"/>
          <w:sz w:val="24"/>
          <w:szCs w:val="24"/>
          <w:highlight w:val="none"/>
          <w14:textFill>
            <w14:solidFill>
              <w14:schemeClr w14:val="tx1"/>
            </w14:solidFill>
          </w14:textFill>
        </w:rPr>
        <w:t>运输起尘</w:t>
      </w:r>
    </w:p>
    <w:p>
      <w:pPr>
        <w:pStyle w:val="5"/>
        <w:keepNext w:val="0"/>
        <w:keepLines w:val="0"/>
        <w:pageBreakBefore w:val="0"/>
        <w:kinsoku/>
        <w:wordWrap/>
        <w:overflowPunct/>
        <w:topLinePunct w:val="0"/>
        <w:bidi w:val="0"/>
        <w:spacing w:before="0" w:beforeAutospacing="0" w:after="0" w:afterAutospacing="0"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车辆行驶产生的扬尘，在道路完全干燥的情况下，可按下列经验公式计算</w:t>
      </w:r>
    </w:p>
    <w:p>
      <w:pPr>
        <w:pStyle w:val="5"/>
        <w:keepNext w:val="0"/>
        <w:keepLines w:val="0"/>
        <w:pageBreakBefore w:val="0"/>
        <w:kinsoku/>
        <w:wordWrap/>
        <w:overflowPunct/>
        <w:topLinePunct w:val="0"/>
        <w:bidi w:val="0"/>
        <w:spacing w:before="0" w:beforeAutospacing="0" w:after="0" w:afterAutospacing="0" w:line="360" w:lineRule="auto"/>
        <w:ind w:firstLine="360" w:firstLineChars="200"/>
        <w:jc w:val="center"/>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highlight w:val="none"/>
          <w:u w:val="none" w:color="auto"/>
          <w14:textFill>
            <w14:solidFill>
              <w14:schemeClr w14:val="tx1"/>
            </w14:solidFill>
          </w14:textFill>
        </w:rPr>
        <w:drawing>
          <wp:anchor distT="0" distB="0" distL="114300" distR="114300" simplePos="0" relativeHeight="251661312" behindDoc="0" locked="0" layoutInCell="1" allowOverlap="1">
            <wp:simplePos x="0" y="0"/>
            <wp:positionH relativeFrom="column">
              <wp:posOffset>1203960</wp:posOffset>
            </wp:positionH>
            <wp:positionV relativeFrom="paragraph">
              <wp:posOffset>133350</wp:posOffset>
            </wp:positionV>
            <wp:extent cx="2313305" cy="889000"/>
            <wp:effectExtent l="0" t="0" r="10795" b="6350"/>
            <wp:wrapNone/>
            <wp:docPr id="228"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74"/>
                    <pic:cNvPicPr>
                      <a:picLocks noChangeAspect="1"/>
                    </pic:cNvPicPr>
                  </pic:nvPicPr>
                  <pic:blipFill>
                    <a:blip r:embed="rId40"/>
                    <a:stretch>
                      <a:fillRect/>
                    </a:stretch>
                  </pic:blipFill>
                  <pic:spPr>
                    <a:xfrm>
                      <a:off x="0" y="0"/>
                      <a:ext cx="2313305" cy="889000"/>
                    </a:xfrm>
                    <a:prstGeom prst="rect">
                      <a:avLst/>
                    </a:prstGeom>
                    <a:noFill/>
                    <a:ln>
                      <a:noFill/>
                    </a:ln>
                  </pic:spPr>
                </pic:pic>
              </a:graphicData>
            </a:graphic>
          </wp:anchor>
        </w:drawing>
      </w:r>
    </w:p>
    <w:p>
      <w:pPr>
        <w:pStyle w:val="4"/>
        <w:keepNext w:val="0"/>
        <w:keepLines w:val="0"/>
        <w:pageBreakBefore w:val="0"/>
        <w:kinsoku/>
        <w:wordWrap/>
        <w:overflowPunct/>
        <w:topLinePunct w:val="0"/>
        <w:bidi w:val="0"/>
        <w:spacing w:beforeAutospacing="0" w:afterAutospacing="0"/>
        <w:textAlignment w:val="auto"/>
        <w:outlineLvl w:val="9"/>
        <w:rPr>
          <w:rFonts w:hint="default" w:ascii="Times New Roman" w:hAnsi="Times New Roman" w:eastAsia="宋体"/>
          <w:color w:val="000000" w:themeColor="text1"/>
          <w:highlight w:val="none"/>
          <w14:textFill>
            <w14:solidFill>
              <w14:schemeClr w14:val="tx1"/>
            </w14:solidFill>
          </w14:textFill>
        </w:rPr>
      </w:pPr>
    </w:p>
    <w:p>
      <w:pPr>
        <w:pStyle w:val="5"/>
        <w:keepNext w:val="0"/>
        <w:keepLines w:val="0"/>
        <w:pageBreakBefore w:val="0"/>
        <w:kinsoku/>
        <w:wordWrap/>
        <w:overflowPunct/>
        <w:topLinePunct w:val="0"/>
        <w:bidi w:val="0"/>
        <w:spacing w:before="0" w:beforeAutospacing="0" w:after="0" w:afterAutospacing="0" w:line="360" w:lineRule="auto"/>
        <w:ind w:firstLine="480" w:firstLineChars="200"/>
        <w:jc w:val="center"/>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p>
    <w:p>
      <w:pPr>
        <w:pStyle w:val="139"/>
        <w:keepNext w:val="0"/>
        <w:keepLines w:val="0"/>
        <w:pageBreakBefore w:val="0"/>
        <w:widowControl w:val="0"/>
        <w:tabs>
          <w:tab w:val="left" w:pos="720"/>
        </w:tabs>
        <w:kinsoku/>
        <w:wordWrap/>
        <w:overflowPunct/>
        <w:topLinePunct w:val="0"/>
        <w:autoSpaceDE/>
        <w:autoSpaceDN/>
        <w:bidi w:val="0"/>
        <w:adjustRightInd/>
        <w:snapToGrid/>
        <w:spacing w:beforeAutospacing="0" w:afterAutospacing="0"/>
        <w:ind w:left="0" w:firstLine="960" w:firstLineChars="400"/>
        <w:jc w:val="both"/>
        <w:textAlignment w:val="auto"/>
        <w:outlineLvl w:val="9"/>
        <w:rPr>
          <w:rFonts w:hint="default" w:ascii="Times New Roman" w:hAnsi="Times New Roman" w:eastAsia="宋体" w:cs="Times New Roman"/>
          <w:b w:val="0"/>
          <w:color w:val="000000" w:themeColor="text1"/>
          <w:kern w:val="2"/>
          <w:sz w:val="24"/>
          <w:szCs w:val="24"/>
          <w:highlight w:val="none"/>
          <w:u w:val="none" w:color="auto"/>
          <w:lang w:val="en-US" w:eastAsia="zh-CN" w:bidi="ar-SA"/>
          <w14:textFill>
            <w14:solidFill>
              <w14:schemeClr w14:val="tx1"/>
            </w14:solidFill>
          </w14:textFill>
        </w:rPr>
      </w:pPr>
    </w:p>
    <w:p>
      <w:pPr>
        <w:keepNext w:val="0"/>
        <w:keepLines w:val="0"/>
        <w:pageBreakBefore w:val="0"/>
        <w:kinsoku/>
        <w:wordWrap/>
        <w:overflowPunct/>
        <w:topLinePunct w:val="0"/>
        <w:bidi w:val="0"/>
        <w:spacing w:beforeAutospacing="0" w:afterAutospacing="0"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式中：</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Q</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y</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——交通运输起尘量，kg/km·辆；</w:t>
      </w:r>
    </w:p>
    <w:p>
      <w:pPr>
        <w:keepNext w:val="0"/>
        <w:keepLines w:val="0"/>
        <w:pageBreakBefore w:val="0"/>
        <w:kinsoku/>
        <w:wordWrap/>
        <w:overflowPunct/>
        <w:topLinePunct w:val="0"/>
        <w:bidi w:val="0"/>
        <w:spacing w:beforeAutospacing="0" w:afterAutospacing="0"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Q</w:t>
      </w:r>
      <w:r>
        <w:rPr>
          <w:rFonts w:hint="default" w:ascii="Times New Roman" w:hAnsi="Times New Roman" w:eastAsia="宋体" w:cs="Times New Roman"/>
          <w:color w:val="000000" w:themeColor="text1"/>
          <w:sz w:val="24"/>
          <w:szCs w:val="24"/>
          <w:highlight w:val="none"/>
          <w:vertAlign w:val="subscript"/>
          <w:lang w:val="en-US" w:eastAsia="zh-CN"/>
          <w14:textFill>
            <w14:solidFill>
              <w14:schemeClr w14:val="tx1"/>
            </w14:solidFill>
          </w14:textFill>
        </w:rPr>
        <w:t>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——运输途中起尘量，kg/a；</w:t>
      </w:r>
    </w:p>
    <w:p>
      <w:pPr>
        <w:keepNext w:val="0"/>
        <w:keepLines w:val="0"/>
        <w:pageBreakBefore w:val="0"/>
        <w:kinsoku/>
        <w:wordWrap/>
        <w:overflowPunct/>
        <w:topLinePunct w:val="0"/>
        <w:bidi w:val="0"/>
        <w:spacing w:beforeAutospacing="0" w:afterAutospacing="0" w:line="360" w:lineRule="auto"/>
        <w:ind w:firstLine="1440" w:firstLineChars="600"/>
        <w:jc w:val="both"/>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V——车辆行驶速度，km/h；</w:t>
      </w:r>
    </w:p>
    <w:p>
      <w:pPr>
        <w:keepNext w:val="0"/>
        <w:keepLines w:val="0"/>
        <w:pageBreakBefore w:val="0"/>
        <w:kinsoku/>
        <w:wordWrap/>
        <w:overflowPunct/>
        <w:topLinePunct w:val="0"/>
        <w:bidi w:val="0"/>
        <w:spacing w:beforeAutospacing="0" w:afterAutospacing="0" w:line="360" w:lineRule="auto"/>
        <w:ind w:firstLine="1440" w:firstLineChars="600"/>
        <w:jc w:val="both"/>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P——路面状况，以每平方米路面灰尘覆盖率表示，kg/m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pPr>
        <w:keepNext w:val="0"/>
        <w:keepLines w:val="0"/>
        <w:pageBreakBefore w:val="0"/>
        <w:kinsoku/>
        <w:wordWrap/>
        <w:overflowPunct/>
        <w:topLinePunct w:val="0"/>
        <w:bidi w:val="0"/>
        <w:spacing w:beforeAutospacing="0" w:afterAutospacing="0" w:line="360" w:lineRule="auto"/>
        <w:ind w:firstLine="1440" w:firstLineChars="600"/>
        <w:jc w:val="both"/>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M——车辆载重，t/辆；</w:t>
      </w:r>
    </w:p>
    <w:p>
      <w:pPr>
        <w:keepNext w:val="0"/>
        <w:keepLines w:val="0"/>
        <w:pageBreakBefore w:val="0"/>
        <w:kinsoku/>
        <w:wordWrap/>
        <w:overflowPunct/>
        <w:topLinePunct w:val="0"/>
        <w:bidi w:val="0"/>
        <w:spacing w:beforeAutospacing="0" w:afterAutospacing="0" w:line="360" w:lineRule="auto"/>
        <w:ind w:firstLine="1440" w:firstLineChars="600"/>
        <w:jc w:val="both"/>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L——运输距离，km；</w:t>
      </w:r>
    </w:p>
    <w:p>
      <w:pPr>
        <w:keepNext w:val="0"/>
        <w:keepLines w:val="0"/>
        <w:pageBreakBefore w:val="0"/>
        <w:kinsoku/>
        <w:wordWrap/>
        <w:overflowPunct/>
        <w:topLinePunct w:val="0"/>
        <w:bidi w:val="0"/>
        <w:spacing w:beforeAutospacing="0" w:afterAutospacing="0" w:line="360" w:lineRule="auto"/>
        <w:ind w:firstLine="1440" w:firstLineChars="600"/>
        <w:jc w:val="both"/>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Q——运输量，t。</w:t>
      </w:r>
    </w:p>
    <w:p>
      <w:pPr>
        <w:keepNext w:val="0"/>
        <w:keepLines w:val="0"/>
        <w:pageBreakBefore w:val="0"/>
        <w:kinsoku/>
        <w:wordWrap/>
        <w:overflowPunct/>
        <w:topLinePunct w:val="0"/>
        <w:bidi w:val="0"/>
        <w:spacing w:beforeAutospacing="0" w:afterAutospacing="0"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本项目车辆在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场地平整</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至配套加工区</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内行驶距离按照</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00m计，装载车辆均为60t自卸车，按每次满载，每年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所需</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装载量共需</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万辆次。以速度10km/h行驶，本环评要求建设单位应对场区内地面硬化，同时定期进行路面清扫，本项目道路表面粉尘量以0.4kg/m</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计，则本项目运输车辆动力起尘量为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13.34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t/a。环评要求建设单位对进出场车辆冲洗，厂区道路进行硬化，并派专人对厂区道路进行洒水抑尘，同时在运输过程中要求运输车辆遮盖篷布，防止砂石洒落。这样可减少运输扬尘</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0%以上。运输起尘量约为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1.33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t/a，</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0.26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kg/h。</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jc w:val="both"/>
        <w:textAlignment w:val="auto"/>
        <w:outlineLvl w:val="9"/>
        <w:rPr>
          <w:rFonts w:hint="default" w:ascii="Times New Roman" w:hAnsi="Times New Roman" w:eastAsia="宋体" w:cs="Times New Roman"/>
          <w:b w:val="0"/>
          <w:bCs w:val="0"/>
          <w:color w:val="000000" w:themeColor="text1"/>
          <w:kern w:val="2"/>
          <w:sz w:val="24"/>
          <w:szCs w:val="24"/>
          <w:highlight w:val="none"/>
          <w:u w:val="none" w:color="auto"/>
          <w:shd w:val="clear" w:color="auto" w:fill="auto"/>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highlight w:val="none"/>
          <w:u w:val="none" w:color="auto"/>
          <w:shd w:val="clear" w:color="auto" w:fill="auto"/>
          <w:lang w:val="en-US" w:eastAsia="zh-CN" w:bidi="ar-SA"/>
          <w14:textFill>
            <w14:solidFill>
              <w14:schemeClr w14:val="tx1"/>
            </w14:solidFill>
          </w14:textFill>
        </w:rPr>
        <w:t>（2）配套加工（搅拌）</w:t>
      </w:r>
    </w:p>
    <w:p>
      <w:pPr>
        <w:pStyle w:val="5"/>
        <w:keepNext w:val="0"/>
        <w:keepLines w:val="0"/>
        <w:pageBreakBefore w:val="0"/>
        <w:kinsoku/>
        <w:wordWrap/>
        <w:overflowPunct/>
        <w:topLinePunct w:val="0"/>
        <w:bidi w:val="0"/>
        <w:spacing w:before="0" w:beforeAutospacing="0" w:after="0" w:afterAutospacing="0" w:line="360" w:lineRule="auto"/>
        <w:ind w:left="496"/>
        <w:textAlignment w:val="auto"/>
        <w:outlineLvl w:val="9"/>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①搅拌站筒仓粉尘</w:t>
      </w:r>
    </w:p>
    <w:p>
      <w:pPr>
        <w:pageBreakBefore w:val="0"/>
        <w:kinsoku/>
        <w:bidi w:val="0"/>
        <w:spacing w:beforeAutospacing="0" w:afterAutospacing="0" w:line="360" w:lineRule="auto"/>
        <w:ind w:firstLine="480" w:firstLineChars="200"/>
        <w:rPr>
          <w:rFonts w:hint="eastAsia"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本项目</w:t>
      </w:r>
      <w:r>
        <w:rPr>
          <w:rFonts w:hint="eastAsia" w:ascii="Times New Roman" w:hAnsi="Times New Roman" w:eastAsia="宋体"/>
          <w:color w:val="000000" w:themeColor="text1"/>
          <w:sz w:val="24"/>
          <w:lang w:val="en-US" w:eastAsia="zh-CN"/>
          <w14:textFill>
            <w14:solidFill>
              <w14:schemeClr w14:val="tx1"/>
            </w14:solidFill>
          </w14:textFill>
        </w:rPr>
        <w:t>配套搅拌站</w:t>
      </w:r>
      <w:r>
        <w:rPr>
          <w:rFonts w:hint="eastAsia" w:ascii="Times New Roman" w:hAnsi="Times New Roman" w:eastAsia="宋体"/>
          <w:color w:val="000000" w:themeColor="text1"/>
          <w:sz w:val="24"/>
          <w14:textFill>
            <w14:solidFill>
              <w14:schemeClr w14:val="tx1"/>
            </w14:solidFill>
          </w14:textFill>
        </w:rPr>
        <w:t>设置混凝土生产线一条，年产混凝土5000m</w:t>
      </w:r>
      <w:r>
        <w:rPr>
          <w:rFonts w:hint="eastAsia" w:ascii="Times New Roman" w:hAnsi="Times New Roman" w:eastAsia="宋体"/>
          <w:color w:val="000000" w:themeColor="text1"/>
          <w:sz w:val="24"/>
          <w:vertAlign w:val="superscript"/>
          <w14:textFill>
            <w14:solidFill>
              <w14:schemeClr w14:val="tx1"/>
            </w14:solidFill>
          </w14:textFill>
        </w:rPr>
        <w:t>3</w:t>
      </w:r>
      <w:r>
        <w:rPr>
          <w:rFonts w:hint="eastAsia" w:ascii="Times New Roman" w:hAnsi="Times New Roman" w:eastAsia="宋体"/>
          <w:color w:val="000000" w:themeColor="text1"/>
          <w:sz w:val="24"/>
          <w14:textFill>
            <w14:solidFill>
              <w14:schemeClr w14:val="tx1"/>
            </w14:solidFill>
          </w14:textFill>
        </w:rPr>
        <w:t>（约12259.299吨），具体混凝土生产线物料平衡详见图</w:t>
      </w:r>
      <w:r>
        <w:rPr>
          <w:rFonts w:hint="eastAsia" w:ascii="Times New Roman" w:hAnsi="Times New Roman" w:eastAsia="宋体"/>
          <w:color w:val="000000" w:themeColor="text1"/>
          <w:sz w:val="24"/>
          <w:lang w:val="en-US" w:eastAsia="zh-CN"/>
          <w14:textFill>
            <w14:solidFill>
              <w14:schemeClr w14:val="tx1"/>
            </w14:solidFill>
          </w14:textFill>
        </w:rPr>
        <w:t>2.1</w:t>
      </w:r>
      <w:r>
        <w:rPr>
          <w:rFonts w:hint="eastAsia" w:ascii="Times New Roman" w:hAnsi="Times New Roman" w:eastAsia="宋体"/>
          <w:color w:val="000000" w:themeColor="text1"/>
          <w:sz w:val="24"/>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1</w:t>
      </w:r>
      <w:r>
        <w:rPr>
          <w:rFonts w:hint="eastAsia" w:ascii="Times New Roman" w:hAnsi="Times New Roman" w:eastAsia="宋体"/>
          <w:color w:val="000000" w:themeColor="text1"/>
          <w:sz w:val="24"/>
          <w14:textFill>
            <w14:solidFill>
              <w14:schemeClr w14:val="tx1"/>
            </w14:solidFill>
          </w14:textFill>
        </w:rPr>
        <w:t>。</w:t>
      </w:r>
    </w:p>
    <w:p>
      <w:pPr>
        <w:pageBreakBefore w:val="0"/>
        <w:kinsoku/>
        <w:bidi w:val="0"/>
        <w:spacing w:beforeAutospacing="0" w:afterAutospacing="0" w:line="360" w:lineRule="auto"/>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drawing>
          <wp:inline distT="0" distB="0" distL="114300" distR="114300">
            <wp:extent cx="5614670" cy="2546985"/>
            <wp:effectExtent l="0" t="0" r="5080" b="5715"/>
            <wp:docPr id="2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10"/>
                    <pic:cNvPicPr>
                      <a:picLocks noChangeAspect="1"/>
                    </pic:cNvPicPr>
                  </pic:nvPicPr>
                  <pic:blipFill>
                    <a:blip r:embed="rId41"/>
                    <a:stretch>
                      <a:fillRect/>
                    </a:stretch>
                  </pic:blipFill>
                  <pic:spPr>
                    <a:xfrm>
                      <a:off x="0" y="0"/>
                      <a:ext cx="5614670" cy="2546985"/>
                    </a:xfrm>
                    <a:prstGeom prst="rect">
                      <a:avLst/>
                    </a:prstGeom>
                    <a:noFill/>
                    <a:ln>
                      <a:noFill/>
                    </a:ln>
                  </pic:spPr>
                </pic:pic>
              </a:graphicData>
            </a:graphic>
          </wp:inline>
        </w:drawing>
      </w:r>
    </w:p>
    <w:p>
      <w:pPr>
        <w:pageBreakBefore w:val="0"/>
        <w:kinsoku/>
        <w:bidi w:val="0"/>
        <w:spacing w:beforeAutospacing="0" w:afterAutospacing="0"/>
        <w:ind w:firstLine="2048" w:firstLineChars="850"/>
        <w:rPr>
          <w:rFonts w:hint="eastAsia" w:ascii="Times New Roman" w:hAnsi="Times New Roman" w:eastAsia="宋体"/>
          <w:b/>
          <w:color w:val="000000" w:themeColor="text1"/>
          <w:sz w:val="24"/>
          <w14:textFill>
            <w14:solidFill>
              <w14:schemeClr w14:val="tx1"/>
            </w14:solidFill>
          </w14:textFill>
        </w:rPr>
      </w:pPr>
      <w:r>
        <w:rPr>
          <w:rFonts w:hint="eastAsia" w:ascii="Times New Roman" w:hAnsi="Times New Roman" w:eastAsia="宋体"/>
          <w:b/>
          <w:color w:val="000000" w:themeColor="text1"/>
          <w:sz w:val="24"/>
          <w14:textFill>
            <w14:solidFill>
              <w14:schemeClr w14:val="tx1"/>
            </w14:solidFill>
          </w14:textFill>
        </w:rPr>
        <w:t>图</w:t>
      </w:r>
      <w:r>
        <w:rPr>
          <w:rFonts w:hint="eastAsia" w:ascii="Times New Roman" w:hAnsi="Times New Roman" w:eastAsia="宋体"/>
          <w:b/>
          <w:color w:val="000000" w:themeColor="text1"/>
          <w:sz w:val="24"/>
          <w:lang w:val="en-US" w:eastAsia="zh-CN"/>
          <w14:textFill>
            <w14:solidFill>
              <w14:schemeClr w14:val="tx1"/>
            </w14:solidFill>
          </w14:textFill>
        </w:rPr>
        <w:t>2.1</w:t>
      </w:r>
      <w:r>
        <w:rPr>
          <w:rFonts w:hint="eastAsia" w:ascii="Times New Roman" w:hAnsi="Times New Roman" w:eastAsia="宋体"/>
          <w:b/>
          <w:color w:val="000000" w:themeColor="text1"/>
          <w:sz w:val="24"/>
          <w14:textFill>
            <w14:solidFill>
              <w14:schemeClr w14:val="tx1"/>
            </w14:solidFill>
          </w14:textFill>
        </w:rPr>
        <w:t>-</w:t>
      </w:r>
      <w:r>
        <w:rPr>
          <w:rFonts w:hint="eastAsia" w:ascii="Times New Roman" w:hAnsi="Times New Roman" w:eastAsia="宋体"/>
          <w:b/>
          <w:color w:val="000000" w:themeColor="text1"/>
          <w:sz w:val="24"/>
          <w:lang w:val="en-US" w:eastAsia="zh-CN"/>
          <w14:textFill>
            <w14:solidFill>
              <w14:schemeClr w14:val="tx1"/>
            </w14:solidFill>
          </w14:textFill>
        </w:rPr>
        <w:t>1</w:t>
      </w:r>
      <w:r>
        <w:rPr>
          <w:rFonts w:hint="eastAsia" w:ascii="Times New Roman" w:hAnsi="Times New Roman" w:eastAsia="宋体"/>
          <w:b/>
          <w:color w:val="000000" w:themeColor="text1"/>
          <w:sz w:val="24"/>
          <w14:textFill>
            <w14:solidFill>
              <w14:schemeClr w14:val="tx1"/>
            </w14:solidFill>
          </w14:textFill>
        </w:rPr>
        <w:t>混凝土生产物料平衡图（单位：t/a）</w:t>
      </w:r>
    </w:p>
    <w:p>
      <w:pPr>
        <w:pageBreakBefore w:val="0"/>
        <w:kinsoku/>
        <w:bidi w:val="0"/>
        <w:spacing w:beforeAutospacing="0" w:afterAutospacing="0" w:line="360" w:lineRule="auto"/>
        <w:ind w:firstLine="480" w:firstLineChars="200"/>
        <w:rPr>
          <w:rFonts w:hint="default" w:ascii="Times New Roman" w:hAnsi="Times New Roman" w:eastAsia="宋体"/>
          <w:color w:val="000000" w:themeColor="text1"/>
          <w:sz w:val="24"/>
          <w:lang w:val="en-US" w:eastAsia="zh-CN"/>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项目共设</w:t>
      </w:r>
      <w:r>
        <w:rPr>
          <w:rFonts w:hint="eastAsia" w:ascii="Times New Roman" w:hAnsi="Times New Roman" w:eastAsia="宋体"/>
          <w:color w:val="000000" w:themeColor="text1"/>
          <w:sz w:val="24"/>
          <w:lang w:val="en-US" w:eastAsia="zh-CN"/>
          <w14:textFill>
            <w14:solidFill>
              <w14:schemeClr w14:val="tx1"/>
            </w14:solidFill>
          </w14:textFill>
        </w:rPr>
        <w:t>5</w:t>
      </w:r>
      <w:r>
        <w:rPr>
          <w:rFonts w:hint="eastAsia" w:ascii="Times New Roman" w:hAnsi="Times New Roman" w:eastAsia="宋体"/>
          <w:color w:val="000000" w:themeColor="text1"/>
          <w:sz w:val="24"/>
          <w14:textFill>
            <w14:solidFill>
              <w14:schemeClr w14:val="tx1"/>
            </w14:solidFill>
          </w14:textFill>
        </w:rPr>
        <w:t>个密闭筒仓（</w:t>
      </w:r>
      <w:r>
        <w:rPr>
          <w:rFonts w:hint="eastAsia" w:ascii="Times New Roman" w:hAnsi="Times New Roman" w:eastAsia="宋体"/>
          <w:color w:val="000000" w:themeColor="text1"/>
          <w:sz w:val="24"/>
          <w:lang w:val="en-US" w:eastAsia="zh-CN"/>
          <w14:textFill>
            <w14:solidFill>
              <w14:schemeClr w14:val="tx1"/>
            </w14:solidFill>
          </w14:textFill>
        </w:rPr>
        <w:t>2</w:t>
      </w:r>
      <w:r>
        <w:rPr>
          <w:rFonts w:hint="eastAsia" w:ascii="Times New Roman" w:hAnsi="Times New Roman" w:eastAsia="宋体"/>
          <w:color w:val="000000" w:themeColor="text1"/>
          <w:sz w:val="24"/>
          <w14:textFill>
            <w14:solidFill>
              <w14:schemeClr w14:val="tx1"/>
            </w14:solidFill>
          </w14:textFill>
        </w:rPr>
        <w:t>个</w:t>
      </w:r>
      <w:r>
        <w:rPr>
          <w:rFonts w:hint="eastAsia" w:ascii="Times New Roman" w:hAnsi="Times New Roman" w:eastAsia="宋体"/>
          <w:color w:val="000000" w:themeColor="text1"/>
          <w:sz w:val="24"/>
          <w:lang w:val="en-US" w:eastAsia="zh-CN"/>
          <w14:textFill>
            <w14:solidFill>
              <w14:schemeClr w14:val="tx1"/>
            </w14:solidFill>
          </w14:textFill>
        </w:rPr>
        <w:t>40</w:t>
      </w:r>
      <w:r>
        <w:rPr>
          <w:rFonts w:hint="eastAsia" w:ascii="Times New Roman" w:hAnsi="Times New Roman" w:eastAsia="宋体"/>
          <w:color w:val="000000" w:themeColor="text1"/>
          <w:sz w:val="24"/>
          <w14:textFill>
            <w14:solidFill>
              <w14:schemeClr w14:val="tx1"/>
            </w14:solidFill>
          </w14:textFill>
        </w:rPr>
        <w:t>t</w:t>
      </w:r>
      <w:r>
        <w:rPr>
          <w:rFonts w:hint="eastAsia" w:ascii="Times New Roman" w:hAnsi="Times New Roman" w:eastAsia="宋体"/>
          <w:color w:val="000000" w:themeColor="text1"/>
          <w:sz w:val="24"/>
          <w:lang w:val="en-US" w:eastAsia="zh-CN"/>
          <w14:textFill>
            <w14:solidFill>
              <w14:schemeClr w14:val="tx1"/>
            </w14:solidFill>
          </w14:textFill>
        </w:rPr>
        <w:t>石料</w:t>
      </w:r>
      <w:r>
        <w:rPr>
          <w:rFonts w:hint="eastAsia" w:ascii="Times New Roman" w:hAnsi="Times New Roman" w:eastAsia="宋体"/>
          <w:color w:val="000000" w:themeColor="text1"/>
          <w:sz w:val="24"/>
          <w14:textFill>
            <w14:solidFill>
              <w14:schemeClr w14:val="tx1"/>
            </w14:solidFill>
          </w14:textFill>
        </w:rPr>
        <w:t>筒仓</w:t>
      </w:r>
      <w:r>
        <w:rPr>
          <w:rFonts w:hint="eastAsia" w:ascii="Times New Roman" w:hAnsi="Times New Roman" w:eastAsia="宋体"/>
          <w:color w:val="000000" w:themeColor="text1"/>
          <w:sz w:val="24"/>
          <w:lang w:eastAsia="zh-CN"/>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2</w:t>
      </w:r>
      <w:r>
        <w:rPr>
          <w:rFonts w:hint="eastAsia" w:ascii="Times New Roman" w:hAnsi="Times New Roman" w:eastAsia="宋体"/>
          <w:color w:val="000000" w:themeColor="text1"/>
          <w:sz w:val="24"/>
          <w14:textFill>
            <w14:solidFill>
              <w14:schemeClr w14:val="tx1"/>
            </w14:solidFill>
          </w14:textFill>
        </w:rPr>
        <w:t>个</w:t>
      </w:r>
      <w:r>
        <w:rPr>
          <w:rFonts w:hint="eastAsia" w:ascii="Times New Roman" w:hAnsi="Times New Roman" w:eastAsia="宋体"/>
          <w:color w:val="000000" w:themeColor="text1"/>
          <w:sz w:val="24"/>
          <w:lang w:val="en-US" w:eastAsia="zh-CN"/>
          <w14:textFill>
            <w14:solidFill>
              <w14:schemeClr w14:val="tx1"/>
            </w14:solidFill>
          </w14:textFill>
        </w:rPr>
        <w:t>40</w:t>
      </w:r>
      <w:r>
        <w:rPr>
          <w:rFonts w:ascii="Times New Roman" w:hAnsi="Times New Roman" w:eastAsia="宋体"/>
          <w:color w:val="000000" w:themeColor="text1"/>
          <w:sz w:val="24"/>
          <w14:textFill>
            <w14:solidFill>
              <w14:schemeClr w14:val="tx1"/>
            </w14:solidFill>
          </w14:textFill>
        </w:rPr>
        <w:t xml:space="preserve">t </w:t>
      </w:r>
      <w:r>
        <w:rPr>
          <w:rFonts w:hint="eastAsia" w:ascii="Times New Roman" w:hAnsi="Times New Roman" w:eastAsia="宋体"/>
          <w:color w:val="000000" w:themeColor="text1"/>
          <w:sz w:val="24"/>
          <w:lang w:val="en-US" w:eastAsia="zh-CN"/>
          <w14:textFill>
            <w14:solidFill>
              <w14:schemeClr w14:val="tx1"/>
            </w14:solidFill>
          </w14:textFill>
        </w:rPr>
        <w:t>砂料</w:t>
      </w:r>
      <w:r>
        <w:rPr>
          <w:rFonts w:hint="eastAsia" w:ascii="Times New Roman" w:hAnsi="Times New Roman" w:eastAsia="宋体"/>
          <w:color w:val="000000" w:themeColor="text1"/>
          <w:sz w:val="24"/>
          <w14:textFill>
            <w14:solidFill>
              <w14:schemeClr w14:val="tx1"/>
            </w14:solidFill>
          </w14:textFill>
        </w:rPr>
        <w:t>筒仓</w:t>
      </w:r>
      <w:r>
        <w:rPr>
          <w:rFonts w:hint="eastAsia" w:ascii="Times New Roman" w:hAnsi="Times New Roman" w:eastAsia="宋体"/>
          <w:color w:val="000000" w:themeColor="text1"/>
          <w:sz w:val="24"/>
          <w:lang w:eastAsia="zh-CN"/>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1个200t水泥筒仓</w:t>
      </w:r>
      <w:r>
        <w:rPr>
          <w:rFonts w:hint="eastAsia" w:ascii="Times New Roman" w:hAnsi="Times New Roman" w:eastAsia="宋体"/>
          <w:color w:val="000000" w:themeColor="text1"/>
          <w:sz w:val="24"/>
          <w14:textFill>
            <w14:solidFill>
              <w14:schemeClr w14:val="tx1"/>
            </w14:solidFill>
          </w14:textFill>
        </w:rPr>
        <w:t>），各筒仓设进料口、出料口和呼吸口，其中出料口采用气动阀与管道连接，水泥等原辅材料用气泵打入料仓，由于受气流冲击，该过程会产生粉尘从仓顶呼吸口排入大气中形成粉尘。筒仓仓顶呼吸孔粉尘产生量与混凝土分批搅拌厂贮仓排气粉尘产生量基本相同。根据《逸散性工业粉尘控制技术》中“第二十二章混凝土分批搅拌厂</w:t>
      </w:r>
      <w:r>
        <w:rPr>
          <w:rFonts w:ascii="Times New Roman" w:hAnsi="Times New Roman" w:eastAsia="宋体"/>
          <w:color w:val="000000" w:themeColor="text1"/>
          <w:sz w:val="24"/>
          <w14:textFill>
            <w14:solidFill>
              <w14:schemeClr w14:val="tx1"/>
            </w14:solidFill>
          </w14:textFill>
        </w:rPr>
        <w:t>-</w:t>
      </w:r>
      <w:r>
        <w:rPr>
          <w:rFonts w:hint="eastAsia" w:ascii="Times New Roman" w:hAnsi="Times New Roman" w:eastAsia="宋体"/>
          <w:color w:val="000000" w:themeColor="text1"/>
          <w:sz w:val="24"/>
          <w14:textFill>
            <w14:solidFill>
              <w14:schemeClr w14:val="tx1"/>
            </w14:solidFill>
          </w14:textFill>
        </w:rPr>
        <w:t>表</w:t>
      </w:r>
      <w:r>
        <w:rPr>
          <w:rFonts w:ascii="Times New Roman" w:hAnsi="Times New Roman" w:eastAsia="宋体"/>
          <w:color w:val="000000" w:themeColor="text1"/>
          <w:sz w:val="24"/>
          <w14:textFill>
            <w14:solidFill>
              <w14:schemeClr w14:val="tx1"/>
            </w14:solidFill>
          </w14:textFill>
        </w:rPr>
        <w:t xml:space="preserve">22-1 </w:t>
      </w:r>
      <w:r>
        <w:rPr>
          <w:rFonts w:hint="eastAsia" w:ascii="Times New Roman" w:hAnsi="Times New Roman" w:eastAsia="宋体"/>
          <w:color w:val="000000" w:themeColor="text1"/>
          <w:sz w:val="24"/>
          <w14:textFill>
            <w14:solidFill>
              <w14:schemeClr w14:val="tx1"/>
            </w14:solidFill>
          </w14:textFill>
        </w:rPr>
        <w:t>混凝土分批搅拌厂的逸散尘排放因子统计资料”，贮仓排气粉尘排放因子为</w:t>
      </w:r>
      <w:r>
        <w:rPr>
          <w:rFonts w:ascii="Times New Roman" w:hAnsi="Times New Roman" w:eastAsia="宋体"/>
          <w:color w:val="000000" w:themeColor="text1"/>
          <w:sz w:val="24"/>
          <w14:textFill>
            <w14:solidFill>
              <w14:schemeClr w14:val="tx1"/>
            </w14:solidFill>
          </w14:textFill>
        </w:rPr>
        <w:t>0.12kg/t</w:t>
      </w:r>
      <w:r>
        <w:rPr>
          <w:rFonts w:hint="eastAsia" w:ascii="Times New Roman" w:hAnsi="Times New Roman" w:eastAsia="宋体"/>
          <w:color w:val="000000" w:themeColor="text1"/>
          <w:sz w:val="24"/>
          <w14:textFill>
            <w14:solidFill>
              <w14:schemeClr w14:val="tx1"/>
            </w14:solidFill>
          </w14:textFill>
        </w:rPr>
        <w:t>，过料风量按5000</w:t>
      </w:r>
      <w:r>
        <w:rPr>
          <w:rFonts w:ascii="Times New Roman" w:hAnsi="Times New Roman" w:eastAsia="宋体"/>
          <w:color w:val="000000" w:themeColor="text1"/>
          <w:sz w:val="24"/>
          <w14:textFill>
            <w14:solidFill>
              <w14:schemeClr w14:val="tx1"/>
            </w14:solidFill>
          </w14:textFill>
        </w:rPr>
        <w:t>m</w:t>
      </w:r>
      <w:r>
        <w:rPr>
          <w:rFonts w:ascii="Times New Roman" w:hAnsi="Times New Roman" w:eastAsia="宋体"/>
          <w:color w:val="000000" w:themeColor="text1"/>
          <w:sz w:val="24"/>
          <w:vertAlign w:val="superscript"/>
          <w14:textFill>
            <w14:solidFill>
              <w14:schemeClr w14:val="tx1"/>
            </w14:solidFill>
          </w14:textFill>
        </w:rPr>
        <w:t>3</w:t>
      </w:r>
      <w:r>
        <w:rPr>
          <w:rFonts w:ascii="Times New Roman" w:hAnsi="Times New Roman" w:eastAsia="宋体"/>
          <w:color w:val="000000" w:themeColor="text1"/>
          <w:sz w:val="24"/>
          <w14:textFill>
            <w14:solidFill>
              <w14:schemeClr w14:val="tx1"/>
            </w14:solidFill>
          </w14:textFill>
        </w:rPr>
        <w:t>/</w:t>
      </w:r>
      <w:r>
        <w:rPr>
          <w:rFonts w:hint="eastAsia" w:ascii="Times New Roman" w:hAnsi="Times New Roman" w:eastAsia="宋体"/>
          <w:color w:val="000000" w:themeColor="text1"/>
          <w:sz w:val="24"/>
          <w14:textFill>
            <w14:solidFill>
              <w14:schemeClr w14:val="tx1"/>
            </w14:solidFill>
          </w14:textFill>
        </w:rPr>
        <w:t>个筒仓计算</w:t>
      </w:r>
      <w:r>
        <w:rPr>
          <w:rFonts w:hint="eastAsia" w:ascii="Times New Roman" w:hAnsi="Times New Roman" w:eastAsia="宋体"/>
          <w:color w:val="000000" w:themeColor="text1"/>
          <w:sz w:val="24"/>
          <w:lang w:eastAsia="zh-CN"/>
          <w14:textFill>
            <w14:solidFill>
              <w14:schemeClr w14:val="tx1"/>
            </w14:solidFill>
          </w14:textFill>
        </w:rPr>
        <w:t>，</w:t>
      </w:r>
      <w:r>
        <w:rPr>
          <w:rFonts w:hint="eastAsia" w:ascii="Times New Roman" w:hAnsi="Times New Roman" w:eastAsia="宋体"/>
          <w:color w:val="000000" w:themeColor="text1"/>
          <w:sz w:val="24"/>
          <w:lang w:val="en-US" w:eastAsia="zh-CN"/>
          <w14:textFill>
            <w14:solidFill>
              <w14:schemeClr w14:val="tx1"/>
            </w14:solidFill>
          </w14:textFill>
        </w:rPr>
        <w:t>则施工期筒仓粉尘产生量为0.276t/a。</w:t>
      </w:r>
    </w:p>
    <w:p>
      <w:pPr>
        <w:keepNext w:val="0"/>
        <w:keepLines w:val="0"/>
        <w:pageBreakBefore w:val="0"/>
        <w:kinsoku/>
        <w:wordWrap/>
        <w:overflowPunct/>
        <w:topLinePunct w:val="0"/>
        <w:bidi w:val="0"/>
        <w:spacing w:beforeAutospacing="0" w:afterAutospacing="0" w:line="360" w:lineRule="auto"/>
        <w:ind w:firstLine="480" w:firstLineChars="200"/>
        <w:jc w:val="both"/>
        <w:textAlignment w:val="auto"/>
        <w:outlineLvl w:val="9"/>
        <w:rPr>
          <w:rFonts w:hint="default" w:ascii="Times New Roman" w:hAnsi="Times New Roman" w:eastAsia="宋体"/>
          <w:color w:val="000000" w:themeColor="text1"/>
          <w:lang w:val="en-US"/>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项目筒仓仓顶呼吸孔及仓底粉尘采取除尘方式如下：仓底采用负压吸风收尘装置，与仓顶呼吸孔共用一套仓顶除尘器，仓顶除尘器设置于每个筒仓仓顶，经处理后排入外环境。项目</w:t>
      </w:r>
      <w:r>
        <w:rPr>
          <w:rFonts w:hint="eastAsia" w:ascii="Times New Roman" w:hAnsi="Times New Roman" w:eastAsia="宋体"/>
          <w:color w:val="000000" w:themeColor="text1"/>
          <w:sz w:val="24"/>
          <w:lang w:val="en-US" w:eastAsia="zh-CN"/>
          <w14:textFill>
            <w14:solidFill>
              <w14:schemeClr w14:val="tx1"/>
            </w14:solidFill>
          </w14:textFill>
        </w:rPr>
        <w:t>水泥、砂石料</w:t>
      </w:r>
      <w:r>
        <w:rPr>
          <w:rFonts w:hint="eastAsia" w:ascii="Times New Roman" w:hAnsi="Times New Roman" w:eastAsia="宋体"/>
          <w:color w:val="000000" w:themeColor="text1"/>
          <w:sz w:val="24"/>
          <w14:textFill>
            <w14:solidFill>
              <w14:schemeClr w14:val="tx1"/>
            </w14:solidFill>
          </w14:textFill>
        </w:rPr>
        <w:t>为密闭的筒仓储存，根据设备厂家提供的产品资料，仓顶除尘器的</w:t>
      </w:r>
      <w:r>
        <w:rPr>
          <w:rFonts w:hint="eastAsia" w:ascii="Times New Roman" w:hAnsi="Times New Roman" w:eastAsia="宋体" w:cs="Times New Roman"/>
          <w:color w:val="000000" w:themeColor="text1"/>
          <w:sz w:val="24"/>
          <w:lang w:eastAsia="zh-CN"/>
          <w14:textFill>
            <w14:solidFill>
              <w14:schemeClr w14:val="tx1"/>
            </w14:solidFill>
          </w14:textFill>
        </w:rPr>
        <w:t>除尘效率设计为99.5%-99.9％（本项目按最低除尘效率99.5%估算）</w:t>
      </w:r>
      <w:r>
        <w:rPr>
          <w:rFonts w:hint="eastAsia" w:ascii="Times New Roman" w:hAnsi="Times New Roman" w:eastAsia="宋体"/>
          <w:color w:val="000000" w:themeColor="text1"/>
          <w:sz w:val="24"/>
          <w14:textFill>
            <w14:solidFill>
              <w14:schemeClr w14:val="tx1"/>
            </w14:solidFill>
          </w14:textFill>
        </w:rPr>
        <w:t>，则在除尘器正常工作的情况下，</w:t>
      </w:r>
      <w:r>
        <w:rPr>
          <w:rFonts w:hint="eastAsia" w:ascii="Times New Roman" w:hAnsi="Times New Roman" w:eastAsia="宋体"/>
          <w:color w:val="000000" w:themeColor="text1"/>
          <w:sz w:val="24"/>
          <w:lang w:val="en-US" w:eastAsia="zh-CN"/>
          <w14:textFill>
            <w14:solidFill>
              <w14:schemeClr w14:val="tx1"/>
            </w14:solidFill>
          </w14:textFill>
        </w:rPr>
        <w:t>施工</w:t>
      </w:r>
      <w:r>
        <w:rPr>
          <w:rFonts w:hint="eastAsia" w:ascii="Times New Roman" w:hAnsi="Times New Roman" w:eastAsia="宋体"/>
          <w:color w:val="000000" w:themeColor="text1"/>
          <w:sz w:val="24"/>
          <w14:textFill>
            <w14:solidFill>
              <w14:schemeClr w14:val="tx1"/>
            </w14:solidFill>
          </w14:textFill>
        </w:rPr>
        <w:t>期筒仓顶呼吸孔粉尘排放情况详见表</w:t>
      </w:r>
      <w:r>
        <w:rPr>
          <w:rFonts w:hint="eastAsia" w:ascii="Times New Roman" w:hAnsi="Times New Roman" w:eastAsia="宋体"/>
          <w:color w:val="000000" w:themeColor="text1"/>
          <w:sz w:val="24"/>
          <w:lang w:val="en-US" w:eastAsia="zh-CN"/>
          <w14:textFill>
            <w14:solidFill>
              <w14:schemeClr w14:val="tx1"/>
            </w14:solidFill>
          </w14:textFill>
        </w:rPr>
        <w:t>2.1</w:t>
      </w:r>
      <w:r>
        <w:rPr>
          <w:rFonts w:hint="eastAsia" w:ascii="Times New Roman" w:hAnsi="Times New Roman" w:eastAsia="宋体"/>
          <w:color w:val="000000" w:themeColor="text1"/>
          <w:sz w:val="24"/>
          <w14:textFill>
            <w14:solidFill>
              <w14:schemeClr w14:val="tx1"/>
            </w14:solidFill>
          </w14:textFill>
        </w:rPr>
        <w:t>-1。</w:t>
      </w:r>
    </w:p>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
          <w:color w:val="000000" w:themeColor="text1"/>
          <w:spacing w:val="6"/>
          <w:sz w:val="24"/>
          <w:szCs w:val="24"/>
          <w:highlight w:val="none"/>
          <w14:textFill>
            <w14:solidFill>
              <w14:schemeClr w14:val="tx1"/>
            </w14:solidFill>
          </w14:textFill>
        </w:rPr>
      </w:pPr>
      <w:r>
        <w:rPr>
          <w:rFonts w:hint="default" w:ascii="Times New Roman" w:hAnsi="Times New Roman" w:eastAsia="宋体" w:cs="Times New Roman"/>
          <w:b/>
          <w:color w:val="000000" w:themeColor="text1"/>
          <w:spacing w:val="6"/>
          <w:sz w:val="24"/>
          <w:szCs w:val="24"/>
          <w:highlight w:val="none"/>
          <w14:textFill>
            <w14:solidFill>
              <w14:schemeClr w14:val="tx1"/>
            </w14:solidFill>
          </w14:textFill>
        </w:rPr>
        <w:t>表</w:t>
      </w:r>
      <w:r>
        <w:rPr>
          <w:rFonts w:hint="eastAsia" w:ascii="Times New Roman" w:hAnsi="Times New Roman" w:eastAsia="宋体" w:cs="Times New Roman"/>
          <w:b/>
          <w:color w:val="000000" w:themeColor="text1"/>
          <w:spacing w:val="6"/>
          <w:sz w:val="24"/>
          <w:szCs w:val="24"/>
          <w:highlight w:val="none"/>
          <w:lang w:val="en-US" w:eastAsia="zh-CN"/>
          <w14:textFill>
            <w14:solidFill>
              <w14:schemeClr w14:val="tx1"/>
            </w14:solidFill>
          </w14:textFill>
        </w:rPr>
        <w:t>2.1-1</w:t>
      </w:r>
      <w:r>
        <w:rPr>
          <w:rFonts w:hint="default" w:ascii="Times New Roman" w:hAnsi="Times New Roman" w:eastAsia="宋体" w:cs="Times New Roman"/>
          <w:b/>
          <w:color w:val="000000" w:themeColor="text1"/>
          <w:spacing w:val="6"/>
          <w:sz w:val="24"/>
          <w:szCs w:val="24"/>
          <w:highlight w:val="none"/>
          <w14:textFill>
            <w14:solidFill>
              <w14:schemeClr w14:val="tx1"/>
            </w14:solidFill>
          </w14:textFill>
        </w:rPr>
        <w:t xml:space="preserve">  筒仓粉尘产生及排放情况</w:t>
      </w:r>
    </w:p>
    <w:tbl>
      <w:tblPr>
        <w:tblStyle w:val="33"/>
        <w:tblW w:w="9053"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65"/>
        <w:gridCol w:w="861"/>
        <w:gridCol w:w="838"/>
        <w:gridCol w:w="1081"/>
        <w:gridCol w:w="759"/>
        <w:gridCol w:w="741"/>
        <w:gridCol w:w="1003"/>
        <w:gridCol w:w="1051"/>
        <w:gridCol w:w="1010"/>
        <w:gridCol w:w="84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65" w:type="dxa"/>
            <w:vAlign w:val="center"/>
          </w:tcPr>
          <w:p>
            <w:pPr>
              <w:pageBreakBefore w:val="0"/>
              <w:kinsoku/>
              <w:bidi w:val="0"/>
              <w:spacing w:beforeAutospacing="0" w:afterAutospacing="0"/>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产污</w:t>
            </w:r>
          </w:p>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环节</w:t>
            </w:r>
          </w:p>
        </w:tc>
        <w:tc>
          <w:tcPr>
            <w:tcW w:w="861" w:type="dxa"/>
            <w:vAlign w:val="center"/>
          </w:tcPr>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产生量</w:t>
            </w:r>
          </w:p>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（t/a）</w:t>
            </w:r>
          </w:p>
        </w:tc>
        <w:tc>
          <w:tcPr>
            <w:tcW w:w="838" w:type="dxa"/>
            <w:vAlign w:val="center"/>
          </w:tcPr>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风量</w:t>
            </w:r>
          </w:p>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(m</w:t>
            </w:r>
            <w:r>
              <w:rPr>
                <w:rFonts w:ascii="Times New Roman" w:hAnsi="Times New Roman" w:eastAsia="宋体"/>
                <w:color w:val="000000" w:themeColor="text1"/>
                <w:szCs w:val="21"/>
                <w:vertAlign w:val="superscript"/>
                <w14:textFill>
                  <w14:solidFill>
                    <w14:schemeClr w14:val="tx1"/>
                  </w14:solidFill>
                </w14:textFill>
              </w:rPr>
              <w:t>3</w:t>
            </w:r>
            <w:r>
              <w:rPr>
                <w:rFonts w:ascii="Times New Roman" w:hAnsi="Times New Roman" w:eastAsia="宋体"/>
                <w:color w:val="000000" w:themeColor="text1"/>
                <w:szCs w:val="21"/>
                <w14:textFill>
                  <w14:solidFill>
                    <w14:schemeClr w14:val="tx1"/>
                  </w14:solidFill>
                </w14:textFill>
              </w:rPr>
              <w:t>/h)</w:t>
            </w:r>
          </w:p>
        </w:tc>
        <w:tc>
          <w:tcPr>
            <w:tcW w:w="1081" w:type="dxa"/>
            <w:vAlign w:val="center"/>
          </w:tcPr>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产生</w:t>
            </w:r>
          </w:p>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浓度</w:t>
            </w:r>
          </w:p>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pacing w:val="-16"/>
                <w:szCs w:val="21"/>
                <w14:textFill>
                  <w14:solidFill>
                    <w14:schemeClr w14:val="tx1"/>
                  </w14:solidFill>
                </w14:textFill>
              </w:rPr>
              <w:t>（mg/m</w:t>
            </w:r>
            <w:r>
              <w:rPr>
                <w:rFonts w:ascii="Times New Roman" w:hAnsi="Times New Roman" w:eastAsia="宋体"/>
                <w:color w:val="000000" w:themeColor="text1"/>
                <w:spacing w:val="-16"/>
                <w:szCs w:val="21"/>
                <w:vertAlign w:val="superscript"/>
                <w14:textFill>
                  <w14:solidFill>
                    <w14:schemeClr w14:val="tx1"/>
                  </w14:solidFill>
                </w14:textFill>
              </w:rPr>
              <w:t>3</w:t>
            </w:r>
            <w:r>
              <w:rPr>
                <w:rFonts w:ascii="Times New Roman" w:hAnsi="Times New Roman" w:eastAsia="宋体"/>
                <w:color w:val="000000" w:themeColor="text1"/>
                <w:spacing w:val="-16"/>
                <w:szCs w:val="21"/>
                <w14:textFill>
                  <w14:solidFill>
                    <w14:schemeClr w14:val="tx1"/>
                  </w14:solidFill>
                </w14:textFill>
              </w:rPr>
              <w:t>）</w:t>
            </w:r>
          </w:p>
        </w:tc>
        <w:tc>
          <w:tcPr>
            <w:tcW w:w="759" w:type="dxa"/>
            <w:vAlign w:val="center"/>
          </w:tcPr>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除尘</w:t>
            </w:r>
          </w:p>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效率</w:t>
            </w:r>
          </w:p>
        </w:tc>
        <w:tc>
          <w:tcPr>
            <w:tcW w:w="741" w:type="dxa"/>
            <w:vAlign w:val="center"/>
          </w:tcPr>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排放时间</w:t>
            </w:r>
          </w:p>
        </w:tc>
        <w:tc>
          <w:tcPr>
            <w:tcW w:w="1003" w:type="dxa"/>
            <w:vAlign w:val="center"/>
          </w:tcPr>
          <w:p>
            <w:pPr>
              <w:pageBreakBefore w:val="0"/>
              <w:kinsoku/>
              <w:bidi w:val="0"/>
              <w:spacing w:beforeAutospacing="0" w:afterAutospacing="0"/>
              <w:jc w:val="center"/>
              <w:rPr>
                <w:rFonts w:hint="eastAsia" w:ascii="Times New Roman" w:hAnsi="Times New Roman" w:eastAsia="宋体"/>
                <w:color w:val="000000" w:themeColor="text1"/>
                <w:spacing w:val="-16"/>
                <w:szCs w:val="21"/>
                <w:lang w:val="en-US" w:eastAsia="zh-CN"/>
                <w14:textFill>
                  <w14:solidFill>
                    <w14:schemeClr w14:val="tx1"/>
                  </w14:solidFill>
                </w14:textFill>
              </w:rPr>
            </w:pPr>
            <w:r>
              <w:rPr>
                <w:rFonts w:hint="eastAsia" w:ascii="Times New Roman" w:hAnsi="Times New Roman" w:eastAsia="宋体"/>
                <w:color w:val="000000" w:themeColor="text1"/>
                <w:spacing w:val="-16"/>
                <w:szCs w:val="21"/>
                <w:lang w:val="en-US" w:eastAsia="zh-CN"/>
                <w14:textFill>
                  <w14:solidFill>
                    <w14:schemeClr w14:val="tx1"/>
                  </w14:solidFill>
                </w14:textFill>
              </w:rPr>
              <w:t>排放量</w:t>
            </w:r>
            <w:r>
              <w:rPr>
                <w:rFonts w:ascii="Times New Roman" w:hAnsi="Times New Roman" w:eastAsia="宋体"/>
                <w:color w:val="000000" w:themeColor="text1"/>
                <w:szCs w:val="21"/>
                <w14:textFill>
                  <w14:solidFill>
                    <w14:schemeClr w14:val="tx1"/>
                  </w14:solidFill>
                </w14:textFill>
              </w:rPr>
              <w:t>（t/a）</w:t>
            </w:r>
          </w:p>
        </w:tc>
        <w:tc>
          <w:tcPr>
            <w:tcW w:w="1051" w:type="dxa"/>
            <w:vAlign w:val="center"/>
          </w:tcPr>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排放</w:t>
            </w:r>
          </w:p>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浓度</w:t>
            </w:r>
          </w:p>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pacing w:val="-16"/>
                <w:szCs w:val="21"/>
                <w14:textFill>
                  <w14:solidFill>
                    <w14:schemeClr w14:val="tx1"/>
                  </w14:solidFill>
                </w14:textFill>
              </w:rPr>
              <w:t>（mg/m</w:t>
            </w:r>
            <w:r>
              <w:rPr>
                <w:rFonts w:ascii="Times New Roman" w:hAnsi="Times New Roman" w:eastAsia="宋体"/>
                <w:color w:val="000000" w:themeColor="text1"/>
                <w:spacing w:val="-16"/>
                <w:szCs w:val="21"/>
                <w:vertAlign w:val="superscript"/>
                <w14:textFill>
                  <w14:solidFill>
                    <w14:schemeClr w14:val="tx1"/>
                  </w14:solidFill>
                </w14:textFill>
              </w:rPr>
              <w:t>3</w:t>
            </w:r>
            <w:r>
              <w:rPr>
                <w:rFonts w:ascii="Times New Roman" w:hAnsi="Times New Roman" w:eastAsia="宋体"/>
                <w:color w:val="000000" w:themeColor="text1"/>
                <w:spacing w:val="-16"/>
                <w:szCs w:val="21"/>
                <w14:textFill>
                  <w14:solidFill>
                    <w14:schemeClr w14:val="tx1"/>
                  </w14:solidFill>
                </w14:textFill>
              </w:rPr>
              <w:t>）</w:t>
            </w:r>
          </w:p>
        </w:tc>
        <w:tc>
          <w:tcPr>
            <w:tcW w:w="1010" w:type="dxa"/>
            <w:vAlign w:val="center"/>
          </w:tcPr>
          <w:p>
            <w:pPr>
              <w:pageBreakBefore w:val="0"/>
              <w:kinsoku/>
              <w:bidi w:val="0"/>
              <w:spacing w:beforeAutospacing="0" w:afterAutospacing="0"/>
              <w:jc w:val="center"/>
              <w:rPr>
                <w:rFonts w:hint="eastAsia"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排放</w:t>
            </w:r>
          </w:p>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速率（</w:t>
            </w:r>
            <w:r>
              <w:rPr>
                <w:rFonts w:hint="eastAsia" w:ascii="Times New Roman" w:hAnsi="Times New Roman" w:eastAsia="宋体"/>
                <w:color w:val="000000" w:themeColor="text1"/>
                <w:szCs w:val="21"/>
                <w14:textFill>
                  <w14:solidFill>
                    <w14:schemeClr w14:val="tx1"/>
                  </w14:solidFill>
                </w14:textFill>
              </w:rPr>
              <w:t>kg</w:t>
            </w:r>
            <w:r>
              <w:rPr>
                <w:rFonts w:ascii="Times New Roman" w:hAnsi="Times New Roman" w:eastAsia="宋体"/>
                <w:color w:val="000000" w:themeColor="text1"/>
                <w:szCs w:val="21"/>
                <w14:textFill>
                  <w14:solidFill>
                    <w14:schemeClr w14:val="tx1"/>
                  </w14:solidFill>
                </w14:textFill>
              </w:rPr>
              <w:t>/</w:t>
            </w:r>
            <w:r>
              <w:rPr>
                <w:rFonts w:hint="eastAsia" w:ascii="Times New Roman" w:hAnsi="Times New Roman" w:eastAsia="宋体"/>
                <w:color w:val="000000" w:themeColor="text1"/>
                <w:szCs w:val="21"/>
                <w14:textFill>
                  <w14:solidFill>
                    <w14:schemeClr w14:val="tx1"/>
                  </w14:solidFill>
                </w14:textFill>
              </w:rPr>
              <w:t>h</w:t>
            </w:r>
            <w:r>
              <w:rPr>
                <w:rFonts w:ascii="Times New Roman" w:hAnsi="Times New Roman" w:eastAsia="宋体"/>
                <w:color w:val="000000" w:themeColor="text1"/>
                <w:szCs w:val="21"/>
                <w14:textFill>
                  <w14:solidFill>
                    <w14:schemeClr w14:val="tx1"/>
                  </w14:solidFill>
                </w14:textFill>
              </w:rPr>
              <w:t>）</w:t>
            </w:r>
          </w:p>
        </w:tc>
        <w:tc>
          <w:tcPr>
            <w:tcW w:w="844" w:type="dxa"/>
            <w:vAlign w:val="center"/>
          </w:tcPr>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排气筒高度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65" w:type="dxa"/>
            <w:vAlign w:val="center"/>
          </w:tcPr>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5</w:t>
            </w:r>
            <w:r>
              <w:rPr>
                <w:rFonts w:ascii="Times New Roman" w:hAnsi="Times New Roman" w:eastAsia="宋体"/>
                <w:color w:val="000000" w:themeColor="text1"/>
                <w:szCs w:val="21"/>
                <w14:textFill>
                  <w14:solidFill>
                    <w14:schemeClr w14:val="tx1"/>
                  </w14:solidFill>
                </w14:textFill>
              </w:rPr>
              <w:t>个筒仓</w:t>
            </w:r>
          </w:p>
        </w:tc>
        <w:tc>
          <w:tcPr>
            <w:tcW w:w="861" w:type="dxa"/>
            <w:vAlign w:val="center"/>
          </w:tcPr>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0.276</w:t>
            </w:r>
          </w:p>
        </w:tc>
        <w:tc>
          <w:tcPr>
            <w:tcW w:w="838" w:type="dxa"/>
            <w:vAlign w:val="center"/>
          </w:tcPr>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25</w:t>
            </w:r>
            <w:r>
              <w:rPr>
                <w:rFonts w:ascii="Times New Roman" w:hAnsi="Times New Roman" w:eastAsia="宋体"/>
                <w:color w:val="000000" w:themeColor="text1"/>
                <w:szCs w:val="21"/>
                <w14:textFill>
                  <w14:solidFill>
                    <w14:schemeClr w14:val="tx1"/>
                  </w14:solidFill>
                </w14:textFill>
              </w:rPr>
              <w:t>000</w:t>
            </w:r>
          </w:p>
        </w:tc>
        <w:tc>
          <w:tcPr>
            <w:tcW w:w="1081" w:type="dxa"/>
            <w:vAlign w:val="center"/>
          </w:tcPr>
          <w:p>
            <w:pPr>
              <w:pageBreakBefore w:val="0"/>
              <w:kinsoku/>
              <w:bidi w:val="0"/>
              <w:spacing w:beforeAutospacing="0" w:afterAutospacing="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6.9</w:t>
            </w:r>
          </w:p>
        </w:tc>
        <w:tc>
          <w:tcPr>
            <w:tcW w:w="759" w:type="dxa"/>
            <w:vAlign w:val="center"/>
          </w:tcPr>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80</w:t>
            </w:r>
            <w:r>
              <w:rPr>
                <w:rFonts w:hint="eastAsia" w:ascii="Times New Roman" w:hAnsi="Times New Roman" w:eastAsia="宋体"/>
                <w:color w:val="000000" w:themeColor="text1"/>
                <w:szCs w:val="21"/>
                <w14:textFill>
                  <w14:solidFill>
                    <w14:schemeClr w14:val="tx1"/>
                  </w14:solidFill>
                </w14:textFill>
              </w:rPr>
              <w:t>%</w:t>
            </w:r>
          </w:p>
        </w:tc>
        <w:tc>
          <w:tcPr>
            <w:tcW w:w="741" w:type="dxa"/>
            <w:vAlign w:val="center"/>
          </w:tcPr>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1600</w:t>
            </w:r>
            <w:r>
              <w:rPr>
                <w:rFonts w:hint="eastAsia" w:ascii="Times New Roman" w:hAnsi="Times New Roman" w:eastAsia="宋体"/>
                <w:color w:val="000000" w:themeColor="text1"/>
                <w:szCs w:val="21"/>
                <w14:textFill>
                  <w14:solidFill>
                    <w14:schemeClr w14:val="tx1"/>
                  </w14:solidFill>
                </w14:textFill>
              </w:rPr>
              <w:t>h</w:t>
            </w:r>
          </w:p>
        </w:tc>
        <w:tc>
          <w:tcPr>
            <w:tcW w:w="1003" w:type="dxa"/>
            <w:vAlign w:val="center"/>
          </w:tcPr>
          <w:p>
            <w:pPr>
              <w:pageBreakBefore w:val="0"/>
              <w:kinsoku/>
              <w:bidi w:val="0"/>
              <w:spacing w:beforeAutospacing="0" w:afterAutospacing="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0.055</w:t>
            </w:r>
          </w:p>
        </w:tc>
        <w:tc>
          <w:tcPr>
            <w:tcW w:w="1051" w:type="dxa"/>
            <w:vAlign w:val="center"/>
          </w:tcPr>
          <w:p>
            <w:pPr>
              <w:pageBreakBefore w:val="0"/>
              <w:kinsoku/>
              <w:bidi w:val="0"/>
              <w:spacing w:beforeAutospacing="0" w:afterAutospacing="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1.38</w:t>
            </w:r>
          </w:p>
        </w:tc>
        <w:tc>
          <w:tcPr>
            <w:tcW w:w="1010" w:type="dxa"/>
            <w:vAlign w:val="center"/>
          </w:tcPr>
          <w:p>
            <w:pPr>
              <w:pageBreakBefore w:val="0"/>
              <w:kinsoku/>
              <w:bidi w:val="0"/>
              <w:spacing w:beforeAutospacing="0" w:afterAutospacing="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0.0</w:t>
            </w:r>
            <w:r>
              <w:rPr>
                <w:rFonts w:hint="eastAsia" w:ascii="Times New Roman" w:hAnsi="Times New Roman" w:eastAsia="宋体"/>
                <w:color w:val="000000" w:themeColor="text1"/>
                <w:szCs w:val="21"/>
                <w:lang w:val="en-US" w:eastAsia="zh-CN"/>
                <w14:textFill>
                  <w14:solidFill>
                    <w14:schemeClr w14:val="tx1"/>
                  </w14:solidFill>
                </w14:textFill>
              </w:rPr>
              <w:t>04</w:t>
            </w:r>
          </w:p>
        </w:tc>
        <w:tc>
          <w:tcPr>
            <w:tcW w:w="844" w:type="dxa"/>
            <w:vAlign w:val="center"/>
          </w:tcPr>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15m</w:t>
            </w:r>
          </w:p>
        </w:tc>
      </w:tr>
    </w:tbl>
    <w:p>
      <w:pPr>
        <w:pStyle w:val="5"/>
        <w:keepNext w:val="0"/>
        <w:keepLines w:val="0"/>
        <w:pageBreakBefore w:val="0"/>
        <w:kinsoku/>
        <w:wordWrap/>
        <w:overflowPunct/>
        <w:topLinePunct w:val="0"/>
        <w:bidi w:val="0"/>
        <w:spacing w:before="0" w:beforeAutospacing="0" w:after="0" w:afterAutospacing="0" w:line="360" w:lineRule="auto"/>
        <w:ind w:left="496"/>
        <w:textAlignment w:val="auto"/>
        <w:outlineLvl w:val="9"/>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⑦搅拌站搅拌粉尘</w:t>
      </w:r>
    </w:p>
    <w:p>
      <w:pPr>
        <w:pageBreakBefore w:val="0"/>
        <w:kinsoku/>
        <w:bidi w:val="0"/>
        <w:spacing w:beforeAutospacing="0" w:afterAutospacing="0"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项目混凝土生产线在搅拌过程中会产生粉尘。根据《逸散性工业粉尘控制技术》中“第二十二章混凝土分批搅拌厂-表22-1 混凝土分批搅拌厂的逸散尘排放因子统计资料”，装水泥、砂和粒料入搅拌机粉尘排放因子为0.02kg/t，同时根据搅拌机厂家提供的资料可知，搅拌周期为60s，各搅拌机粉尘产生情况详见表</w:t>
      </w:r>
      <w:r>
        <w:rPr>
          <w:rFonts w:hint="eastAsia" w:ascii="Times New Roman" w:hAnsi="Times New Roman" w:eastAsia="宋体" w:cs="Times New Roman"/>
          <w:color w:val="000000" w:themeColor="text1"/>
          <w:sz w:val="24"/>
          <w:lang w:val="en-US" w:eastAsia="zh-CN"/>
          <w14:textFill>
            <w14:solidFill>
              <w14:schemeClr w14:val="tx1"/>
            </w14:solidFill>
          </w14:textFill>
        </w:rPr>
        <w:t>3</w:t>
      </w:r>
      <w:r>
        <w:rPr>
          <w:rFonts w:hint="eastAsia" w:ascii="Times New Roman" w:hAnsi="Times New Roman" w:eastAsia="宋体" w:cs="Times New Roman"/>
          <w:color w:val="000000" w:themeColor="text1"/>
          <w:sz w:val="24"/>
          <w:lang w:eastAsia="zh-CN"/>
          <w14:textFill>
            <w14:solidFill>
              <w14:schemeClr w14:val="tx1"/>
            </w14:solidFill>
          </w14:textFill>
        </w:rPr>
        <w:t>.</w:t>
      </w:r>
      <w:r>
        <w:rPr>
          <w:rFonts w:hint="eastAsia" w:ascii="Times New Roman" w:hAnsi="Times New Roman" w:eastAsia="宋体" w:cs="Times New Roman"/>
          <w:color w:val="000000" w:themeColor="text1"/>
          <w:sz w:val="24"/>
          <w:lang w:val="en-US" w:eastAsia="zh-CN"/>
          <w14:textFill>
            <w14:solidFill>
              <w14:schemeClr w14:val="tx1"/>
            </w14:solidFill>
          </w14:textFill>
        </w:rPr>
        <w:t>1</w:t>
      </w:r>
      <w:r>
        <w:rPr>
          <w:rFonts w:hint="eastAsia" w:ascii="Times New Roman" w:hAnsi="Times New Roman" w:eastAsia="宋体" w:cs="Times New Roman"/>
          <w:color w:val="000000" w:themeColor="text1"/>
          <w:sz w:val="24"/>
          <w:lang w:eastAsia="zh-CN"/>
          <w14:textFill>
            <w14:solidFill>
              <w14:schemeClr w14:val="tx1"/>
            </w14:solidFill>
          </w14:textFill>
        </w:rPr>
        <w:t>-2。</w:t>
      </w:r>
    </w:p>
    <w:p>
      <w:pPr>
        <w:pageBreakBefore w:val="0"/>
        <w:kinsoku/>
        <w:bidi w:val="0"/>
        <w:spacing w:beforeAutospacing="0" w:afterAutospacing="0" w:line="360" w:lineRule="auto"/>
        <w:ind w:firstLine="480" w:firstLineChars="200"/>
        <w:rPr>
          <w:rFonts w:hint="eastAsia" w:ascii="Times New Roman" w:hAnsi="Times New Roman" w:eastAsia="宋体" w:cs="Times New Roman"/>
          <w:color w:val="000000" w:themeColor="text1"/>
          <w:sz w:val="24"/>
          <w:lang w:eastAsia="zh-CN"/>
          <w14:textFill>
            <w14:solidFill>
              <w14:schemeClr w14:val="tx1"/>
            </w14:solidFill>
          </w14:textFill>
        </w:rPr>
      </w:pPr>
      <w:r>
        <w:rPr>
          <w:rFonts w:hint="eastAsia" w:ascii="Times New Roman" w:hAnsi="Times New Roman" w:eastAsia="宋体" w:cs="Times New Roman"/>
          <w:color w:val="000000" w:themeColor="text1"/>
          <w:sz w:val="24"/>
          <w:lang w:eastAsia="zh-CN"/>
          <w14:textFill>
            <w14:solidFill>
              <w14:schemeClr w14:val="tx1"/>
            </w14:solidFill>
          </w14:textFill>
        </w:rPr>
        <w:t>建设方拟将搅拌机安装在室内并且采用密封措施，搅拌系统配备一台除尘器，粉尘经净化处理后经排气筒外排。本项目搅拌系统除尘器采用脉冲布袋除尘器，根据设备厂家提供的产品资料，除尘器在加强密封（本项目生产过程均为密闭操作）的情况下集气效率可达</w:t>
      </w:r>
      <w:r>
        <w:rPr>
          <w:rFonts w:hint="eastAsia" w:ascii="Times New Roman" w:hAnsi="Times New Roman" w:eastAsia="宋体" w:cs="Times New Roman"/>
          <w:color w:val="000000" w:themeColor="text1"/>
          <w:sz w:val="24"/>
          <w:lang w:val="en-US" w:eastAsia="zh-CN"/>
          <w14:textFill>
            <w14:solidFill>
              <w14:schemeClr w14:val="tx1"/>
            </w14:solidFill>
          </w14:textFill>
        </w:rPr>
        <w:t>90</w:t>
      </w:r>
      <w:r>
        <w:rPr>
          <w:rFonts w:hint="eastAsia" w:ascii="Times New Roman" w:hAnsi="Times New Roman" w:eastAsia="宋体" w:cs="Times New Roman"/>
          <w:color w:val="000000" w:themeColor="text1"/>
          <w:sz w:val="24"/>
          <w:lang w:eastAsia="zh-CN"/>
          <w14:textFill>
            <w14:solidFill>
              <w14:schemeClr w14:val="tx1"/>
            </w14:solidFill>
          </w14:textFill>
        </w:rPr>
        <w:t>%，除尘效率设计为99.5%-99.9％（本项目按最低除尘效率99.5%估算），则经过除尘后各搅拌机粉尘排放情况详见表</w:t>
      </w:r>
      <w:r>
        <w:rPr>
          <w:rFonts w:hint="eastAsia" w:ascii="Times New Roman" w:hAnsi="Times New Roman" w:eastAsia="宋体" w:cs="Times New Roman"/>
          <w:color w:val="000000" w:themeColor="text1"/>
          <w:sz w:val="24"/>
          <w:lang w:val="en-US" w:eastAsia="zh-CN"/>
          <w14:textFill>
            <w14:solidFill>
              <w14:schemeClr w14:val="tx1"/>
            </w14:solidFill>
          </w14:textFill>
        </w:rPr>
        <w:t>2.1-</w:t>
      </w:r>
      <w:r>
        <w:rPr>
          <w:rFonts w:hint="eastAsia" w:ascii="Times New Roman" w:hAnsi="Times New Roman" w:eastAsia="宋体" w:cs="Times New Roman"/>
          <w:color w:val="000000" w:themeColor="text1"/>
          <w:sz w:val="24"/>
          <w:lang w:eastAsia="zh-CN"/>
          <w14:textFill>
            <w14:solidFill>
              <w14:schemeClr w14:val="tx1"/>
            </w14:solidFill>
          </w14:textFill>
        </w:rPr>
        <w:t>2。</w:t>
      </w:r>
    </w:p>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
          <w:color w:val="000000" w:themeColor="text1"/>
          <w:spacing w:val="6"/>
          <w:sz w:val="24"/>
          <w:szCs w:val="24"/>
          <w:highlight w:val="none"/>
          <w:lang w:eastAsia="zh-CN"/>
          <w14:textFill>
            <w14:solidFill>
              <w14:schemeClr w14:val="tx1"/>
            </w14:solidFill>
          </w14:textFill>
        </w:rPr>
      </w:pPr>
      <w:r>
        <w:rPr>
          <w:rFonts w:hint="default" w:ascii="Times New Roman" w:hAnsi="Times New Roman" w:eastAsia="宋体" w:cs="Times New Roman"/>
          <w:b/>
          <w:color w:val="000000" w:themeColor="text1"/>
          <w:spacing w:val="6"/>
          <w:sz w:val="24"/>
          <w:szCs w:val="24"/>
          <w:highlight w:val="none"/>
          <w14:textFill>
            <w14:solidFill>
              <w14:schemeClr w14:val="tx1"/>
            </w14:solidFill>
          </w14:textFill>
        </w:rPr>
        <w:t>表</w:t>
      </w:r>
      <w:r>
        <w:rPr>
          <w:rFonts w:hint="eastAsia" w:ascii="Times New Roman" w:hAnsi="Times New Roman" w:eastAsia="宋体" w:cs="Times New Roman"/>
          <w:b/>
          <w:color w:val="000000" w:themeColor="text1"/>
          <w:spacing w:val="6"/>
          <w:sz w:val="24"/>
          <w:szCs w:val="24"/>
          <w:highlight w:val="none"/>
          <w:lang w:val="en-US" w:eastAsia="zh-CN"/>
          <w14:textFill>
            <w14:solidFill>
              <w14:schemeClr w14:val="tx1"/>
            </w14:solidFill>
          </w14:textFill>
        </w:rPr>
        <w:t>2.1-2</w:t>
      </w:r>
      <w:r>
        <w:rPr>
          <w:rFonts w:hint="default" w:ascii="Times New Roman" w:hAnsi="Times New Roman" w:eastAsia="宋体" w:cs="Times New Roman"/>
          <w:b/>
          <w:color w:val="000000" w:themeColor="text1"/>
          <w:spacing w:val="6"/>
          <w:sz w:val="24"/>
          <w:szCs w:val="24"/>
          <w:highlight w:val="none"/>
          <w14:textFill>
            <w14:solidFill>
              <w14:schemeClr w14:val="tx1"/>
            </w14:solidFill>
          </w14:textFill>
        </w:rPr>
        <w:t xml:space="preserve"> 搅拌机粉尘产生及排放情况</w:t>
      </w:r>
    </w:p>
    <w:tbl>
      <w:tblPr>
        <w:tblStyle w:val="33"/>
        <w:tblW w:w="9053"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70"/>
        <w:gridCol w:w="866"/>
        <w:gridCol w:w="843"/>
        <w:gridCol w:w="1087"/>
        <w:gridCol w:w="759"/>
        <w:gridCol w:w="709"/>
        <w:gridCol w:w="1010"/>
        <w:gridCol w:w="1051"/>
        <w:gridCol w:w="1010"/>
        <w:gridCol w:w="84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70" w:type="dxa"/>
            <w:vAlign w:val="center"/>
          </w:tcPr>
          <w:p>
            <w:pPr>
              <w:pageBreakBefore w:val="0"/>
              <w:kinsoku/>
              <w:bidi w:val="0"/>
              <w:spacing w:beforeAutospacing="0" w:afterAutospacing="0"/>
              <w:jc w:val="center"/>
              <w:rPr>
                <w:rFonts w:hint="eastAsia"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产污</w:t>
            </w:r>
          </w:p>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环节</w:t>
            </w:r>
          </w:p>
        </w:tc>
        <w:tc>
          <w:tcPr>
            <w:tcW w:w="866" w:type="dxa"/>
            <w:vAlign w:val="center"/>
          </w:tcPr>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产生量</w:t>
            </w:r>
          </w:p>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（t/a）</w:t>
            </w:r>
          </w:p>
        </w:tc>
        <w:tc>
          <w:tcPr>
            <w:tcW w:w="843" w:type="dxa"/>
            <w:vAlign w:val="center"/>
          </w:tcPr>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风量</w:t>
            </w:r>
          </w:p>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(m</w:t>
            </w:r>
            <w:r>
              <w:rPr>
                <w:rFonts w:ascii="Times New Roman" w:hAnsi="Times New Roman" w:eastAsia="宋体"/>
                <w:color w:val="000000" w:themeColor="text1"/>
                <w:szCs w:val="21"/>
                <w:vertAlign w:val="superscript"/>
                <w14:textFill>
                  <w14:solidFill>
                    <w14:schemeClr w14:val="tx1"/>
                  </w14:solidFill>
                </w14:textFill>
              </w:rPr>
              <w:t>3</w:t>
            </w:r>
            <w:r>
              <w:rPr>
                <w:rFonts w:ascii="Times New Roman" w:hAnsi="Times New Roman" w:eastAsia="宋体"/>
                <w:color w:val="000000" w:themeColor="text1"/>
                <w:szCs w:val="21"/>
                <w14:textFill>
                  <w14:solidFill>
                    <w14:schemeClr w14:val="tx1"/>
                  </w14:solidFill>
                </w14:textFill>
              </w:rPr>
              <w:t>/h)</w:t>
            </w:r>
          </w:p>
        </w:tc>
        <w:tc>
          <w:tcPr>
            <w:tcW w:w="1087" w:type="dxa"/>
            <w:vAlign w:val="center"/>
          </w:tcPr>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产生</w:t>
            </w:r>
          </w:p>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浓度</w:t>
            </w:r>
          </w:p>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pacing w:val="-16"/>
                <w:szCs w:val="21"/>
                <w14:textFill>
                  <w14:solidFill>
                    <w14:schemeClr w14:val="tx1"/>
                  </w14:solidFill>
                </w14:textFill>
              </w:rPr>
              <w:t>（mg/m</w:t>
            </w:r>
            <w:r>
              <w:rPr>
                <w:rFonts w:ascii="Times New Roman" w:hAnsi="Times New Roman" w:eastAsia="宋体"/>
                <w:color w:val="000000" w:themeColor="text1"/>
                <w:spacing w:val="-16"/>
                <w:szCs w:val="21"/>
                <w:vertAlign w:val="superscript"/>
                <w14:textFill>
                  <w14:solidFill>
                    <w14:schemeClr w14:val="tx1"/>
                  </w14:solidFill>
                </w14:textFill>
              </w:rPr>
              <w:t>3</w:t>
            </w:r>
            <w:r>
              <w:rPr>
                <w:rFonts w:ascii="Times New Roman" w:hAnsi="Times New Roman" w:eastAsia="宋体"/>
                <w:color w:val="000000" w:themeColor="text1"/>
                <w:spacing w:val="-16"/>
                <w:szCs w:val="21"/>
                <w14:textFill>
                  <w14:solidFill>
                    <w14:schemeClr w14:val="tx1"/>
                  </w14:solidFill>
                </w14:textFill>
              </w:rPr>
              <w:t>）</w:t>
            </w:r>
          </w:p>
        </w:tc>
        <w:tc>
          <w:tcPr>
            <w:tcW w:w="759" w:type="dxa"/>
            <w:vAlign w:val="center"/>
          </w:tcPr>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除尘</w:t>
            </w:r>
          </w:p>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效率</w:t>
            </w:r>
          </w:p>
        </w:tc>
        <w:tc>
          <w:tcPr>
            <w:tcW w:w="709" w:type="dxa"/>
            <w:vAlign w:val="center"/>
          </w:tcPr>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排放时间</w:t>
            </w:r>
          </w:p>
        </w:tc>
        <w:tc>
          <w:tcPr>
            <w:tcW w:w="1010" w:type="dxa"/>
            <w:vAlign w:val="center"/>
          </w:tcPr>
          <w:p>
            <w:pPr>
              <w:pageBreakBefore w:val="0"/>
              <w:kinsoku/>
              <w:bidi w:val="0"/>
              <w:spacing w:beforeAutospacing="0" w:afterAutospacing="0"/>
              <w:jc w:val="center"/>
              <w:rPr>
                <w:rFonts w:hint="eastAsia" w:ascii="Times New Roman" w:hAnsi="Times New Roman" w:eastAsia="宋体"/>
                <w:color w:val="000000" w:themeColor="text1"/>
                <w:spacing w:val="-16"/>
                <w:szCs w:val="21"/>
                <w:lang w:val="en-US" w:eastAsia="zh-CN"/>
                <w14:textFill>
                  <w14:solidFill>
                    <w14:schemeClr w14:val="tx1"/>
                  </w14:solidFill>
                </w14:textFill>
              </w:rPr>
            </w:pPr>
            <w:r>
              <w:rPr>
                <w:rFonts w:hint="eastAsia" w:ascii="Times New Roman" w:hAnsi="Times New Roman" w:eastAsia="宋体"/>
                <w:color w:val="000000" w:themeColor="text1"/>
                <w:spacing w:val="-16"/>
                <w:szCs w:val="21"/>
                <w:lang w:val="en-US" w:eastAsia="zh-CN"/>
                <w14:textFill>
                  <w14:solidFill>
                    <w14:schemeClr w14:val="tx1"/>
                  </w14:solidFill>
                </w14:textFill>
              </w:rPr>
              <w:t>排放量</w:t>
            </w:r>
            <w:r>
              <w:rPr>
                <w:rFonts w:ascii="Times New Roman" w:hAnsi="Times New Roman" w:eastAsia="宋体"/>
                <w:color w:val="000000" w:themeColor="text1"/>
                <w:szCs w:val="21"/>
                <w14:textFill>
                  <w14:solidFill>
                    <w14:schemeClr w14:val="tx1"/>
                  </w14:solidFill>
                </w14:textFill>
              </w:rPr>
              <w:t>（t/a）</w:t>
            </w:r>
          </w:p>
        </w:tc>
        <w:tc>
          <w:tcPr>
            <w:tcW w:w="1051" w:type="dxa"/>
            <w:vAlign w:val="center"/>
          </w:tcPr>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排放</w:t>
            </w:r>
          </w:p>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浓度</w:t>
            </w:r>
          </w:p>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pacing w:val="-16"/>
                <w:szCs w:val="21"/>
                <w14:textFill>
                  <w14:solidFill>
                    <w14:schemeClr w14:val="tx1"/>
                  </w14:solidFill>
                </w14:textFill>
              </w:rPr>
              <w:t>（mg/m</w:t>
            </w:r>
            <w:r>
              <w:rPr>
                <w:rFonts w:ascii="Times New Roman" w:hAnsi="Times New Roman" w:eastAsia="宋体"/>
                <w:color w:val="000000" w:themeColor="text1"/>
                <w:spacing w:val="-16"/>
                <w:szCs w:val="21"/>
                <w:vertAlign w:val="superscript"/>
                <w14:textFill>
                  <w14:solidFill>
                    <w14:schemeClr w14:val="tx1"/>
                  </w14:solidFill>
                </w14:textFill>
              </w:rPr>
              <w:t>3</w:t>
            </w:r>
            <w:r>
              <w:rPr>
                <w:rFonts w:ascii="Times New Roman" w:hAnsi="Times New Roman" w:eastAsia="宋体"/>
                <w:color w:val="000000" w:themeColor="text1"/>
                <w:spacing w:val="-16"/>
                <w:szCs w:val="21"/>
                <w14:textFill>
                  <w14:solidFill>
                    <w14:schemeClr w14:val="tx1"/>
                  </w14:solidFill>
                </w14:textFill>
              </w:rPr>
              <w:t>）</w:t>
            </w:r>
          </w:p>
        </w:tc>
        <w:tc>
          <w:tcPr>
            <w:tcW w:w="1010" w:type="dxa"/>
            <w:vAlign w:val="center"/>
          </w:tcPr>
          <w:p>
            <w:pPr>
              <w:pageBreakBefore w:val="0"/>
              <w:kinsoku/>
              <w:bidi w:val="0"/>
              <w:spacing w:beforeAutospacing="0" w:afterAutospacing="0"/>
              <w:jc w:val="center"/>
              <w:rPr>
                <w:rFonts w:hint="eastAsia"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排放</w:t>
            </w:r>
          </w:p>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速率（</w:t>
            </w:r>
            <w:r>
              <w:rPr>
                <w:rFonts w:hint="eastAsia" w:ascii="Times New Roman" w:hAnsi="Times New Roman" w:eastAsia="宋体"/>
                <w:color w:val="000000" w:themeColor="text1"/>
                <w:szCs w:val="21"/>
                <w14:textFill>
                  <w14:solidFill>
                    <w14:schemeClr w14:val="tx1"/>
                  </w14:solidFill>
                </w14:textFill>
              </w:rPr>
              <w:t>kg</w:t>
            </w:r>
            <w:r>
              <w:rPr>
                <w:rFonts w:ascii="Times New Roman" w:hAnsi="Times New Roman" w:eastAsia="宋体"/>
                <w:color w:val="000000" w:themeColor="text1"/>
                <w:szCs w:val="21"/>
                <w14:textFill>
                  <w14:solidFill>
                    <w14:schemeClr w14:val="tx1"/>
                  </w14:solidFill>
                </w14:textFill>
              </w:rPr>
              <w:t>/</w:t>
            </w:r>
            <w:r>
              <w:rPr>
                <w:rFonts w:hint="eastAsia" w:ascii="Times New Roman" w:hAnsi="Times New Roman" w:eastAsia="宋体"/>
                <w:color w:val="000000" w:themeColor="text1"/>
                <w:szCs w:val="21"/>
                <w14:textFill>
                  <w14:solidFill>
                    <w14:schemeClr w14:val="tx1"/>
                  </w14:solidFill>
                </w14:textFill>
              </w:rPr>
              <w:t>h</w:t>
            </w:r>
            <w:r>
              <w:rPr>
                <w:rFonts w:ascii="Times New Roman" w:hAnsi="Times New Roman" w:eastAsia="宋体"/>
                <w:color w:val="000000" w:themeColor="text1"/>
                <w:szCs w:val="21"/>
                <w14:textFill>
                  <w14:solidFill>
                    <w14:schemeClr w14:val="tx1"/>
                  </w14:solidFill>
                </w14:textFill>
              </w:rPr>
              <w:t>）</w:t>
            </w:r>
          </w:p>
        </w:tc>
        <w:tc>
          <w:tcPr>
            <w:tcW w:w="848" w:type="dxa"/>
            <w:vAlign w:val="center"/>
          </w:tcPr>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排气筒高度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870" w:type="dxa"/>
            <w:vAlign w:val="center"/>
          </w:tcPr>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搅拌机</w:t>
            </w:r>
          </w:p>
        </w:tc>
        <w:tc>
          <w:tcPr>
            <w:tcW w:w="866" w:type="dxa"/>
            <w:vAlign w:val="center"/>
          </w:tcPr>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0.425</w:t>
            </w:r>
          </w:p>
        </w:tc>
        <w:tc>
          <w:tcPr>
            <w:tcW w:w="843" w:type="dxa"/>
            <w:vAlign w:val="center"/>
          </w:tcPr>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8000</w:t>
            </w:r>
          </w:p>
        </w:tc>
        <w:tc>
          <w:tcPr>
            <w:tcW w:w="1087" w:type="dxa"/>
            <w:vAlign w:val="center"/>
          </w:tcPr>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177.98</w:t>
            </w:r>
          </w:p>
        </w:tc>
        <w:tc>
          <w:tcPr>
            <w:tcW w:w="759" w:type="dxa"/>
            <w:vAlign w:val="center"/>
          </w:tcPr>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99.5%</w:t>
            </w:r>
          </w:p>
        </w:tc>
        <w:tc>
          <w:tcPr>
            <w:tcW w:w="709" w:type="dxa"/>
            <w:vAlign w:val="center"/>
          </w:tcPr>
          <w:p>
            <w:pPr>
              <w:pageBreakBefore w:val="0"/>
              <w:kinsoku/>
              <w:bidi w:val="0"/>
              <w:spacing w:beforeAutospacing="0" w:afterAutospacing="0"/>
              <w:jc w:val="center"/>
              <w:rPr>
                <w:rFonts w:hint="eastAsia"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300</w:t>
            </w:r>
            <w:r>
              <w:rPr>
                <w:rFonts w:hint="eastAsia" w:ascii="Times New Roman" w:hAnsi="Times New Roman" w:eastAsia="宋体"/>
                <w:color w:val="000000" w:themeColor="text1"/>
                <w:szCs w:val="21"/>
                <w:lang w:val="en-US" w:eastAsia="zh-CN"/>
                <w14:textFill>
                  <w14:solidFill>
                    <w14:schemeClr w14:val="tx1"/>
                  </w14:solidFill>
                </w14:textFill>
              </w:rPr>
              <w:t>h</w:t>
            </w:r>
          </w:p>
        </w:tc>
        <w:tc>
          <w:tcPr>
            <w:tcW w:w="1010" w:type="dxa"/>
            <w:vAlign w:val="center"/>
          </w:tcPr>
          <w:p>
            <w:pPr>
              <w:pageBreakBefore w:val="0"/>
              <w:kinsoku/>
              <w:bidi w:val="0"/>
              <w:spacing w:beforeAutospacing="0" w:afterAutospacing="0"/>
              <w:jc w:val="center"/>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0.002</w:t>
            </w:r>
          </w:p>
        </w:tc>
        <w:tc>
          <w:tcPr>
            <w:tcW w:w="1051" w:type="dxa"/>
            <w:vAlign w:val="center"/>
          </w:tcPr>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0.89</w:t>
            </w:r>
          </w:p>
        </w:tc>
        <w:tc>
          <w:tcPr>
            <w:tcW w:w="1010" w:type="dxa"/>
            <w:vAlign w:val="center"/>
          </w:tcPr>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0.007</w:t>
            </w:r>
          </w:p>
        </w:tc>
        <w:tc>
          <w:tcPr>
            <w:tcW w:w="848" w:type="dxa"/>
            <w:vAlign w:val="center"/>
          </w:tcPr>
          <w:p>
            <w:pPr>
              <w:pageBreakBefore w:val="0"/>
              <w:kinsoku/>
              <w:bidi w:val="0"/>
              <w:spacing w:beforeAutospacing="0" w:afterAutospacing="0"/>
              <w:jc w:val="cente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15m</w:t>
            </w:r>
          </w:p>
        </w:tc>
      </w:tr>
    </w:tbl>
    <w:p>
      <w:pPr>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⑧</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物料提升及下料粉尘</w:t>
      </w:r>
    </w:p>
    <w:p>
      <w:pPr>
        <w:pageBreakBefore w:val="0"/>
        <w:kinsoku/>
        <w:bidi w:val="0"/>
        <w:spacing w:beforeAutospacing="0" w:afterAutospacing="0"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项目生产原料水泥通过汽车运输至</w:t>
      </w:r>
      <w:r>
        <w:rPr>
          <w:rFonts w:hint="eastAsia" w:ascii="Times New Roman" w:hAnsi="Times New Roman" w:eastAsia="宋体"/>
          <w:color w:val="000000" w:themeColor="text1"/>
          <w:sz w:val="24"/>
          <w:lang w:val="en-US" w:eastAsia="zh-CN"/>
          <w14:textFill>
            <w14:solidFill>
              <w14:schemeClr w14:val="tx1"/>
            </w14:solidFill>
          </w14:textFill>
        </w:rPr>
        <w:t>加工区</w:t>
      </w:r>
      <w:r>
        <w:rPr>
          <w:rFonts w:hint="eastAsia" w:ascii="Times New Roman" w:hAnsi="Times New Roman" w:eastAsia="宋体"/>
          <w:color w:val="000000" w:themeColor="text1"/>
          <w:sz w:val="24"/>
          <w14:textFill>
            <w14:solidFill>
              <w14:schemeClr w14:val="tx1"/>
            </w14:solidFill>
          </w14:textFill>
        </w:rPr>
        <w:t>后以压缩空气吹入散装筒仓，项目砂、碎石提升以搅拌站配套的螺旋输送方式完成，生产过程中辅以螺旋输送机给水泥秤供料，本项目各生产工序均采用电脑集中控制，各工序的连锁、联动的协</w:t>
      </w:r>
      <w:r>
        <w:rPr>
          <w:rFonts w:ascii="Times New Roman" w:hAnsi="Times New Roman" w:eastAsia="宋体"/>
          <w:color w:val="000000" w:themeColor="text1"/>
          <w:sz w:val="24"/>
          <w14:textFill>
            <w14:solidFill>
              <w14:schemeClr w14:val="tx1"/>
            </w14:solidFill>
          </w14:textFill>
        </w:rPr>
        <w:t xml:space="preserve"> </w:t>
      </w:r>
      <w:r>
        <w:rPr>
          <w:rFonts w:hint="eastAsia" w:ascii="Times New Roman" w:hAnsi="Times New Roman" w:eastAsia="宋体"/>
          <w:color w:val="000000" w:themeColor="text1"/>
          <w:sz w:val="24"/>
          <w14:textFill>
            <w14:solidFill>
              <w14:schemeClr w14:val="tx1"/>
            </w14:solidFill>
          </w14:textFill>
        </w:rPr>
        <w:t>调性、安全性较强，原料的输送、计量、投料等方式均为封闭式，螺旋运输机和料场均为彩钢密闭设置。因此在该过程逸出的粉尘量较小，本环评仅作定性分析。螺旋输送机和料场设置于全密闭彩钢房内，进行原料转运设施必须建设封闭皮带通廊，并设专人定期巡护，确保设备通廊密闭性，防止转运过程中粉尘泄漏。</w:t>
      </w:r>
    </w:p>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
          <w:color w:val="000000" w:themeColor="text1"/>
          <w:spacing w:val="6"/>
          <w:sz w:val="24"/>
          <w:szCs w:val="24"/>
          <w:highlight w:val="none"/>
          <w14:textFill>
            <w14:solidFill>
              <w14:schemeClr w14:val="tx1"/>
            </w14:solidFill>
          </w14:textFill>
        </w:rPr>
      </w:pPr>
    </w:p>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
          <w:color w:val="000000" w:themeColor="text1"/>
          <w:spacing w:val="6"/>
          <w:sz w:val="24"/>
          <w:szCs w:val="24"/>
          <w:highlight w:val="none"/>
          <w14:textFill>
            <w14:solidFill>
              <w14:schemeClr w14:val="tx1"/>
            </w14:solidFill>
          </w14:textFill>
        </w:rPr>
      </w:pPr>
    </w:p>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
          <w:color w:val="000000" w:themeColor="text1"/>
          <w:spacing w:val="6"/>
          <w:sz w:val="24"/>
          <w:szCs w:val="24"/>
          <w:highlight w:val="none"/>
          <w14:textFill>
            <w14:solidFill>
              <w14:schemeClr w14:val="tx1"/>
            </w14:solidFill>
          </w14:textFill>
        </w:rPr>
      </w:pPr>
    </w:p>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
          <w:color w:val="000000" w:themeColor="text1"/>
          <w:spacing w:val="6"/>
          <w:sz w:val="24"/>
          <w:szCs w:val="24"/>
          <w:highlight w:val="none"/>
          <w14:textFill>
            <w14:solidFill>
              <w14:schemeClr w14:val="tx1"/>
            </w14:solidFill>
          </w14:textFill>
        </w:rPr>
      </w:pPr>
    </w:p>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
          <w:color w:val="000000" w:themeColor="text1"/>
          <w:spacing w:val="6"/>
          <w:sz w:val="24"/>
          <w:szCs w:val="24"/>
          <w:highlight w:val="none"/>
          <w14:textFill>
            <w14:solidFill>
              <w14:schemeClr w14:val="tx1"/>
            </w14:solidFill>
          </w14:textFill>
        </w:rPr>
      </w:pPr>
    </w:p>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
          <w:color w:val="000000" w:themeColor="text1"/>
          <w:spacing w:val="6"/>
          <w:sz w:val="24"/>
          <w:szCs w:val="24"/>
          <w:highlight w:val="none"/>
          <w14:textFill>
            <w14:solidFill>
              <w14:schemeClr w14:val="tx1"/>
            </w14:solidFill>
          </w14:textFill>
        </w:rPr>
      </w:pPr>
    </w:p>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
          <w:color w:val="000000" w:themeColor="text1"/>
          <w:spacing w:val="6"/>
          <w:sz w:val="24"/>
          <w:szCs w:val="24"/>
          <w:highlight w:val="none"/>
          <w14:textFill>
            <w14:solidFill>
              <w14:schemeClr w14:val="tx1"/>
            </w14:solidFill>
          </w14:textFill>
        </w:rPr>
      </w:pPr>
      <w:r>
        <w:rPr>
          <w:rFonts w:hint="default" w:ascii="Times New Roman" w:hAnsi="Times New Roman" w:eastAsia="宋体" w:cs="Times New Roman"/>
          <w:b/>
          <w:color w:val="000000" w:themeColor="text1"/>
          <w:spacing w:val="6"/>
          <w:sz w:val="24"/>
          <w:szCs w:val="24"/>
          <w:highlight w:val="none"/>
          <w14:textFill>
            <w14:solidFill>
              <w14:schemeClr w14:val="tx1"/>
            </w14:solidFill>
          </w14:textFill>
        </w:rPr>
        <w:t>表</w:t>
      </w:r>
      <w:r>
        <w:rPr>
          <w:rFonts w:hint="eastAsia" w:ascii="Times New Roman" w:hAnsi="Times New Roman" w:eastAsia="宋体" w:cs="Times New Roman"/>
          <w:b/>
          <w:color w:val="000000" w:themeColor="text1"/>
          <w:spacing w:val="6"/>
          <w:sz w:val="24"/>
          <w:szCs w:val="24"/>
          <w:highlight w:val="none"/>
          <w:lang w:val="en-US" w:eastAsia="zh-CN"/>
          <w14:textFill>
            <w14:solidFill>
              <w14:schemeClr w14:val="tx1"/>
            </w14:solidFill>
          </w14:textFill>
        </w:rPr>
        <w:t>2.1-3</w:t>
      </w:r>
      <w:r>
        <w:rPr>
          <w:rFonts w:hint="default" w:ascii="Times New Roman" w:hAnsi="Times New Roman" w:eastAsia="宋体" w:cs="Times New Roman"/>
          <w:b/>
          <w:color w:val="000000" w:themeColor="text1"/>
          <w:spacing w:val="6"/>
          <w:sz w:val="24"/>
          <w:szCs w:val="24"/>
          <w:highlight w:val="none"/>
          <w14:textFill>
            <w14:solidFill>
              <w14:schemeClr w14:val="tx1"/>
            </w14:solidFill>
          </w14:textFill>
        </w:rPr>
        <w:t xml:space="preserve">  项目</w:t>
      </w:r>
      <w:r>
        <w:rPr>
          <w:rFonts w:hint="eastAsia" w:ascii="Times New Roman" w:hAnsi="Times New Roman" w:eastAsia="宋体" w:cs="Times New Roman"/>
          <w:b/>
          <w:color w:val="000000" w:themeColor="text1"/>
          <w:spacing w:val="6"/>
          <w:sz w:val="24"/>
          <w:szCs w:val="24"/>
          <w:highlight w:val="none"/>
          <w:lang w:val="en-US" w:eastAsia="zh-CN"/>
          <w14:textFill>
            <w14:solidFill>
              <w14:schemeClr w14:val="tx1"/>
            </w14:solidFill>
          </w14:textFill>
        </w:rPr>
        <w:t>施工期</w:t>
      </w:r>
      <w:r>
        <w:rPr>
          <w:rFonts w:hint="default" w:ascii="Times New Roman" w:hAnsi="Times New Roman" w:eastAsia="宋体" w:cs="Times New Roman"/>
          <w:b/>
          <w:color w:val="000000" w:themeColor="text1"/>
          <w:spacing w:val="6"/>
          <w:sz w:val="24"/>
          <w:szCs w:val="24"/>
          <w:highlight w:val="none"/>
          <w14:textFill>
            <w14:solidFill>
              <w14:schemeClr w14:val="tx1"/>
            </w14:solidFill>
          </w14:textFill>
        </w:rPr>
        <w:t>大气污染物排放情况一览表</w:t>
      </w:r>
    </w:p>
    <w:tbl>
      <w:tblPr>
        <w:tblStyle w:val="33"/>
        <w:tblW w:w="905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4"/>
        <w:gridCol w:w="435"/>
        <w:gridCol w:w="839"/>
        <w:gridCol w:w="835"/>
        <w:gridCol w:w="610"/>
        <w:gridCol w:w="973"/>
        <w:gridCol w:w="936"/>
        <w:gridCol w:w="904"/>
        <w:gridCol w:w="1943"/>
        <w:gridCol w:w="9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74" w:type="dxa"/>
            <w:vMerge w:val="restart"/>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产污</w:t>
            </w:r>
          </w:p>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环节</w:t>
            </w:r>
          </w:p>
        </w:tc>
        <w:tc>
          <w:tcPr>
            <w:tcW w:w="435" w:type="dxa"/>
            <w:vMerge w:val="restart"/>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污染物</w:t>
            </w:r>
          </w:p>
        </w:tc>
        <w:tc>
          <w:tcPr>
            <w:tcW w:w="1674" w:type="dxa"/>
            <w:gridSpan w:val="2"/>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污染物产生情况</w:t>
            </w:r>
          </w:p>
        </w:tc>
        <w:tc>
          <w:tcPr>
            <w:tcW w:w="610" w:type="dxa"/>
            <w:vMerge w:val="restart"/>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排放形式</w:t>
            </w:r>
          </w:p>
        </w:tc>
        <w:tc>
          <w:tcPr>
            <w:tcW w:w="2813" w:type="dxa"/>
            <w:gridSpan w:val="3"/>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污染物排放情况</w:t>
            </w:r>
          </w:p>
        </w:tc>
        <w:tc>
          <w:tcPr>
            <w:tcW w:w="2845" w:type="dxa"/>
            <w:gridSpan w:val="2"/>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674" w:type="dxa"/>
            <w:vMerge w:val="continue"/>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435" w:type="dxa"/>
            <w:vMerge w:val="continue"/>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839"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产生浓度mg/m</w:t>
            </w:r>
            <w:r>
              <w:rPr>
                <w:rFonts w:hint="default" w:ascii="Times New Roman" w:hAnsi="Times New Roman" w:eastAsia="宋体" w:cs="Times New Roman"/>
                <w:b w:val="0"/>
                <w:bCs/>
                <w:color w:val="000000" w:themeColor="text1"/>
                <w:sz w:val="21"/>
                <w:szCs w:val="21"/>
                <w:highlight w:val="none"/>
                <w:vertAlign w:val="superscript"/>
                <w14:textFill>
                  <w14:solidFill>
                    <w14:schemeClr w14:val="tx1"/>
                  </w14:solidFill>
                </w14:textFill>
              </w:rPr>
              <w:t>3</w:t>
            </w:r>
          </w:p>
        </w:tc>
        <w:tc>
          <w:tcPr>
            <w:tcW w:w="835"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产生量t/a</w:t>
            </w:r>
          </w:p>
        </w:tc>
        <w:tc>
          <w:tcPr>
            <w:tcW w:w="610" w:type="dxa"/>
            <w:vMerge w:val="continue"/>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p>
        </w:tc>
        <w:tc>
          <w:tcPr>
            <w:tcW w:w="973"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排放浓度mg/m</w:t>
            </w:r>
            <w:r>
              <w:rPr>
                <w:rFonts w:hint="default" w:ascii="Times New Roman" w:hAnsi="Times New Roman" w:eastAsia="宋体" w:cs="Times New Roman"/>
                <w:b w:val="0"/>
                <w:bCs/>
                <w:color w:val="000000" w:themeColor="text1"/>
                <w:sz w:val="21"/>
                <w:szCs w:val="21"/>
                <w:highlight w:val="none"/>
                <w:vertAlign w:val="superscript"/>
                <w14:textFill>
                  <w14:solidFill>
                    <w14:schemeClr w14:val="tx1"/>
                  </w14:solidFill>
                </w14:textFill>
              </w:rPr>
              <w:t>3</w:t>
            </w:r>
          </w:p>
        </w:tc>
        <w:tc>
          <w:tcPr>
            <w:tcW w:w="936"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排放速率kg/h</w:t>
            </w:r>
          </w:p>
        </w:tc>
        <w:tc>
          <w:tcPr>
            <w:tcW w:w="904"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排放量t/a</w:t>
            </w:r>
          </w:p>
        </w:tc>
        <w:tc>
          <w:tcPr>
            <w:tcW w:w="1943"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标准</w:t>
            </w:r>
          </w:p>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名称</w:t>
            </w:r>
          </w:p>
        </w:tc>
        <w:tc>
          <w:tcPr>
            <w:tcW w:w="902"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 w:val="0"/>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浓度限值mg/m</w:t>
            </w:r>
            <w:r>
              <w:rPr>
                <w:rFonts w:hint="default" w:ascii="Times New Roman" w:hAnsi="Times New Roman" w:eastAsia="宋体" w:cs="Times New Roman"/>
                <w:b w:val="0"/>
                <w:bCs/>
                <w:color w:val="000000" w:themeColor="text1"/>
                <w:sz w:val="21"/>
                <w:szCs w:val="21"/>
                <w:highlight w:val="none"/>
                <w:vertAlign w:val="superscript"/>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74"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表土剥离</w:t>
            </w:r>
          </w:p>
        </w:tc>
        <w:tc>
          <w:tcPr>
            <w:tcW w:w="435"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颗粒物</w:t>
            </w:r>
          </w:p>
        </w:tc>
        <w:tc>
          <w:tcPr>
            <w:tcW w:w="839"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835"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少量</w:t>
            </w:r>
          </w:p>
        </w:tc>
        <w:tc>
          <w:tcPr>
            <w:tcW w:w="610"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无组织</w:t>
            </w:r>
          </w:p>
        </w:tc>
        <w:tc>
          <w:tcPr>
            <w:tcW w:w="973"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936"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904"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少量</w:t>
            </w:r>
          </w:p>
        </w:tc>
        <w:tc>
          <w:tcPr>
            <w:tcW w:w="1943" w:type="dxa"/>
            <w:vMerge w:val="restart"/>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bidi="ar"/>
                <w14:textFill>
                  <w14:solidFill>
                    <w14:schemeClr w14:val="tx1"/>
                  </w14:solidFill>
                </w14:textFill>
              </w:rPr>
              <w:t>《大气污染物综合排放标准》（GB16297-1996）</w:t>
            </w:r>
          </w:p>
        </w:tc>
        <w:tc>
          <w:tcPr>
            <w:tcW w:w="902"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74"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钻孔与凿岩</w:t>
            </w:r>
          </w:p>
        </w:tc>
        <w:tc>
          <w:tcPr>
            <w:tcW w:w="435"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颗粒物</w:t>
            </w:r>
          </w:p>
        </w:tc>
        <w:tc>
          <w:tcPr>
            <w:tcW w:w="839"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835"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0.2</w:t>
            </w:r>
          </w:p>
        </w:tc>
        <w:tc>
          <w:tcPr>
            <w:tcW w:w="610"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无组织</w:t>
            </w:r>
          </w:p>
        </w:tc>
        <w:tc>
          <w:tcPr>
            <w:tcW w:w="973"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936"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0.06</w:t>
            </w:r>
          </w:p>
        </w:tc>
        <w:tc>
          <w:tcPr>
            <w:tcW w:w="904"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0.01</w:t>
            </w:r>
          </w:p>
        </w:tc>
        <w:tc>
          <w:tcPr>
            <w:tcW w:w="1943" w:type="dxa"/>
            <w:vMerge w:val="continue"/>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color w:val="000000" w:themeColor="text1"/>
                <w:sz w:val="21"/>
                <w:szCs w:val="21"/>
                <w:highlight w:val="none"/>
                <w:lang w:eastAsia="zh-CN" w:bidi="ar"/>
                <w14:textFill>
                  <w14:solidFill>
                    <w14:schemeClr w14:val="tx1"/>
                  </w14:solidFill>
                </w14:textFill>
              </w:rPr>
            </w:pPr>
          </w:p>
        </w:tc>
        <w:tc>
          <w:tcPr>
            <w:tcW w:w="902"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74"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喂料</w:t>
            </w:r>
          </w:p>
        </w:tc>
        <w:tc>
          <w:tcPr>
            <w:tcW w:w="435"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颗粒物</w:t>
            </w:r>
          </w:p>
        </w:tc>
        <w:tc>
          <w:tcPr>
            <w:tcW w:w="839"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835"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1.65</w:t>
            </w:r>
          </w:p>
        </w:tc>
        <w:tc>
          <w:tcPr>
            <w:tcW w:w="610"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无组织</w:t>
            </w:r>
          </w:p>
        </w:tc>
        <w:tc>
          <w:tcPr>
            <w:tcW w:w="973"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936"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0.16</w:t>
            </w:r>
          </w:p>
        </w:tc>
        <w:tc>
          <w:tcPr>
            <w:tcW w:w="904"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0.33</w:t>
            </w:r>
          </w:p>
        </w:tc>
        <w:tc>
          <w:tcPr>
            <w:tcW w:w="1943" w:type="dxa"/>
            <w:vMerge w:val="continue"/>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902"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74"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加工</w:t>
            </w: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线</w:t>
            </w:r>
          </w:p>
        </w:tc>
        <w:tc>
          <w:tcPr>
            <w:tcW w:w="435"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颗粒物</w:t>
            </w:r>
          </w:p>
        </w:tc>
        <w:tc>
          <w:tcPr>
            <w:tcW w:w="839"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835"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15.64</w:t>
            </w:r>
          </w:p>
        </w:tc>
        <w:tc>
          <w:tcPr>
            <w:tcW w:w="610"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无组织</w:t>
            </w:r>
          </w:p>
        </w:tc>
        <w:tc>
          <w:tcPr>
            <w:tcW w:w="973"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936"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10</w:t>
            </w:r>
          </w:p>
        </w:tc>
        <w:tc>
          <w:tcPr>
            <w:tcW w:w="904"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0.</w:t>
            </w: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78</w:t>
            </w:r>
          </w:p>
        </w:tc>
        <w:tc>
          <w:tcPr>
            <w:tcW w:w="1943" w:type="dxa"/>
            <w:vMerge w:val="continue"/>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eastAsia="zh-CN"/>
                <w14:textFill>
                  <w14:solidFill>
                    <w14:schemeClr w14:val="tx1"/>
                  </w14:solidFill>
                </w14:textFill>
              </w:rPr>
            </w:pPr>
          </w:p>
        </w:tc>
        <w:tc>
          <w:tcPr>
            <w:tcW w:w="902"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74"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堆场</w:t>
            </w:r>
          </w:p>
        </w:tc>
        <w:tc>
          <w:tcPr>
            <w:tcW w:w="435"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颗粒物</w:t>
            </w:r>
          </w:p>
        </w:tc>
        <w:tc>
          <w:tcPr>
            <w:tcW w:w="839"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835"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1.465</w:t>
            </w:r>
          </w:p>
        </w:tc>
        <w:tc>
          <w:tcPr>
            <w:tcW w:w="610"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无组织</w:t>
            </w:r>
          </w:p>
        </w:tc>
        <w:tc>
          <w:tcPr>
            <w:tcW w:w="973"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936"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0.01</w:t>
            </w:r>
          </w:p>
        </w:tc>
        <w:tc>
          <w:tcPr>
            <w:tcW w:w="904"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0.07</w:t>
            </w:r>
          </w:p>
        </w:tc>
        <w:tc>
          <w:tcPr>
            <w:tcW w:w="1943" w:type="dxa"/>
            <w:vMerge w:val="continue"/>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902"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74"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车辆</w:t>
            </w:r>
          </w:p>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运输</w:t>
            </w:r>
          </w:p>
        </w:tc>
        <w:tc>
          <w:tcPr>
            <w:tcW w:w="435"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颗粒物</w:t>
            </w:r>
          </w:p>
        </w:tc>
        <w:tc>
          <w:tcPr>
            <w:tcW w:w="839"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835"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13.34</w:t>
            </w:r>
          </w:p>
        </w:tc>
        <w:tc>
          <w:tcPr>
            <w:tcW w:w="610"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无组织</w:t>
            </w:r>
          </w:p>
        </w:tc>
        <w:tc>
          <w:tcPr>
            <w:tcW w:w="973"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936"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0.26</w:t>
            </w:r>
          </w:p>
        </w:tc>
        <w:tc>
          <w:tcPr>
            <w:tcW w:w="904"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1.33</w:t>
            </w:r>
          </w:p>
        </w:tc>
        <w:tc>
          <w:tcPr>
            <w:tcW w:w="1943" w:type="dxa"/>
            <w:vMerge w:val="continue"/>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902"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74"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输送及转运</w:t>
            </w:r>
          </w:p>
        </w:tc>
        <w:tc>
          <w:tcPr>
            <w:tcW w:w="435"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颗粒物</w:t>
            </w:r>
          </w:p>
        </w:tc>
        <w:tc>
          <w:tcPr>
            <w:tcW w:w="839"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835"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少量</w:t>
            </w:r>
          </w:p>
        </w:tc>
        <w:tc>
          <w:tcPr>
            <w:tcW w:w="610"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无组织</w:t>
            </w:r>
          </w:p>
        </w:tc>
        <w:tc>
          <w:tcPr>
            <w:tcW w:w="973"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936"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w:t>
            </w:r>
          </w:p>
        </w:tc>
        <w:tc>
          <w:tcPr>
            <w:tcW w:w="904"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少量</w:t>
            </w:r>
          </w:p>
        </w:tc>
        <w:tc>
          <w:tcPr>
            <w:tcW w:w="1943" w:type="dxa"/>
            <w:vMerge w:val="continue"/>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902"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74"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t>筒仓粉尘</w:t>
            </w:r>
          </w:p>
        </w:tc>
        <w:tc>
          <w:tcPr>
            <w:tcW w:w="435"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颗粒物</w:t>
            </w:r>
          </w:p>
        </w:tc>
        <w:tc>
          <w:tcPr>
            <w:tcW w:w="839"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6.9</w:t>
            </w:r>
          </w:p>
        </w:tc>
        <w:tc>
          <w:tcPr>
            <w:tcW w:w="835"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0.276</w:t>
            </w:r>
          </w:p>
        </w:tc>
        <w:tc>
          <w:tcPr>
            <w:tcW w:w="610"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有组织</w:t>
            </w:r>
          </w:p>
        </w:tc>
        <w:tc>
          <w:tcPr>
            <w:tcW w:w="973" w:type="dxa"/>
            <w:tcBorders>
              <w:tl2br w:val="nil"/>
              <w:tr2bl w:val="nil"/>
            </w:tcBorders>
            <w:vAlign w:val="center"/>
          </w:tcPr>
          <w:p>
            <w:pPr>
              <w:pageBreakBefore w:val="0"/>
              <w:kinsoku/>
              <w:bidi w:val="0"/>
              <w:spacing w:beforeAutospacing="0" w:afterAutospacing="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Cs w:val="21"/>
                <w:lang w:val="en-US" w:eastAsia="zh-CN"/>
                <w14:textFill>
                  <w14:solidFill>
                    <w14:schemeClr w14:val="tx1"/>
                  </w14:solidFill>
                </w14:textFill>
              </w:rPr>
              <w:t>1.38</w:t>
            </w:r>
          </w:p>
        </w:tc>
        <w:tc>
          <w:tcPr>
            <w:tcW w:w="936" w:type="dxa"/>
            <w:tcBorders>
              <w:tl2br w:val="nil"/>
              <w:tr2bl w:val="nil"/>
            </w:tcBorders>
            <w:vAlign w:val="center"/>
          </w:tcPr>
          <w:p>
            <w:pPr>
              <w:pageBreakBefore w:val="0"/>
              <w:kinsoku/>
              <w:bidi w:val="0"/>
              <w:spacing w:beforeAutospacing="0" w:afterAutospacing="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0.0</w:t>
            </w:r>
            <w:r>
              <w:rPr>
                <w:rFonts w:hint="eastAsia" w:ascii="Times New Roman" w:hAnsi="Times New Roman" w:eastAsia="宋体"/>
                <w:color w:val="000000" w:themeColor="text1"/>
                <w:szCs w:val="21"/>
                <w:lang w:val="en-US" w:eastAsia="zh-CN"/>
                <w14:textFill>
                  <w14:solidFill>
                    <w14:schemeClr w14:val="tx1"/>
                  </w14:solidFill>
                </w14:textFill>
              </w:rPr>
              <w:t>04</w:t>
            </w:r>
          </w:p>
        </w:tc>
        <w:tc>
          <w:tcPr>
            <w:tcW w:w="904"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0.055</w:t>
            </w:r>
          </w:p>
        </w:tc>
        <w:tc>
          <w:tcPr>
            <w:tcW w:w="1943" w:type="dxa"/>
            <w:vMerge w:val="restart"/>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《水泥工业大气污染物排放标准》（GB4915-20</w:t>
            </w:r>
            <w:r>
              <w:rPr>
                <w:rFonts w:hint="eastAsia" w:ascii="Times New Roman" w:hAnsi="Times New Roman" w:eastAsia="宋体"/>
                <w:color w:val="000000" w:themeColor="text1"/>
                <w:szCs w:val="21"/>
                <w14:textFill>
                  <w14:solidFill>
                    <w14:schemeClr w14:val="tx1"/>
                  </w14:solidFill>
                </w14:textFill>
              </w:rPr>
              <w:t>13</w:t>
            </w:r>
            <w:r>
              <w:rPr>
                <w:rFonts w:ascii="Times New Roman" w:hAnsi="Times New Roman" w:eastAsia="宋体"/>
                <w:color w:val="000000" w:themeColor="text1"/>
                <w:szCs w:val="21"/>
                <w14:textFill>
                  <w14:solidFill>
                    <w14:schemeClr w14:val="tx1"/>
                  </w14:solidFill>
                </w14:textFill>
              </w:rPr>
              <w:t>）</w:t>
            </w:r>
          </w:p>
        </w:tc>
        <w:tc>
          <w:tcPr>
            <w:tcW w:w="902"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674"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搅拌粉尘</w:t>
            </w:r>
          </w:p>
        </w:tc>
        <w:tc>
          <w:tcPr>
            <w:tcW w:w="435"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颗粒物</w:t>
            </w:r>
          </w:p>
        </w:tc>
        <w:tc>
          <w:tcPr>
            <w:tcW w:w="839"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177.98</w:t>
            </w:r>
          </w:p>
        </w:tc>
        <w:tc>
          <w:tcPr>
            <w:tcW w:w="835"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0.425</w:t>
            </w:r>
          </w:p>
        </w:tc>
        <w:tc>
          <w:tcPr>
            <w:tcW w:w="610"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有组织</w:t>
            </w:r>
          </w:p>
        </w:tc>
        <w:tc>
          <w:tcPr>
            <w:tcW w:w="973" w:type="dxa"/>
            <w:tcBorders>
              <w:tl2br w:val="nil"/>
              <w:tr2bl w:val="nil"/>
            </w:tcBorders>
            <w:vAlign w:val="center"/>
          </w:tcPr>
          <w:p>
            <w:pPr>
              <w:pageBreakBefore w:val="0"/>
              <w:kinsoku/>
              <w:bidi w:val="0"/>
              <w:spacing w:beforeAutospacing="0" w:afterAutospacing="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0.89</w:t>
            </w:r>
          </w:p>
        </w:tc>
        <w:tc>
          <w:tcPr>
            <w:tcW w:w="936" w:type="dxa"/>
            <w:tcBorders>
              <w:tl2br w:val="nil"/>
              <w:tr2bl w:val="nil"/>
            </w:tcBorders>
            <w:vAlign w:val="center"/>
          </w:tcPr>
          <w:p>
            <w:pPr>
              <w:pageBreakBefore w:val="0"/>
              <w:kinsoku/>
              <w:bidi w:val="0"/>
              <w:spacing w:beforeAutospacing="0" w:afterAutospacing="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0.007</w:t>
            </w:r>
          </w:p>
        </w:tc>
        <w:tc>
          <w:tcPr>
            <w:tcW w:w="904"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0.002</w:t>
            </w:r>
          </w:p>
        </w:tc>
        <w:tc>
          <w:tcPr>
            <w:tcW w:w="1943" w:type="dxa"/>
            <w:vMerge w:val="continue"/>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14:textFill>
                  <w14:solidFill>
                    <w14:schemeClr w14:val="tx1"/>
                  </w14:solidFill>
                </w14:textFill>
              </w:rPr>
            </w:pPr>
          </w:p>
        </w:tc>
        <w:tc>
          <w:tcPr>
            <w:tcW w:w="902" w:type="dxa"/>
            <w:tcBorders>
              <w:tl2br w:val="nil"/>
              <w:tr2bl w:val="nil"/>
            </w:tcBorders>
            <w:vAlign w:val="center"/>
          </w:tcPr>
          <w:p>
            <w:pPr>
              <w:keepNext w:val="0"/>
              <w:keepLines w:val="0"/>
              <w:pageBreakBefore w:val="0"/>
              <w:kinsoku/>
              <w:wordWrap/>
              <w:overflowPunct/>
              <w:topLinePunct w:val="0"/>
              <w:bidi w:val="0"/>
              <w:spacing w:beforeAutospacing="0" w:afterAutospacing="0"/>
              <w:jc w:val="center"/>
              <w:textAlignment w:val="auto"/>
              <w:outlineLvl w:val="9"/>
              <w:rPr>
                <w:rFonts w:hint="default" w:ascii="Times New Roman" w:hAnsi="Times New Roman" w:eastAsia="宋体" w:cs="Times New Roman"/>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10</w:t>
            </w:r>
          </w:p>
        </w:tc>
      </w:tr>
    </w:tbl>
    <w:p>
      <w:pPr>
        <w:pStyle w:val="11"/>
        <w:pageBreakBefore w:val="0"/>
        <w:kinsoku/>
        <w:bidi w:val="0"/>
        <w:spacing w:beforeAutospacing="0" w:afterAutospacing="0"/>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2.2运营期源强分析</w:t>
      </w:r>
    </w:p>
    <w:p>
      <w:pPr>
        <w:keepNext w:val="0"/>
        <w:keepLines w:val="0"/>
        <w:pageBreakBefore w:val="0"/>
        <w:kinsoku/>
        <w:wordWrap/>
        <w:overflowPunct/>
        <w:topLinePunct w:val="0"/>
        <w:bidi w:val="0"/>
        <w:snapToGrid w:val="0"/>
        <w:spacing w:beforeAutospacing="0" w:afterAutospacing="0" w:line="360" w:lineRule="auto"/>
        <w:ind w:firstLine="480" w:firstLineChars="200"/>
        <w:textAlignment w:val="auto"/>
        <w:outlineLvl w:val="9"/>
        <w:rPr>
          <w:rFonts w:ascii="Times New Roman" w:hAnsi="Times New Roman" w:eastAsia="宋体"/>
          <w:color w:val="000000" w:themeColor="text1"/>
          <w:sz w:val="24"/>
          <w:szCs w:val="32"/>
          <w:highlight w:val="none"/>
          <w14:textFill>
            <w14:solidFill>
              <w14:schemeClr w14:val="tx1"/>
            </w14:solidFill>
          </w14:textFill>
        </w:rPr>
      </w:pPr>
      <w:r>
        <w:rPr>
          <w:rFonts w:hint="eastAsia" w:ascii="Times New Roman" w:hAnsi="Times New Roman" w:eastAsia="宋体"/>
          <w:color w:val="000000" w:themeColor="text1"/>
          <w:sz w:val="24"/>
          <w:szCs w:val="32"/>
          <w:highlight w:val="none"/>
          <w14:textFill>
            <w14:solidFill>
              <w14:schemeClr w14:val="tx1"/>
            </w14:solidFill>
          </w14:textFill>
        </w:rPr>
        <w:t>本项目码头运营的主要货种为</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河砂、碎石及废金属矿</w:t>
      </w:r>
      <w:r>
        <w:rPr>
          <w:rFonts w:hint="eastAsia" w:ascii="Times New Roman" w:hAnsi="Times New Roman" w:eastAsia="宋体"/>
          <w:color w:val="000000" w:themeColor="text1"/>
          <w:sz w:val="24"/>
          <w:szCs w:val="32"/>
          <w:highlight w:val="none"/>
          <w14:textFill>
            <w14:solidFill>
              <w14:schemeClr w14:val="tx1"/>
            </w14:solidFill>
          </w14:textFill>
        </w:rPr>
        <w:t>；从货物的物理特性分析，</w:t>
      </w:r>
      <w:r>
        <w:rPr>
          <w:rFonts w:hint="eastAsia" w:ascii="Times New Roman" w:hAnsi="Times New Roman" w:eastAsia="宋体"/>
          <w:color w:val="000000" w:themeColor="text1"/>
          <w:sz w:val="24"/>
          <w:szCs w:val="32"/>
          <w:lang w:eastAsia="zh-CN"/>
          <w14:textFill>
            <w14:solidFill>
              <w14:schemeClr w14:val="tx1"/>
            </w14:solidFill>
          </w14:textFill>
        </w:rPr>
        <w:t>本项目</w:t>
      </w:r>
      <w:r>
        <w:rPr>
          <w:rFonts w:hint="eastAsia" w:ascii="Times New Roman" w:hAnsi="Times New Roman" w:eastAsia="宋体"/>
          <w:color w:val="000000" w:themeColor="text1"/>
          <w:sz w:val="24"/>
          <w:szCs w:val="32"/>
          <w14:textFill>
            <w14:solidFill>
              <w14:schemeClr w14:val="tx1"/>
            </w14:solidFill>
          </w14:textFill>
        </w:rPr>
        <w:t>货品</w:t>
      </w:r>
      <w:r>
        <w:rPr>
          <w:rFonts w:hint="eastAsia" w:ascii="Times New Roman" w:hAnsi="Times New Roman" w:eastAsia="宋体"/>
          <w:color w:val="000000" w:themeColor="text1"/>
          <w:sz w:val="24"/>
          <w:szCs w:val="32"/>
          <w:lang w:val="en-US" w:eastAsia="zh-CN"/>
          <w14:textFill>
            <w14:solidFill>
              <w14:schemeClr w14:val="tx1"/>
            </w14:solidFill>
          </w14:textFill>
        </w:rPr>
        <w:t>中河砂</w:t>
      </w:r>
      <w:r>
        <w:rPr>
          <w:rFonts w:hint="eastAsia" w:ascii="Times New Roman" w:hAnsi="Times New Roman" w:eastAsia="宋体"/>
          <w:color w:val="000000" w:themeColor="text1"/>
          <w:sz w:val="24"/>
          <w:szCs w:val="32"/>
          <w:lang w:eastAsia="zh-CN"/>
          <w14:textFill>
            <w14:solidFill>
              <w14:schemeClr w14:val="tx1"/>
            </w14:solidFill>
          </w14:textFill>
        </w:rPr>
        <w:t>较容易起尘，其余货品</w:t>
      </w:r>
      <w:r>
        <w:rPr>
          <w:rFonts w:hint="eastAsia" w:ascii="Times New Roman" w:hAnsi="Times New Roman" w:eastAsia="宋体"/>
          <w:color w:val="000000" w:themeColor="text1"/>
          <w:sz w:val="24"/>
          <w:szCs w:val="32"/>
          <w14:textFill>
            <w14:solidFill>
              <w14:schemeClr w14:val="tx1"/>
            </w14:solidFill>
          </w14:textFill>
        </w:rPr>
        <w:t>产生的颗粒较沉重，不易起尘</w:t>
      </w:r>
      <w:r>
        <w:rPr>
          <w:rFonts w:hint="eastAsia" w:ascii="Times New Roman" w:hAnsi="Times New Roman" w:eastAsia="宋体"/>
          <w:color w:val="000000" w:themeColor="text1"/>
          <w:sz w:val="24"/>
          <w:szCs w:val="32"/>
          <w:highlight w:val="none"/>
          <w14:textFill>
            <w14:solidFill>
              <w14:schemeClr w14:val="tx1"/>
            </w14:solidFill>
          </w14:textFill>
        </w:rPr>
        <w:t>，项目运营期废气主要</w:t>
      </w:r>
      <w:r>
        <w:rPr>
          <w:rFonts w:hint="eastAsia" w:ascii="Times New Roman" w:hAnsi="Times New Roman" w:eastAsia="宋体"/>
          <w:color w:val="000000" w:themeColor="text1"/>
          <w:sz w:val="24"/>
          <w:szCs w:val="32"/>
          <w:highlight w:val="none"/>
          <w:lang w:eastAsia="zh-CN"/>
          <w14:textFill>
            <w14:solidFill>
              <w14:schemeClr w14:val="tx1"/>
            </w14:solidFill>
          </w14:textFill>
        </w:rPr>
        <w:t>来自货物</w:t>
      </w:r>
      <w:r>
        <w:rPr>
          <w:rFonts w:hint="eastAsia" w:ascii="Times New Roman" w:hAnsi="Times New Roman" w:eastAsia="宋体"/>
          <w:color w:val="000000" w:themeColor="text1"/>
          <w:sz w:val="24"/>
          <w:szCs w:val="32"/>
          <w:highlight w:val="none"/>
          <w14:textFill>
            <w14:solidFill>
              <w14:schemeClr w14:val="tx1"/>
            </w14:solidFill>
          </w14:textFill>
        </w:rPr>
        <w:t>装卸及堆场产生的粉尘，运输车辆及船舶产生的废气。</w:t>
      </w:r>
    </w:p>
    <w:p>
      <w:pPr>
        <w:keepNext w:val="0"/>
        <w:keepLines w:val="0"/>
        <w:pageBreakBefore w:val="0"/>
        <w:kinsoku/>
        <w:wordWrap/>
        <w:overflowPunct/>
        <w:topLinePunct w:val="0"/>
        <w:bidi w:val="0"/>
        <w:snapToGrid w:val="0"/>
        <w:spacing w:beforeAutospacing="0" w:afterAutospacing="0" w:line="360" w:lineRule="auto"/>
        <w:ind w:firstLine="480" w:firstLineChars="200"/>
        <w:textAlignment w:val="auto"/>
        <w:outlineLvl w:val="9"/>
        <w:rPr>
          <w:rFonts w:ascii="Times New Roman" w:hAnsi="Times New Roman" w:eastAsia="宋体"/>
          <w:color w:val="000000" w:themeColor="text1"/>
          <w:sz w:val="24"/>
          <w:szCs w:val="32"/>
          <w:highlight w:val="none"/>
          <w14:textFill>
            <w14:solidFill>
              <w14:schemeClr w14:val="tx1"/>
            </w14:solidFill>
          </w14:textFill>
        </w:rPr>
      </w:pPr>
      <w:r>
        <w:rPr>
          <w:rFonts w:hint="eastAsia" w:ascii="Times New Roman" w:hAnsi="Times New Roman" w:eastAsia="宋体"/>
          <w:color w:val="000000" w:themeColor="text1"/>
          <w:sz w:val="24"/>
          <w:szCs w:val="32"/>
          <w:highlight w:val="none"/>
          <w:lang w:val="en-US" w:eastAsia="zh-CN"/>
          <w14:textFill>
            <w14:solidFill>
              <w14:schemeClr w14:val="tx1"/>
            </w14:solidFill>
          </w14:textFill>
        </w:rPr>
        <w:t>（1）</w:t>
      </w:r>
      <w:r>
        <w:rPr>
          <w:rFonts w:hint="eastAsia" w:ascii="Times New Roman" w:hAnsi="Times New Roman" w:eastAsia="宋体"/>
          <w:color w:val="000000" w:themeColor="text1"/>
          <w:sz w:val="24"/>
          <w:szCs w:val="32"/>
          <w:highlight w:val="none"/>
          <w14:textFill>
            <w14:solidFill>
              <w14:schemeClr w14:val="tx1"/>
            </w14:solidFill>
          </w14:textFill>
        </w:rPr>
        <w:t>车辆及船舶运输燃油废气</w:t>
      </w:r>
    </w:p>
    <w:p>
      <w:pPr>
        <w:keepNext w:val="0"/>
        <w:keepLines w:val="0"/>
        <w:pageBreakBefore w:val="0"/>
        <w:kinsoku/>
        <w:wordWrap/>
        <w:overflowPunct/>
        <w:topLinePunct w:val="0"/>
        <w:bidi w:val="0"/>
        <w:snapToGrid w:val="0"/>
        <w:spacing w:beforeAutospacing="0" w:afterAutospacing="0" w:line="360" w:lineRule="auto"/>
        <w:ind w:firstLine="480" w:firstLineChars="200"/>
        <w:textAlignment w:val="auto"/>
        <w:outlineLvl w:val="9"/>
        <w:rPr>
          <w:rFonts w:ascii="Times New Roman" w:hAnsi="Times New Roman" w:eastAsia="宋体"/>
          <w:color w:val="000000" w:themeColor="text1"/>
          <w:sz w:val="24"/>
          <w:szCs w:val="32"/>
          <w:highlight w:val="none"/>
          <w14:textFill>
            <w14:solidFill>
              <w14:schemeClr w14:val="tx1"/>
            </w14:solidFill>
          </w14:textFill>
        </w:rPr>
      </w:pPr>
      <w:r>
        <w:rPr>
          <w:rFonts w:hint="eastAsia" w:ascii="Times New Roman" w:hAnsi="Times New Roman" w:eastAsia="宋体"/>
          <w:color w:val="000000" w:themeColor="text1"/>
          <w:sz w:val="24"/>
          <w:szCs w:val="32"/>
          <w:highlight w:val="none"/>
          <w14:textFill>
            <w14:solidFill>
              <w14:schemeClr w14:val="tx1"/>
            </w14:solidFill>
          </w14:textFill>
        </w:rPr>
        <w:t>运营期运输车辆排放的尾气其主要大气污染物为SO</w:t>
      </w:r>
      <w:r>
        <w:rPr>
          <w:rFonts w:hint="eastAsia" w:ascii="Times New Roman" w:hAnsi="Times New Roman" w:eastAsia="宋体"/>
          <w:color w:val="000000" w:themeColor="text1"/>
          <w:sz w:val="24"/>
          <w:szCs w:val="32"/>
          <w:highlight w:val="none"/>
          <w:vertAlign w:val="subscript"/>
          <w14:textFill>
            <w14:solidFill>
              <w14:schemeClr w14:val="tx1"/>
            </w14:solidFill>
          </w14:textFill>
        </w:rPr>
        <w:t>2</w:t>
      </w:r>
      <w:r>
        <w:rPr>
          <w:rFonts w:hint="eastAsia" w:ascii="Times New Roman" w:hAnsi="Times New Roman" w:eastAsia="宋体"/>
          <w:color w:val="000000" w:themeColor="text1"/>
          <w:sz w:val="24"/>
          <w:szCs w:val="32"/>
          <w:highlight w:val="none"/>
          <w14:textFill>
            <w14:solidFill>
              <w14:schemeClr w14:val="tx1"/>
            </w14:solidFill>
          </w14:textFill>
        </w:rPr>
        <w:t>、NO</w:t>
      </w:r>
      <w:r>
        <w:rPr>
          <w:rFonts w:hint="eastAsia" w:ascii="Times New Roman" w:hAnsi="Times New Roman" w:eastAsia="宋体"/>
          <w:color w:val="000000" w:themeColor="text1"/>
          <w:sz w:val="24"/>
          <w:szCs w:val="32"/>
          <w:highlight w:val="none"/>
          <w:vertAlign w:val="subscript"/>
          <w14:textFill>
            <w14:solidFill>
              <w14:schemeClr w14:val="tx1"/>
            </w14:solidFill>
          </w14:textFill>
        </w:rPr>
        <w:t>2</w:t>
      </w:r>
      <w:r>
        <w:rPr>
          <w:rFonts w:hint="eastAsia" w:ascii="Times New Roman" w:hAnsi="Times New Roman" w:eastAsia="宋体"/>
          <w:color w:val="000000" w:themeColor="text1"/>
          <w:sz w:val="24"/>
          <w:szCs w:val="32"/>
          <w:highlight w:val="none"/>
          <w14:textFill>
            <w14:solidFill>
              <w14:schemeClr w14:val="tx1"/>
            </w14:solidFill>
          </w14:textFill>
        </w:rPr>
        <w:t>和CO等。</w:t>
      </w:r>
      <w:r>
        <w:rPr>
          <w:rFonts w:hint="eastAsia" w:ascii="Times New Roman" w:hAnsi="Times New Roman" w:eastAsia="宋体"/>
          <w:color w:val="000000" w:themeColor="text1"/>
          <w:sz w:val="24"/>
          <w:szCs w:val="32"/>
          <w:highlight w:val="none"/>
          <w:lang w:eastAsia="zh-CN"/>
          <w14:textFill>
            <w14:solidFill>
              <w14:schemeClr w14:val="tx1"/>
            </w14:solidFill>
          </w14:textFill>
        </w:rPr>
        <w:t>正常情况下</w:t>
      </w:r>
      <w:r>
        <w:rPr>
          <w:rFonts w:hint="eastAsia" w:ascii="Times New Roman" w:hAnsi="Times New Roman" w:eastAsia="宋体"/>
          <w:color w:val="000000" w:themeColor="text1"/>
          <w:sz w:val="24"/>
          <w:szCs w:val="32"/>
          <w:highlight w:val="none"/>
          <w14:textFill>
            <w14:solidFill>
              <w14:schemeClr w14:val="tx1"/>
            </w14:solidFill>
          </w14:textFill>
        </w:rPr>
        <w:t>，</w:t>
      </w:r>
      <w:r>
        <w:rPr>
          <w:rFonts w:hint="eastAsia" w:ascii="Times New Roman" w:hAnsi="Times New Roman" w:eastAsia="宋体"/>
          <w:color w:val="000000" w:themeColor="text1"/>
          <w:sz w:val="24"/>
          <w:szCs w:val="32"/>
          <w:highlight w:val="none"/>
          <w:lang w:eastAsia="zh-CN"/>
          <w14:textFill>
            <w14:solidFill>
              <w14:schemeClr w14:val="tx1"/>
            </w14:solidFill>
          </w14:textFill>
        </w:rPr>
        <w:t>此</w:t>
      </w:r>
      <w:r>
        <w:rPr>
          <w:rFonts w:hint="eastAsia" w:ascii="Times New Roman" w:hAnsi="Times New Roman" w:eastAsia="宋体"/>
          <w:color w:val="000000" w:themeColor="text1"/>
          <w:sz w:val="24"/>
          <w:szCs w:val="32"/>
          <w:highlight w:val="none"/>
          <w14:textFill>
            <w14:solidFill>
              <w14:schemeClr w14:val="tx1"/>
            </w14:solidFill>
          </w14:textFill>
        </w:rPr>
        <w:t>污染物排放量很小，故本评价不对其进行定量分析，仅进行定性分析。</w:t>
      </w:r>
    </w:p>
    <w:p>
      <w:pPr>
        <w:keepNext w:val="0"/>
        <w:keepLines w:val="0"/>
        <w:pageBreakBefore w:val="0"/>
        <w:kinsoku/>
        <w:wordWrap/>
        <w:overflowPunct/>
        <w:topLinePunct w:val="0"/>
        <w:bidi w:val="0"/>
        <w:snapToGrid w:val="0"/>
        <w:spacing w:beforeAutospacing="0" w:afterAutospacing="0" w:line="360" w:lineRule="auto"/>
        <w:ind w:firstLine="480" w:firstLineChars="200"/>
        <w:textAlignment w:val="auto"/>
        <w:outlineLvl w:val="9"/>
        <w:rPr>
          <w:rFonts w:ascii="Times New Roman" w:hAnsi="Times New Roman" w:eastAsia="宋体"/>
          <w:color w:val="000000" w:themeColor="text1"/>
          <w:sz w:val="24"/>
          <w:szCs w:val="32"/>
          <w:highlight w:val="none"/>
          <w14:textFill>
            <w14:solidFill>
              <w14:schemeClr w14:val="tx1"/>
            </w14:solidFill>
          </w14:textFill>
        </w:rPr>
      </w:pPr>
      <w:r>
        <w:rPr>
          <w:rFonts w:hint="eastAsia" w:ascii="Times New Roman" w:hAnsi="Times New Roman" w:eastAsia="宋体"/>
          <w:color w:val="000000" w:themeColor="text1"/>
          <w:sz w:val="24"/>
          <w:szCs w:val="32"/>
          <w:highlight w:val="none"/>
          <w14:textFill>
            <w14:solidFill>
              <w14:schemeClr w14:val="tx1"/>
            </w14:solidFill>
          </w14:textFill>
        </w:rPr>
        <w:t>船舶燃油排放的废气，主要污染物有烟尘、SO</w:t>
      </w:r>
      <w:r>
        <w:rPr>
          <w:rFonts w:hint="eastAsia" w:ascii="Times New Roman" w:hAnsi="Times New Roman" w:eastAsia="宋体"/>
          <w:color w:val="000000" w:themeColor="text1"/>
          <w:sz w:val="24"/>
          <w:szCs w:val="32"/>
          <w:highlight w:val="none"/>
          <w:vertAlign w:val="subscript"/>
          <w14:textFill>
            <w14:solidFill>
              <w14:schemeClr w14:val="tx1"/>
            </w14:solidFill>
          </w14:textFill>
        </w:rPr>
        <w:t>2</w:t>
      </w:r>
      <w:r>
        <w:rPr>
          <w:rFonts w:hint="eastAsia" w:ascii="Times New Roman" w:hAnsi="Times New Roman" w:eastAsia="宋体"/>
          <w:color w:val="000000" w:themeColor="text1"/>
          <w:sz w:val="24"/>
          <w:szCs w:val="32"/>
          <w:highlight w:val="none"/>
          <w14:textFill>
            <w14:solidFill>
              <w14:schemeClr w14:val="tx1"/>
            </w14:solidFill>
          </w14:textFill>
        </w:rPr>
        <w:t>、NO</w:t>
      </w:r>
      <w:r>
        <w:rPr>
          <w:rFonts w:hint="eastAsia" w:ascii="Times New Roman" w:hAnsi="Times New Roman" w:eastAsia="宋体"/>
          <w:color w:val="000000" w:themeColor="text1"/>
          <w:sz w:val="24"/>
          <w:szCs w:val="32"/>
          <w:highlight w:val="none"/>
          <w:vertAlign w:val="subscript"/>
          <w14:textFill>
            <w14:solidFill>
              <w14:schemeClr w14:val="tx1"/>
            </w14:solidFill>
          </w14:textFill>
        </w:rPr>
        <w:t>2</w:t>
      </w:r>
      <w:r>
        <w:rPr>
          <w:rFonts w:hint="eastAsia" w:ascii="Times New Roman" w:hAnsi="Times New Roman" w:eastAsia="宋体"/>
          <w:color w:val="000000" w:themeColor="text1"/>
          <w:sz w:val="24"/>
          <w:szCs w:val="32"/>
          <w:highlight w:val="none"/>
          <w14:textFill>
            <w14:solidFill>
              <w14:schemeClr w14:val="tx1"/>
            </w14:solidFill>
          </w14:textFill>
        </w:rPr>
        <w:t>、CO和HC等。船舶废气主要为到港船舶在停泊过程中使用燃料油供应船舶照明、动力等用电需要而产生的尾气，污染物排放量较小</w:t>
      </w:r>
      <w:r>
        <w:rPr>
          <w:rFonts w:hint="eastAsia" w:ascii="Times New Roman" w:hAnsi="Times New Roman" w:eastAsia="宋体"/>
          <w:color w:val="000000" w:themeColor="text1"/>
          <w:sz w:val="24"/>
          <w:szCs w:val="32"/>
          <w:highlight w:val="none"/>
          <w:lang w:eastAsia="zh-CN"/>
          <w14:textFill>
            <w14:solidFill>
              <w14:schemeClr w14:val="tx1"/>
            </w14:solidFill>
          </w14:textFill>
        </w:rPr>
        <w:t>，</w:t>
      </w:r>
      <w:r>
        <w:rPr>
          <w:rFonts w:hint="eastAsia" w:ascii="Times New Roman" w:hAnsi="Times New Roman" w:eastAsia="宋体"/>
          <w:color w:val="000000" w:themeColor="text1"/>
          <w:sz w:val="24"/>
          <w:szCs w:val="32"/>
          <w:highlight w:val="none"/>
          <w:lang w:val="en-US" w:eastAsia="zh-CN"/>
          <w14:textFill>
            <w14:solidFill>
              <w14:schemeClr w14:val="tx1"/>
            </w14:solidFill>
          </w14:textFill>
        </w:rPr>
        <w:t>且</w:t>
      </w:r>
      <w:r>
        <w:rPr>
          <w:rFonts w:hint="eastAsia" w:ascii="Times New Roman" w:hAnsi="Times New Roman" w:eastAsia="宋体"/>
          <w:color w:val="000000" w:themeColor="text1"/>
          <w:sz w:val="24"/>
          <w:szCs w:val="32"/>
          <w:highlight w:val="none"/>
          <w14:textFill>
            <w14:solidFill>
              <w14:schemeClr w14:val="tx1"/>
            </w14:solidFill>
          </w14:textFill>
        </w:rPr>
        <w:t>由于距离敏感目标的距离较远，所以对其影响较小</w:t>
      </w:r>
      <w:r>
        <w:rPr>
          <w:rFonts w:hint="eastAsia" w:ascii="Times New Roman" w:hAnsi="Times New Roman" w:eastAsia="宋体"/>
          <w:color w:val="000000" w:themeColor="text1"/>
          <w:sz w:val="24"/>
          <w:szCs w:val="32"/>
          <w:highlight w:val="none"/>
          <w:lang w:eastAsia="zh-CN"/>
          <w14:textFill>
            <w14:solidFill>
              <w14:schemeClr w14:val="tx1"/>
            </w14:solidFill>
          </w14:textFill>
        </w:rPr>
        <w:t>，</w:t>
      </w:r>
      <w:r>
        <w:rPr>
          <w:rFonts w:hint="eastAsia" w:ascii="Times New Roman" w:hAnsi="Times New Roman" w:eastAsia="宋体"/>
          <w:color w:val="000000" w:themeColor="text1"/>
          <w:sz w:val="24"/>
          <w:szCs w:val="32"/>
          <w:highlight w:val="none"/>
          <w14:textFill>
            <w14:solidFill>
              <w14:schemeClr w14:val="tx1"/>
            </w14:solidFill>
          </w14:textFill>
        </w:rPr>
        <w:t>故本评价不对其进行定量分析，仅进行定性分析。</w:t>
      </w:r>
    </w:p>
    <w:p>
      <w:pPr>
        <w:pStyle w:val="30"/>
        <w:keepNext w:val="0"/>
        <w:keepLines w:val="0"/>
        <w:pageBreakBefore w:val="0"/>
        <w:kinsoku/>
        <w:wordWrap/>
        <w:overflowPunct/>
        <w:topLinePunct w:val="0"/>
        <w:bidi w:val="0"/>
        <w:spacing w:before="0" w:beforeAutospacing="0" w:after="0" w:afterAutospacing="0" w:line="360" w:lineRule="auto"/>
        <w:ind w:firstLine="480" w:firstLineChars="200"/>
        <w:jc w:val="both"/>
        <w:textAlignment w:val="auto"/>
        <w:outlineLvl w:val="9"/>
        <w:rPr>
          <w:rFonts w:hint="eastAsia" w:ascii="Times New Roman" w:hAnsi="Times New Roman" w:eastAsia="宋体"/>
          <w:color w:val="000000" w:themeColor="text1"/>
          <w:sz w:val="24"/>
          <w:szCs w:val="32"/>
          <w:highlight w:val="none"/>
          <w:lang w:eastAsia="zh-CN"/>
          <w14:textFill>
            <w14:solidFill>
              <w14:schemeClr w14:val="tx1"/>
            </w14:solidFill>
          </w14:textFill>
        </w:rPr>
      </w:pPr>
      <w:r>
        <w:rPr>
          <w:rFonts w:hint="eastAsia" w:ascii="Times New Roman" w:hAnsi="Times New Roman" w:eastAsia="宋体"/>
          <w:color w:val="000000" w:themeColor="text1"/>
          <w:sz w:val="24"/>
          <w:szCs w:val="32"/>
          <w:highlight w:val="none"/>
          <w:lang w:val="en-US" w:eastAsia="zh-CN"/>
          <w14:textFill>
            <w14:solidFill>
              <w14:schemeClr w14:val="tx1"/>
            </w14:solidFill>
          </w14:textFill>
        </w:rPr>
        <w:t>（2）</w:t>
      </w:r>
      <w:r>
        <w:rPr>
          <w:rFonts w:hint="eastAsia" w:ascii="Times New Roman" w:hAnsi="Times New Roman" w:eastAsia="宋体"/>
          <w:color w:val="000000" w:themeColor="text1"/>
          <w:sz w:val="24"/>
          <w:szCs w:val="32"/>
          <w:highlight w:val="none"/>
          <w14:textFill>
            <w14:solidFill>
              <w14:schemeClr w14:val="tx1"/>
            </w14:solidFill>
          </w14:textFill>
        </w:rPr>
        <w:t>装卸</w:t>
      </w:r>
      <w:r>
        <w:rPr>
          <w:rFonts w:hint="eastAsia" w:ascii="Times New Roman" w:hAnsi="Times New Roman" w:eastAsia="宋体"/>
          <w:color w:val="000000" w:themeColor="text1"/>
          <w:sz w:val="24"/>
          <w:szCs w:val="32"/>
          <w:highlight w:val="none"/>
          <w:lang w:eastAsia="zh-CN"/>
          <w14:textFill>
            <w14:solidFill>
              <w14:schemeClr w14:val="tx1"/>
            </w14:solidFill>
          </w14:textFill>
        </w:rPr>
        <w:t>粉尘</w:t>
      </w:r>
    </w:p>
    <w:p>
      <w:pPr>
        <w:pStyle w:val="30"/>
        <w:keepNext w:val="0"/>
        <w:keepLines w:val="0"/>
        <w:pageBreakBefore w:val="0"/>
        <w:kinsoku/>
        <w:wordWrap/>
        <w:overflowPunct/>
        <w:topLinePunct w:val="0"/>
        <w:bidi w:val="0"/>
        <w:spacing w:before="0" w:beforeAutospacing="0" w:after="0" w:afterAutospacing="0" w:line="360" w:lineRule="auto"/>
        <w:ind w:firstLine="480" w:firstLineChars="200"/>
        <w:jc w:val="both"/>
        <w:textAlignment w:val="auto"/>
        <w:outlineLvl w:val="9"/>
        <w:rPr>
          <w:rFonts w:hint="eastAsia" w:ascii="Times New Roman" w:hAnsi="Times New Roman" w:eastAsia="宋体"/>
          <w:color w:val="000000" w:themeColor="text1"/>
          <w:sz w:val="24"/>
          <w:szCs w:val="32"/>
          <w:highlight w:val="none"/>
          <w14:textFill>
            <w14:solidFill>
              <w14:schemeClr w14:val="tx1"/>
            </w14:solidFill>
          </w14:textFill>
        </w:rPr>
      </w:pPr>
      <w:r>
        <w:rPr>
          <w:rFonts w:hint="eastAsia" w:ascii="Times New Roman" w:hAnsi="Times New Roman" w:eastAsia="宋体"/>
          <w:color w:val="000000" w:themeColor="text1"/>
          <w:sz w:val="24"/>
          <w:szCs w:val="32"/>
          <w:highlight w:val="none"/>
          <w14:textFill>
            <w14:solidFill>
              <w14:schemeClr w14:val="tx1"/>
            </w14:solidFill>
          </w14:textFill>
        </w:rPr>
        <w:t>装卸过程中的动态动力起尘，其发生量与环境风速、装卸高度等密切相关。扬尘的发生量与尘源自身的物理、化学性质及其装卸工艺、堆存方式及地面风速等因素有关。</w:t>
      </w:r>
    </w:p>
    <w:p>
      <w:pPr>
        <w:pStyle w:val="30"/>
        <w:keepNext w:val="0"/>
        <w:keepLines w:val="0"/>
        <w:pageBreakBefore w:val="0"/>
        <w:kinsoku/>
        <w:wordWrap/>
        <w:overflowPunct/>
        <w:topLinePunct w:val="0"/>
        <w:bidi w:val="0"/>
        <w:spacing w:before="0" w:beforeAutospacing="0" w:after="0" w:afterAutospacing="0" w:line="360" w:lineRule="auto"/>
        <w:ind w:firstLine="480" w:firstLineChars="200"/>
        <w:jc w:val="both"/>
        <w:textAlignment w:val="auto"/>
        <w:outlineLvl w:val="9"/>
        <w:rPr>
          <w:rFonts w:ascii="Times New Roman" w:hAnsi="Times New Roman" w:eastAsia="宋体"/>
          <w:color w:val="000000" w:themeColor="text1"/>
          <w:sz w:val="24"/>
          <w:szCs w:val="32"/>
          <w:highlight w:val="none"/>
          <w14:textFill>
            <w14:solidFill>
              <w14:schemeClr w14:val="tx1"/>
            </w14:solidFill>
          </w14:textFill>
        </w:rPr>
      </w:pPr>
      <w:r>
        <w:rPr>
          <w:rFonts w:hint="eastAsia" w:ascii="Times New Roman" w:hAnsi="Times New Roman" w:eastAsia="宋体"/>
          <w:color w:val="000000" w:themeColor="text1"/>
          <w:sz w:val="24"/>
          <w:szCs w:val="32"/>
          <w:highlight w:val="none"/>
          <w14:textFill>
            <w14:solidFill>
              <w14:schemeClr w14:val="tx1"/>
            </w14:solidFill>
          </w14:textFill>
        </w:rPr>
        <w:t>装卸粉尘：物料装车机械落差的起尘量</w:t>
      </w:r>
      <w:r>
        <w:rPr>
          <w:rFonts w:hint="eastAsia" w:ascii="Times New Roman" w:hAnsi="Times New Roman" w:eastAsia="宋体"/>
          <w:color w:val="000000" w:themeColor="text1"/>
          <w:sz w:val="24"/>
          <w:szCs w:val="32"/>
          <w:highlight w:val="none"/>
          <w:lang w:eastAsia="zh-CN"/>
          <w14:textFill>
            <w14:solidFill>
              <w14:schemeClr w14:val="tx1"/>
            </w14:solidFill>
          </w14:textFill>
        </w:rPr>
        <w:t>参考</w:t>
      </w:r>
      <w:r>
        <w:rPr>
          <w:rFonts w:hint="eastAsia" w:ascii="Times New Roman" w:hAnsi="Times New Roman" w:eastAsia="宋体"/>
          <w:color w:val="000000" w:themeColor="text1"/>
          <w:sz w:val="24"/>
          <w:szCs w:val="32"/>
          <w:highlight w:val="none"/>
          <w14:textFill>
            <w14:solidFill>
              <w14:schemeClr w14:val="tx1"/>
            </w14:solidFill>
          </w14:textFill>
        </w:rPr>
        <w:t>秦皇岛码头装卸起尘量计算公式计算：</w:t>
      </w:r>
    </w:p>
    <w:p>
      <w:pPr>
        <w:keepNext w:val="0"/>
        <w:keepLines w:val="0"/>
        <w:pageBreakBefore w:val="0"/>
        <w:kinsoku/>
        <w:wordWrap/>
        <w:overflowPunct/>
        <w:topLinePunct w:val="0"/>
        <w:autoSpaceDE w:val="0"/>
        <w:autoSpaceDN w:val="0"/>
        <w:bidi w:val="0"/>
        <w:adjustRightInd w:val="0"/>
        <w:spacing w:beforeAutospacing="0" w:afterAutospacing="0" w:line="360" w:lineRule="auto"/>
        <w:jc w:val="center"/>
        <w:textAlignment w:val="auto"/>
        <w:outlineLvl w:val="9"/>
        <w:rPr>
          <w:rFonts w:ascii="Times New Roman" w:hAnsi="Times New Roman" w:eastAsia="宋体"/>
          <w:color w:val="000000" w:themeColor="text1"/>
          <w:kern w:val="0"/>
          <w:sz w:val="24"/>
          <w:szCs w:val="32"/>
          <w:highlight w:val="none"/>
          <w14:textFill>
            <w14:solidFill>
              <w14:schemeClr w14:val="tx1"/>
            </w14:solidFill>
          </w14:textFill>
        </w:rPr>
      </w:pPr>
      <w:r>
        <w:rPr>
          <w:rFonts w:hint="eastAsia" w:ascii="Times New Roman" w:hAnsi="Times New Roman" w:eastAsia="宋体"/>
          <w:color w:val="000000" w:themeColor="text1"/>
          <w:kern w:val="0"/>
          <w:sz w:val="24"/>
          <w:szCs w:val="32"/>
          <w:highlight w:val="none"/>
          <w14:textFill>
            <w14:solidFill>
              <w14:schemeClr w14:val="tx1"/>
            </w14:solidFill>
          </w14:textFill>
        </w:rPr>
        <w:drawing>
          <wp:inline distT="0" distB="0" distL="114300" distR="114300">
            <wp:extent cx="1914525" cy="247650"/>
            <wp:effectExtent l="0" t="0" r="9525" b="0"/>
            <wp:docPr id="2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6"/>
                    <pic:cNvPicPr>
                      <a:picLocks noChangeAspect="1"/>
                    </pic:cNvPicPr>
                  </pic:nvPicPr>
                  <pic:blipFill>
                    <a:blip r:embed="rId42"/>
                    <a:stretch>
                      <a:fillRect/>
                    </a:stretch>
                  </pic:blipFill>
                  <pic:spPr>
                    <a:xfrm>
                      <a:off x="0" y="0"/>
                      <a:ext cx="1914525" cy="247650"/>
                    </a:xfrm>
                    <a:prstGeom prst="rect">
                      <a:avLst/>
                    </a:prstGeom>
                    <a:noFill/>
                    <a:ln>
                      <a:noFill/>
                    </a:ln>
                  </pic:spPr>
                </pic:pic>
              </a:graphicData>
            </a:graphic>
          </wp:inline>
        </w:drawing>
      </w:r>
    </w:p>
    <w:p>
      <w:pPr>
        <w:keepNext w:val="0"/>
        <w:keepLines w:val="0"/>
        <w:pageBreakBefore w:val="0"/>
        <w:kinsoku/>
        <w:wordWrap/>
        <w:overflowPunct/>
        <w:topLinePunct w:val="0"/>
        <w:autoSpaceDE w:val="0"/>
        <w:autoSpaceDN w:val="0"/>
        <w:bidi w:val="0"/>
        <w:adjustRightInd w:val="0"/>
        <w:spacing w:beforeAutospacing="0" w:afterAutospacing="0" w:line="360" w:lineRule="auto"/>
        <w:ind w:firstLine="424" w:firstLineChars="177"/>
        <w:jc w:val="left"/>
        <w:textAlignment w:val="auto"/>
        <w:outlineLvl w:val="9"/>
        <w:rPr>
          <w:rFonts w:ascii="Times New Roman" w:hAnsi="Times New Roman" w:eastAsia="宋体"/>
          <w:color w:val="000000" w:themeColor="text1"/>
          <w:kern w:val="0"/>
          <w:sz w:val="24"/>
          <w:szCs w:val="32"/>
          <w:highlight w:val="none"/>
          <w14:textFill>
            <w14:solidFill>
              <w14:schemeClr w14:val="tx1"/>
            </w14:solidFill>
          </w14:textFill>
        </w:rPr>
      </w:pPr>
      <w:r>
        <w:rPr>
          <w:rFonts w:hint="eastAsia" w:ascii="Times New Roman" w:hAnsi="Times New Roman" w:eastAsia="宋体"/>
          <w:color w:val="000000" w:themeColor="text1"/>
          <w:kern w:val="0"/>
          <w:sz w:val="24"/>
          <w:szCs w:val="32"/>
          <w:highlight w:val="none"/>
          <w14:textFill>
            <w14:solidFill>
              <w14:schemeClr w14:val="tx1"/>
            </w14:solidFill>
          </w14:textFill>
        </w:rPr>
        <w:t>式中：Q——物料装车时机械落差起尘量，mg/s；</w:t>
      </w:r>
    </w:p>
    <w:p>
      <w:pPr>
        <w:keepNext w:val="0"/>
        <w:keepLines w:val="0"/>
        <w:pageBreakBefore w:val="0"/>
        <w:kinsoku/>
        <w:wordWrap/>
        <w:overflowPunct/>
        <w:topLinePunct w:val="0"/>
        <w:autoSpaceDE w:val="0"/>
        <w:autoSpaceDN w:val="0"/>
        <w:bidi w:val="0"/>
        <w:adjustRightInd w:val="0"/>
        <w:spacing w:beforeAutospacing="0" w:afterAutospacing="0" w:line="360" w:lineRule="auto"/>
        <w:ind w:firstLine="1132" w:firstLineChars="472"/>
        <w:jc w:val="left"/>
        <w:textAlignment w:val="auto"/>
        <w:outlineLvl w:val="9"/>
        <w:rPr>
          <w:rFonts w:ascii="Times New Roman" w:hAnsi="Times New Roman" w:eastAsia="宋体"/>
          <w:color w:val="000000" w:themeColor="text1"/>
          <w:kern w:val="0"/>
          <w:sz w:val="24"/>
          <w:szCs w:val="32"/>
          <w:highlight w:val="none"/>
          <w:lang w:val="pt-BR"/>
          <w14:textFill>
            <w14:solidFill>
              <w14:schemeClr w14:val="tx1"/>
            </w14:solidFill>
          </w14:textFill>
        </w:rPr>
      </w:pPr>
      <w:r>
        <w:rPr>
          <w:rFonts w:hint="eastAsia" w:ascii="Times New Roman" w:hAnsi="Times New Roman" w:eastAsia="宋体"/>
          <w:color w:val="000000" w:themeColor="text1"/>
          <w:kern w:val="0"/>
          <w:sz w:val="24"/>
          <w:szCs w:val="32"/>
          <w:highlight w:val="none"/>
          <w:lang w:val="pt-BR"/>
          <w14:textFill>
            <w14:solidFill>
              <w14:schemeClr w14:val="tx1"/>
            </w14:solidFill>
          </w14:textFill>
        </w:rPr>
        <w:t>H——</w:t>
      </w:r>
      <w:r>
        <w:rPr>
          <w:rFonts w:hint="eastAsia" w:ascii="Times New Roman" w:hAnsi="Times New Roman" w:eastAsia="宋体"/>
          <w:color w:val="000000" w:themeColor="text1"/>
          <w:kern w:val="0"/>
          <w:sz w:val="24"/>
          <w:szCs w:val="32"/>
          <w:highlight w:val="none"/>
          <w14:textFill>
            <w14:solidFill>
              <w14:schemeClr w14:val="tx1"/>
            </w14:solidFill>
          </w14:textFill>
        </w:rPr>
        <w:t>物料落差</w:t>
      </w:r>
      <w:r>
        <w:rPr>
          <w:rFonts w:hint="eastAsia" w:ascii="Times New Roman" w:hAnsi="Times New Roman" w:eastAsia="宋体"/>
          <w:color w:val="000000" w:themeColor="text1"/>
          <w:kern w:val="0"/>
          <w:sz w:val="24"/>
          <w:szCs w:val="32"/>
          <w:highlight w:val="none"/>
          <w:lang w:val="pt-BR"/>
          <w14:textFill>
            <w14:solidFill>
              <w14:schemeClr w14:val="tx1"/>
            </w14:solidFill>
          </w14:textFill>
        </w:rPr>
        <w:t>（1.2m）；</w:t>
      </w:r>
    </w:p>
    <w:p>
      <w:pPr>
        <w:keepNext w:val="0"/>
        <w:keepLines w:val="0"/>
        <w:pageBreakBefore w:val="0"/>
        <w:kinsoku/>
        <w:wordWrap/>
        <w:overflowPunct/>
        <w:topLinePunct w:val="0"/>
        <w:autoSpaceDE w:val="0"/>
        <w:autoSpaceDN w:val="0"/>
        <w:bidi w:val="0"/>
        <w:adjustRightInd w:val="0"/>
        <w:spacing w:beforeAutospacing="0" w:afterAutospacing="0" w:line="360" w:lineRule="auto"/>
        <w:ind w:firstLine="1132" w:firstLineChars="472"/>
        <w:jc w:val="left"/>
        <w:textAlignment w:val="auto"/>
        <w:outlineLvl w:val="9"/>
        <w:rPr>
          <w:rFonts w:ascii="Times New Roman" w:hAnsi="Times New Roman" w:eastAsia="宋体"/>
          <w:color w:val="000000" w:themeColor="text1"/>
          <w:kern w:val="0"/>
          <w:sz w:val="24"/>
          <w:szCs w:val="32"/>
          <w:highlight w:val="none"/>
          <w14:textFill>
            <w14:solidFill>
              <w14:schemeClr w14:val="tx1"/>
            </w14:solidFill>
          </w14:textFill>
        </w:rPr>
      </w:pPr>
      <w:r>
        <w:rPr>
          <w:rFonts w:hint="eastAsia" w:ascii="Times New Roman" w:hAnsi="Times New Roman" w:eastAsia="宋体"/>
          <w:color w:val="000000" w:themeColor="text1"/>
          <w:kern w:val="0"/>
          <w:sz w:val="24"/>
          <w:szCs w:val="32"/>
          <w:highlight w:val="none"/>
          <w14:textFill>
            <w14:solidFill>
              <w14:schemeClr w14:val="tx1"/>
            </w14:solidFill>
          </w14:textFill>
        </w:rPr>
        <w:t>U——气象平均风速（1.6m/s）</w:t>
      </w:r>
    </w:p>
    <w:p>
      <w:pPr>
        <w:keepNext w:val="0"/>
        <w:keepLines w:val="0"/>
        <w:pageBreakBefore w:val="0"/>
        <w:kinsoku/>
        <w:wordWrap/>
        <w:overflowPunct/>
        <w:topLinePunct w:val="0"/>
        <w:autoSpaceDE w:val="0"/>
        <w:autoSpaceDN w:val="0"/>
        <w:bidi w:val="0"/>
        <w:adjustRightInd w:val="0"/>
        <w:spacing w:beforeAutospacing="0" w:afterAutospacing="0" w:line="360" w:lineRule="auto"/>
        <w:ind w:firstLine="1132" w:firstLineChars="472"/>
        <w:jc w:val="left"/>
        <w:textAlignment w:val="auto"/>
        <w:outlineLvl w:val="9"/>
        <w:rPr>
          <w:rFonts w:ascii="Times New Roman" w:hAnsi="Times New Roman" w:eastAsia="宋体"/>
          <w:color w:val="000000" w:themeColor="text1"/>
          <w:kern w:val="0"/>
          <w:sz w:val="24"/>
          <w:szCs w:val="32"/>
          <w:highlight w:val="none"/>
          <w14:textFill>
            <w14:solidFill>
              <w14:schemeClr w14:val="tx1"/>
            </w14:solidFill>
          </w14:textFill>
        </w:rPr>
      </w:pPr>
      <w:r>
        <w:rPr>
          <w:rFonts w:hint="eastAsia" w:ascii="Times New Roman" w:hAnsi="Times New Roman" w:eastAsia="宋体"/>
          <w:color w:val="000000" w:themeColor="text1"/>
          <w:kern w:val="0"/>
          <w:sz w:val="24"/>
          <w:szCs w:val="32"/>
          <w:highlight w:val="none"/>
          <w14:textFill>
            <w14:solidFill>
              <w14:schemeClr w14:val="tx1"/>
            </w14:solidFill>
          </w14:textFill>
        </w:rPr>
        <w:t>W——物料含水率（4%）；</w:t>
      </w:r>
    </w:p>
    <w:p>
      <w:pPr>
        <w:keepNext w:val="0"/>
        <w:keepLines w:val="0"/>
        <w:pageBreakBefore w:val="0"/>
        <w:kinsoku/>
        <w:wordWrap/>
        <w:overflowPunct/>
        <w:topLinePunct w:val="0"/>
        <w:bidi w:val="0"/>
        <w:spacing w:beforeAutospacing="0" w:afterAutospacing="0" w:line="360" w:lineRule="auto"/>
        <w:ind w:firstLine="480" w:firstLineChars="200"/>
        <w:jc w:val="left"/>
        <w:textAlignment w:val="auto"/>
        <w:outlineLvl w:val="9"/>
        <w:rPr>
          <w:rFonts w:hint="default" w:ascii="Times New Roman" w:hAnsi="Times New Roman" w:eastAsia="宋体"/>
          <w:color w:val="000000" w:themeColor="text1"/>
          <w:kern w:val="0"/>
          <w:sz w:val="24"/>
          <w:szCs w:val="32"/>
          <w:highlight w:val="none"/>
          <w:lang w:val="en-US" w:eastAsia="zh-CN"/>
          <w14:textFill>
            <w14:solidFill>
              <w14:schemeClr w14:val="tx1"/>
            </w14:solidFill>
          </w14:textFill>
        </w:rPr>
      </w:pPr>
      <w:r>
        <w:rPr>
          <w:rFonts w:hint="eastAsia" w:ascii="Times New Roman" w:hAnsi="Times New Roman" w:eastAsia="宋体"/>
          <w:color w:val="000000" w:themeColor="text1"/>
          <w:sz w:val="24"/>
          <w:szCs w:val="32"/>
          <w:highlight w:val="none"/>
          <w:lang w:eastAsia="zh-CN"/>
          <w14:textFill>
            <w14:solidFill>
              <w14:schemeClr w14:val="tx1"/>
            </w14:solidFill>
          </w14:textFill>
        </w:rPr>
        <w:t>根据项目情况物料落差高度取</w:t>
      </w:r>
      <w:r>
        <w:rPr>
          <w:rFonts w:hint="eastAsia" w:ascii="Times New Roman" w:hAnsi="Times New Roman" w:eastAsia="宋体"/>
          <w:color w:val="000000" w:themeColor="text1"/>
          <w:sz w:val="24"/>
          <w:szCs w:val="32"/>
          <w:highlight w:val="none"/>
          <w:lang w:val="en-US" w:eastAsia="zh-CN"/>
          <w14:textFill>
            <w14:solidFill>
              <w14:schemeClr w14:val="tx1"/>
            </w14:solidFill>
          </w14:textFill>
        </w:rPr>
        <w:t>1.2米，平均风速取</w:t>
      </w:r>
      <w:r>
        <w:rPr>
          <w:rFonts w:hint="eastAsia" w:ascii="Times New Roman" w:hAnsi="Times New Roman" w:eastAsia="宋体"/>
          <w:color w:val="000000" w:themeColor="text1"/>
          <w:kern w:val="0"/>
          <w:sz w:val="24"/>
          <w:szCs w:val="32"/>
          <w:highlight w:val="none"/>
          <w14:textFill>
            <w14:solidFill>
              <w14:schemeClr w14:val="tx1"/>
            </w14:solidFill>
          </w14:textFill>
        </w:rPr>
        <w:t>1.6m/s</w:t>
      </w:r>
      <w:r>
        <w:rPr>
          <w:rFonts w:hint="eastAsia" w:ascii="Times New Roman" w:hAnsi="Times New Roman" w:eastAsia="宋体"/>
          <w:color w:val="000000" w:themeColor="text1"/>
          <w:kern w:val="0"/>
          <w:sz w:val="24"/>
          <w:szCs w:val="32"/>
          <w:highlight w:val="none"/>
          <w:lang w:eastAsia="zh-CN"/>
          <w14:textFill>
            <w14:solidFill>
              <w14:schemeClr w14:val="tx1"/>
            </w14:solidFill>
          </w14:textFill>
        </w:rPr>
        <w:t>，</w:t>
      </w:r>
      <w:r>
        <w:rPr>
          <w:rFonts w:hint="eastAsia" w:ascii="Times New Roman" w:hAnsi="Times New Roman" w:eastAsia="宋体"/>
          <w:color w:val="000000" w:themeColor="text1"/>
          <w:kern w:val="0"/>
          <w:sz w:val="24"/>
          <w:szCs w:val="32"/>
          <w:highlight w:val="none"/>
          <w14:textFill>
            <w14:solidFill>
              <w14:schemeClr w14:val="tx1"/>
            </w14:solidFill>
          </w14:textFill>
        </w:rPr>
        <w:t>本项目装卸物料为</w:t>
      </w:r>
      <w:r>
        <w:rPr>
          <w:rFonts w:hint="eastAsia" w:ascii="Times New Roman" w:hAnsi="Times New Roman" w:eastAsia="宋体"/>
          <w:color w:val="000000" w:themeColor="text1"/>
          <w:sz w:val="24"/>
          <w:szCs w:val="32"/>
          <w:highlight w:val="none"/>
          <w:lang w:val="en-US" w:eastAsia="zh-CN"/>
          <w14:textFill>
            <w14:solidFill>
              <w14:schemeClr w14:val="tx1"/>
            </w14:solidFill>
          </w14:textFill>
        </w:rPr>
        <w:t>河砂、碎石及废金属矿</w:t>
      </w:r>
      <w:r>
        <w:rPr>
          <w:rFonts w:hint="eastAsia" w:ascii="Times New Roman" w:hAnsi="Times New Roman" w:eastAsia="宋体"/>
          <w:color w:val="000000" w:themeColor="text1"/>
          <w:sz w:val="24"/>
          <w:szCs w:val="32"/>
          <w:highlight w:val="none"/>
          <w14:textFill>
            <w14:solidFill>
              <w14:schemeClr w14:val="tx1"/>
            </w14:solidFill>
          </w14:textFill>
        </w:rPr>
        <w:t>，</w:t>
      </w:r>
      <w:r>
        <w:rPr>
          <w:rFonts w:hint="eastAsia" w:ascii="Times New Roman" w:hAnsi="Times New Roman" w:eastAsia="宋体"/>
          <w:color w:val="000000" w:themeColor="text1"/>
          <w:sz w:val="24"/>
          <w:szCs w:val="32"/>
          <w:highlight w:val="none"/>
          <w:lang w:eastAsia="zh-CN"/>
          <w14:textFill>
            <w14:solidFill>
              <w14:schemeClr w14:val="tx1"/>
            </w14:solidFill>
          </w14:textFill>
        </w:rPr>
        <w:t>含水率取</w:t>
      </w:r>
      <w:r>
        <w:rPr>
          <w:rFonts w:hint="eastAsia" w:ascii="Times New Roman" w:hAnsi="Times New Roman" w:eastAsia="宋体"/>
          <w:color w:val="000000" w:themeColor="text1"/>
          <w:kern w:val="0"/>
          <w:sz w:val="24"/>
          <w:szCs w:val="32"/>
          <w:highlight w:val="none"/>
          <w14:textFill>
            <w14:solidFill>
              <w14:schemeClr w14:val="tx1"/>
            </w14:solidFill>
          </w14:textFill>
        </w:rPr>
        <w:t>4%</w:t>
      </w:r>
      <w:r>
        <w:rPr>
          <w:rFonts w:hint="eastAsia" w:ascii="Times New Roman" w:hAnsi="Times New Roman" w:eastAsia="宋体"/>
          <w:color w:val="000000" w:themeColor="text1"/>
          <w:kern w:val="0"/>
          <w:sz w:val="24"/>
          <w:szCs w:val="32"/>
          <w:highlight w:val="none"/>
          <w:lang w:eastAsia="zh-CN"/>
          <w14:textFill>
            <w14:solidFill>
              <w14:schemeClr w14:val="tx1"/>
            </w14:solidFill>
          </w14:textFill>
        </w:rPr>
        <w:t>。项目平均</w:t>
      </w:r>
      <w:r>
        <w:rPr>
          <w:rFonts w:hint="eastAsia" w:ascii="Times New Roman" w:hAnsi="Times New Roman" w:eastAsia="宋体"/>
          <w:color w:val="000000" w:themeColor="text1"/>
          <w:sz w:val="24"/>
          <w:szCs w:val="32"/>
          <w:highlight w:val="none"/>
          <w:lang w:eastAsia="zh-CN"/>
          <w14:textFill>
            <w14:solidFill>
              <w14:schemeClr w14:val="tx1"/>
            </w14:solidFill>
          </w14:textFill>
        </w:rPr>
        <w:t>每日装卸时间约</w:t>
      </w:r>
      <w:r>
        <w:rPr>
          <w:rFonts w:hint="eastAsia" w:ascii="Times New Roman" w:hAnsi="Times New Roman" w:eastAsia="宋体"/>
          <w:color w:val="000000" w:themeColor="text1"/>
          <w:sz w:val="24"/>
          <w:szCs w:val="32"/>
          <w:highlight w:val="none"/>
          <w:lang w:val="en-US" w:eastAsia="zh-CN"/>
          <w14:textFill>
            <w14:solidFill>
              <w14:schemeClr w14:val="tx1"/>
            </w14:solidFill>
          </w14:textFill>
        </w:rPr>
        <w:t>2小时，</w:t>
      </w:r>
      <w:r>
        <w:rPr>
          <w:rFonts w:hint="eastAsia" w:ascii="Times New Roman" w:hAnsi="Times New Roman" w:eastAsia="宋体"/>
          <w:color w:val="000000" w:themeColor="text1"/>
          <w:kern w:val="0"/>
          <w:sz w:val="24"/>
          <w:szCs w:val="32"/>
          <w:highlight w:val="none"/>
          <w14:textFill>
            <w14:solidFill>
              <w14:schemeClr w14:val="tx1"/>
            </w14:solidFill>
          </w14:textFill>
        </w:rPr>
        <w:t>经计算，物料装车时机械落差的起尘量为</w:t>
      </w:r>
      <w:r>
        <w:rPr>
          <w:rFonts w:ascii="Times New Roman" w:hAnsi="Times New Roman" w:eastAsia="宋体"/>
          <w:color w:val="000000" w:themeColor="text1"/>
          <w:kern w:val="0"/>
          <w:sz w:val="24"/>
          <w:szCs w:val="32"/>
          <w:highlight w:val="none"/>
          <w14:textFill>
            <w14:solidFill>
              <w14:schemeClr w14:val="tx1"/>
            </w14:solidFill>
          </w14:textFill>
        </w:rPr>
        <w:t>2975mg/s</w:t>
      </w:r>
      <w:r>
        <w:rPr>
          <w:rFonts w:hint="eastAsia" w:ascii="Times New Roman" w:hAnsi="Times New Roman" w:eastAsia="宋体"/>
          <w:color w:val="000000" w:themeColor="text1"/>
          <w:kern w:val="0"/>
          <w:sz w:val="24"/>
          <w:szCs w:val="32"/>
          <w:highlight w:val="none"/>
          <w14:textFill>
            <w14:solidFill>
              <w14:schemeClr w14:val="tx1"/>
            </w14:solidFill>
          </w14:textFill>
        </w:rPr>
        <w:t>，</w:t>
      </w:r>
      <w:r>
        <w:rPr>
          <w:rFonts w:hint="eastAsia" w:ascii="Times New Roman" w:hAnsi="Times New Roman" w:eastAsia="宋体"/>
          <w:color w:val="000000" w:themeColor="text1"/>
          <w:kern w:val="0"/>
          <w:sz w:val="24"/>
          <w:szCs w:val="32"/>
          <w:highlight w:val="none"/>
          <w:lang w:eastAsia="zh-CN"/>
          <w14:textFill>
            <w14:solidFill>
              <w14:schemeClr w14:val="tx1"/>
            </w14:solidFill>
          </w14:textFill>
        </w:rPr>
        <w:t>约</w:t>
      </w:r>
      <w:r>
        <w:rPr>
          <w:rFonts w:ascii="Times New Roman" w:hAnsi="Times New Roman" w:eastAsia="宋体"/>
          <w:color w:val="000000" w:themeColor="text1"/>
          <w:kern w:val="0"/>
          <w:sz w:val="24"/>
          <w:szCs w:val="32"/>
          <w:highlight w:val="none"/>
          <w14:textFill>
            <w14:solidFill>
              <w14:schemeClr w14:val="tx1"/>
            </w14:solidFill>
          </w14:textFill>
        </w:rPr>
        <w:t>7.71t/a</w:t>
      </w:r>
      <w:r>
        <w:rPr>
          <w:rFonts w:hint="eastAsia" w:ascii="Times New Roman" w:hAnsi="Times New Roman" w:eastAsia="宋体"/>
          <w:color w:val="000000" w:themeColor="text1"/>
          <w:kern w:val="0"/>
          <w:sz w:val="24"/>
          <w:szCs w:val="32"/>
          <w:highlight w:val="none"/>
          <w14:textFill>
            <w14:solidFill>
              <w14:schemeClr w14:val="tx1"/>
            </w14:solidFill>
          </w14:textFill>
        </w:rPr>
        <w:t>。</w:t>
      </w:r>
      <w:r>
        <w:rPr>
          <w:rFonts w:hint="eastAsia" w:ascii="Times New Roman" w:hAnsi="Times New Roman" w:eastAsia="宋体"/>
          <w:color w:val="000000" w:themeColor="text1"/>
          <w:kern w:val="0"/>
          <w:sz w:val="24"/>
          <w:szCs w:val="32"/>
          <w:highlight w:val="none"/>
          <w:lang w:eastAsia="zh-CN"/>
          <w14:textFill>
            <w14:solidFill>
              <w14:schemeClr w14:val="tx1"/>
            </w14:solidFill>
          </w14:textFill>
        </w:rPr>
        <w:t>本项目装卸货物中</w:t>
      </w:r>
      <w:r>
        <w:rPr>
          <w:rFonts w:hint="eastAsia" w:ascii="Times New Roman" w:hAnsi="Times New Roman" w:eastAsia="宋体"/>
          <w:color w:val="000000" w:themeColor="text1"/>
          <w:kern w:val="0"/>
          <w:sz w:val="24"/>
          <w:szCs w:val="32"/>
          <w:highlight w:val="none"/>
          <w:lang w:val="en-US" w:eastAsia="zh-CN"/>
          <w14:textFill>
            <w14:solidFill>
              <w14:schemeClr w14:val="tx1"/>
            </w14:solidFill>
          </w14:textFill>
        </w:rPr>
        <w:t>河砂</w:t>
      </w:r>
      <w:r>
        <w:rPr>
          <w:rFonts w:hint="eastAsia" w:ascii="Times New Roman" w:hAnsi="Times New Roman" w:eastAsia="宋体"/>
          <w:color w:val="000000" w:themeColor="text1"/>
          <w:kern w:val="0"/>
          <w:sz w:val="24"/>
          <w:szCs w:val="32"/>
          <w:highlight w:val="none"/>
          <w:lang w:eastAsia="zh-CN"/>
          <w14:textFill>
            <w14:solidFill>
              <w14:schemeClr w14:val="tx1"/>
            </w14:solidFill>
          </w14:textFill>
        </w:rPr>
        <w:t>占比约为</w:t>
      </w:r>
      <w:r>
        <w:rPr>
          <w:rFonts w:hint="eastAsia" w:ascii="Times New Roman" w:hAnsi="Times New Roman" w:eastAsia="宋体"/>
          <w:color w:val="000000" w:themeColor="text1"/>
          <w:kern w:val="0"/>
          <w:sz w:val="24"/>
          <w:szCs w:val="32"/>
          <w:highlight w:val="none"/>
          <w:lang w:val="en-US" w:eastAsia="zh-CN"/>
          <w14:textFill>
            <w14:solidFill>
              <w14:schemeClr w14:val="tx1"/>
            </w14:solidFill>
          </w14:textFill>
        </w:rPr>
        <w:t>36%，则本项目装卸过程中河砂起尘量为2.776t/a，其余货品起尘量为4.934t/a。</w:t>
      </w:r>
    </w:p>
    <w:p>
      <w:pPr>
        <w:keepNext w:val="0"/>
        <w:keepLines w:val="0"/>
        <w:pageBreakBefore w:val="0"/>
        <w:kinsoku/>
        <w:wordWrap/>
        <w:overflowPunct/>
        <w:topLinePunct w:val="0"/>
        <w:bidi w:val="0"/>
        <w:spacing w:beforeAutospacing="0" w:afterAutospacing="0" w:line="360" w:lineRule="auto"/>
        <w:ind w:firstLine="480" w:firstLineChars="200"/>
        <w:jc w:val="left"/>
        <w:textAlignment w:val="auto"/>
        <w:outlineLvl w:val="9"/>
        <w:rPr>
          <w:rFonts w:ascii="Times New Roman" w:hAnsi="Times New Roman" w:eastAsia="宋体"/>
          <w:color w:val="000000" w:themeColor="text1"/>
          <w:kern w:val="0"/>
          <w:sz w:val="24"/>
          <w:szCs w:val="28"/>
          <w:highlight w:val="none"/>
          <w14:textFill>
            <w14:solidFill>
              <w14:schemeClr w14:val="tx1"/>
            </w14:solidFill>
          </w14:textFill>
        </w:rPr>
      </w:pPr>
      <w:r>
        <w:rPr>
          <w:rFonts w:hint="eastAsia" w:ascii="Times New Roman" w:hAnsi="Times New Roman" w:eastAsia="宋体"/>
          <w:color w:val="000000" w:themeColor="text1"/>
          <w:kern w:val="0"/>
          <w:sz w:val="24"/>
          <w:szCs w:val="32"/>
          <w:highlight w:val="none"/>
          <w14:textFill>
            <w14:solidFill>
              <w14:schemeClr w14:val="tx1"/>
            </w14:solidFill>
          </w14:textFill>
        </w:rPr>
        <w:t>建设单位将在堆场四周</w:t>
      </w:r>
      <w:r>
        <w:rPr>
          <w:rFonts w:hint="eastAsia" w:ascii="Times New Roman" w:hAnsi="Times New Roman" w:eastAsia="宋体"/>
          <w:color w:val="000000" w:themeColor="text1"/>
          <w:kern w:val="0"/>
          <w:sz w:val="24"/>
          <w:szCs w:val="32"/>
          <w:highlight w:val="none"/>
          <w:lang w:eastAsia="zh-CN"/>
          <w14:textFill>
            <w14:solidFill>
              <w14:schemeClr w14:val="tx1"/>
            </w14:solidFill>
          </w14:textFill>
        </w:rPr>
        <w:t>每隔</w:t>
      </w:r>
      <w:r>
        <w:rPr>
          <w:rFonts w:hint="eastAsia" w:ascii="Times New Roman" w:hAnsi="Times New Roman" w:eastAsia="宋体"/>
          <w:color w:val="000000" w:themeColor="text1"/>
          <w:kern w:val="0"/>
          <w:sz w:val="24"/>
          <w:szCs w:val="32"/>
          <w:highlight w:val="none"/>
          <w:lang w:val="en-US" w:eastAsia="zh-CN"/>
          <w14:textFill>
            <w14:solidFill>
              <w14:schemeClr w14:val="tx1"/>
            </w14:solidFill>
          </w14:textFill>
        </w:rPr>
        <w:t>2米</w:t>
      </w:r>
      <w:r>
        <w:rPr>
          <w:rFonts w:hint="eastAsia" w:ascii="Times New Roman" w:hAnsi="Times New Roman" w:eastAsia="宋体"/>
          <w:color w:val="000000" w:themeColor="text1"/>
          <w:kern w:val="0"/>
          <w:sz w:val="24"/>
          <w:szCs w:val="32"/>
          <w:highlight w:val="none"/>
          <w14:textFill>
            <w14:solidFill>
              <w14:schemeClr w14:val="tx1"/>
            </w14:solidFill>
          </w14:textFill>
        </w:rPr>
        <w:t>设置喷淋洒水装置，</w:t>
      </w:r>
      <w:r>
        <w:rPr>
          <w:rFonts w:hint="eastAsia" w:ascii="Times New Roman" w:hAnsi="Times New Roman" w:eastAsia="宋体"/>
          <w:color w:val="000000" w:themeColor="text1"/>
          <w:kern w:val="0"/>
          <w:sz w:val="24"/>
          <w:szCs w:val="32"/>
          <w:highlight w:val="none"/>
          <w:lang w:eastAsia="zh-CN"/>
          <w14:textFill>
            <w14:solidFill>
              <w14:schemeClr w14:val="tx1"/>
            </w14:solidFill>
          </w14:textFill>
        </w:rPr>
        <w:t>项目装卸货物为</w:t>
      </w:r>
      <w:r>
        <w:rPr>
          <w:rFonts w:hint="eastAsia" w:ascii="Times New Roman" w:hAnsi="Times New Roman" w:eastAsia="宋体"/>
          <w:color w:val="000000" w:themeColor="text1"/>
          <w:sz w:val="24"/>
          <w:szCs w:val="32"/>
          <w:highlight w:val="none"/>
          <w:lang w:val="en-US" w:eastAsia="zh-CN"/>
          <w14:textFill>
            <w14:solidFill>
              <w14:schemeClr w14:val="tx1"/>
            </w14:solidFill>
          </w14:textFill>
        </w:rPr>
        <w:t>河砂、碎石及废金属矿</w:t>
      </w:r>
      <w:r>
        <w:rPr>
          <w:rFonts w:hint="eastAsia" w:ascii="Times New Roman" w:hAnsi="Times New Roman" w:eastAsia="宋体"/>
          <w:color w:val="000000" w:themeColor="text1"/>
          <w:kern w:val="0"/>
          <w:sz w:val="24"/>
          <w:szCs w:val="32"/>
          <w:highlight w:val="none"/>
          <w:lang w:eastAsia="zh-CN"/>
          <w14:textFill>
            <w14:solidFill>
              <w14:schemeClr w14:val="tx1"/>
            </w14:solidFill>
          </w14:textFill>
        </w:rPr>
        <w:t>，在装卸前根据货种对加</w:t>
      </w:r>
      <w:r>
        <w:rPr>
          <w:rFonts w:hint="eastAsia" w:ascii="Times New Roman" w:hAnsi="Times New Roman" w:eastAsia="宋体"/>
          <w:color w:val="000000" w:themeColor="text1"/>
          <w:sz w:val="24"/>
          <w:szCs w:val="32"/>
          <w:highlight w:val="none"/>
          <w:lang w:val="en-US" w:eastAsia="zh-CN"/>
          <w14:textFill>
            <w14:solidFill>
              <w14:schemeClr w14:val="tx1"/>
            </w14:solidFill>
          </w14:textFill>
        </w:rPr>
        <w:t>河砂、碎石及废金属矿</w:t>
      </w:r>
      <w:r>
        <w:rPr>
          <w:rFonts w:hint="eastAsia" w:ascii="Times New Roman" w:hAnsi="Times New Roman" w:eastAsia="宋体"/>
          <w:color w:val="000000" w:themeColor="text1"/>
          <w:kern w:val="0"/>
          <w:sz w:val="24"/>
          <w:szCs w:val="32"/>
          <w:highlight w:val="none"/>
          <w:lang w:eastAsia="zh-CN"/>
          <w14:textFill>
            <w14:solidFill>
              <w14:schemeClr w14:val="tx1"/>
            </w14:solidFill>
          </w14:textFill>
        </w:rPr>
        <w:t>采取预先加湿，对</w:t>
      </w:r>
      <w:r>
        <w:rPr>
          <w:rFonts w:hint="eastAsia" w:ascii="Times New Roman" w:hAnsi="Times New Roman" w:eastAsia="宋体"/>
          <w:color w:val="000000" w:themeColor="text1"/>
          <w:kern w:val="0"/>
          <w:sz w:val="24"/>
          <w:szCs w:val="32"/>
          <w:highlight w:val="none"/>
          <w:lang w:val="en-US" w:eastAsia="zh-CN"/>
          <w14:textFill>
            <w14:solidFill>
              <w14:schemeClr w14:val="tx1"/>
            </w14:solidFill>
          </w14:textFill>
        </w:rPr>
        <w:t>河砂</w:t>
      </w:r>
      <w:r>
        <w:rPr>
          <w:rFonts w:hint="eastAsia" w:ascii="Times New Roman" w:hAnsi="Times New Roman" w:eastAsia="宋体"/>
          <w:color w:val="000000" w:themeColor="text1"/>
          <w:kern w:val="0"/>
          <w:sz w:val="24"/>
          <w:szCs w:val="32"/>
          <w:highlight w:val="none"/>
          <w:lang w:eastAsia="zh-CN"/>
          <w14:textFill>
            <w14:solidFill>
              <w14:schemeClr w14:val="tx1"/>
            </w14:solidFill>
          </w14:textFill>
        </w:rPr>
        <w:t>采取覆盖等方式降低产尘量。</w:t>
      </w:r>
      <w:r>
        <w:rPr>
          <w:rFonts w:hint="eastAsia" w:ascii="Times New Roman" w:hAnsi="Times New Roman" w:eastAsia="宋体"/>
          <w:color w:val="000000" w:themeColor="text1"/>
          <w:kern w:val="0"/>
          <w:sz w:val="24"/>
          <w:szCs w:val="32"/>
          <w:highlight w:val="none"/>
          <w14:textFill>
            <w14:solidFill>
              <w14:schemeClr w14:val="tx1"/>
            </w14:solidFill>
          </w14:textFill>
        </w:rPr>
        <w:t>装卸过程中利用距离项目点最近喷头进行洒水抑尘，除尘率</w:t>
      </w:r>
      <w:r>
        <w:rPr>
          <w:rFonts w:hint="eastAsia" w:ascii="Times New Roman" w:hAnsi="Times New Roman" w:eastAsia="宋体"/>
          <w:color w:val="000000" w:themeColor="text1"/>
          <w:kern w:val="0"/>
          <w:sz w:val="24"/>
          <w:szCs w:val="32"/>
          <w:highlight w:val="none"/>
          <w:lang w:eastAsia="zh-CN"/>
          <w14:textFill>
            <w14:solidFill>
              <w14:schemeClr w14:val="tx1"/>
            </w14:solidFill>
          </w14:textFill>
        </w:rPr>
        <w:t>取</w:t>
      </w:r>
      <w:r>
        <w:rPr>
          <w:rFonts w:ascii="Times New Roman" w:hAnsi="Times New Roman" w:eastAsia="宋体"/>
          <w:color w:val="000000" w:themeColor="text1"/>
          <w:kern w:val="0"/>
          <w:sz w:val="24"/>
          <w:szCs w:val="32"/>
          <w:highlight w:val="none"/>
          <w14:textFill>
            <w14:solidFill>
              <w14:schemeClr w14:val="tx1"/>
            </w14:solidFill>
          </w14:textFill>
        </w:rPr>
        <w:t>80%</w:t>
      </w:r>
      <w:r>
        <w:rPr>
          <w:rFonts w:hint="eastAsia" w:ascii="Times New Roman" w:hAnsi="Times New Roman" w:eastAsia="宋体"/>
          <w:color w:val="000000" w:themeColor="text1"/>
          <w:kern w:val="0"/>
          <w:sz w:val="24"/>
          <w:szCs w:val="32"/>
          <w:highlight w:val="none"/>
          <w:lang w:eastAsia="zh-CN"/>
          <w14:textFill>
            <w14:solidFill>
              <w14:schemeClr w14:val="tx1"/>
            </w14:solidFill>
          </w14:textFill>
        </w:rPr>
        <w:t>。</w:t>
      </w:r>
      <w:r>
        <w:rPr>
          <w:rFonts w:hint="eastAsia" w:ascii="Times New Roman" w:hAnsi="Times New Roman" w:eastAsia="宋体"/>
          <w:color w:val="000000" w:themeColor="text1"/>
          <w:kern w:val="0"/>
          <w:sz w:val="24"/>
          <w:szCs w:val="32"/>
          <w:highlight w:val="none"/>
          <w14:textFill>
            <w14:solidFill>
              <w14:schemeClr w14:val="tx1"/>
            </w14:solidFill>
          </w14:textFill>
        </w:rPr>
        <w:t>采取措施后，项目装卸扬尘排放量约</w:t>
      </w:r>
      <w:r>
        <w:rPr>
          <w:rFonts w:hint="eastAsia" w:ascii="Times New Roman" w:hAnsi="Times New Roman" w:eastAsia="宋体"/>
          <w:color w:val="000000" w:themeColor="text1"/>
          <w:kern w:val="0"/>
          <w:sz w:val="24"/>
          <w:szCs w:val="32"/>
          <w:highlight w:val="none"/>
          <w:lang w:val="en-US" w:eastAsia="zh-CN"/>
          <w14:textFill>
            <w14:solidFill>
              <w14:schemeClr w14:val="tx1"/>
            </w14:solidFill>
          </w14:textFill>
        </w:rPr>
        <w:t>1.542t/a，均</w:t>
      </w:r>
      <w:r>
        <w:rPr>
          <w:rFonts w:hint="eastAsia" w:ascii="Times New Roman" w:hAnsi="Times New Roman" w:eastAsia="宋体"/>
          <w:color w:val="000000" w:themeColor="text1"/>
          <w:kern w:val="0"/>
          <w:sz w:val="24"/>
          <w:szCs w:val="32"/>
          <w:highlight w:val="none"/>
          <w14:textFill>
            <w14:solidFill>
              <w14:schemeClr w14:val="tx1"/>
            </w14:solidFill>
          </w14:textFill>
        </w:rPr>
        <w:t>以无组织形式排放。</w:t>
      </w:r>
    </w:p>
    <w:p>
      <w:pPr>
        <w:pStyle w:val="100"/>
        <w:pageBreakBefore w:val="0"/>
        <w:kinsoku/>
        <w:bidi w:val="0"/>
        <w:spacing w:beforeAutospacing="0" w:afterAutospacing="0" w:line="360" w:lineRule="auto"/>
        <w:ind w:firstLine="480" w:firstLineChars="200"/>
        <w:rPr>
          <w:rFonts w:hint="eastAsia" w:ascii="Times New Roman" w:hAnsi="Times New Roman" w:eastAsia="宋体"/>
          <w:color w:val="000000" w:themeColor="text1"/>
          <w:kern w:val="0"/>
          <w:sz w:val="24"/>
          <w:szCs w:val="32"/>
          <w:highlight w:val="none"/>
          <w14:textFill>
            <w14:solidFill>
              <w14:schemeClr w14:val="tx1"/>
            </w14:solidFill>
          </w14:textFill>
        </w:rPr>
      </w:pPr>
      <w:r>
        <w:rPr>
          <w:rFonts w:hint="eastAsia" w:ascii="Times New Roman" w:hAnsi="Times New Roman" w:eastAsia="宋体"/>
          <w:b w:val="0"/>
          <w:bCs w:val="0"/>
          <w:color w:val="000000" w:themeColor="text1"/>
          <w:kern w:val="0"/>
          <w:sz w:val="24"/>
          <w:szCs w:val="24"/>
          <w:highlight w:val="none"/>
          <w14:textFill>
            <w14:solidFill>
              <w14:schemeClr w14:val="tx1"/>
            </w14:solidFill>
          </w14:textFill>
        </w:rPr>
        <w:t>堆场粉尘：</w:t>
      </w:r>
      <w:r>
        <w:rPr>
          <w:rFonts w:hint="eastAsia" w:ascii="Times New Roman" w:hAnsi="Times New Roman" w:eastAsia="宋体"/>
          <w:color w:val="000000" w:themeColor="text1"/>
          <w:sz w:val="24"/>
          <w:szCs w:val="32"/>
          <w:highlight w:val="none"/>
          <w14:textFill>
            <w14:solidFill>
              <w14:schemeClr w14:val="tx1"/>
            </w14:solidFill>
          </w14:textFill>
        </w:rPr>
        <w:t>堆场表面的静态风力起尘，其起尘量与尘源的表面含水率、地面风速有关</w:t>
      </w:r>
      <w:r>
        <w:rPr>
          <w:rFonts w:hint="eastAsia" w:ascii="Times New Roman" w:hAnsi="Times New Roman" w:eastAsia="宋体"/>
          <w:color w:val="000000" w:themeColor="text1"/>
          <w:sz w:val="24"/>
          <w:szCs w:val="32"/>
          <w:highlight w:val="none"/>
          <w:lang w:eastAsia="zh-CN"/>
          <w14:textFill>
            <w14:solidFill>
              <w14:schemeClr w14:val="tx1"/>
            </w14:solidFill>
          </w14:textFill>
        </w:rPr>
        <w:t>。</w:t>
      </w:r>
      <w:r>
        <w:rPr>
          <w:rFonts w:hint="eastAsia" w:ascii="Times New Roman" w:hAnsi="Times New Roman" w:eastAsia="宋体"/>
          <w:b w:val="0"/>
          <w:bCs w:val="0"/>
          <w:color w:val="000000" w:themeColor="text1"/>
          <w:kern w:val="0"/>
          <w:sz w:val="24"/>
          <w:szCs w:val="24"/>
          <w:highlight w:val="none"/>
          <w:lang w:eastAsia="zh-CN"/>
          <w14:textFill>
            <w14:solidFill>
              <w14:schemeClr w14:val="tx1"/>
            </w14:solidFill>
          </w14:textFill>
        </w:rPr>
        <w:t>本项目运输货物为</w:t>
      </w:r>
      <w:r>
        <w:rPr>
          <w:rFonts w:hint="eastAsia" w:ascii="Times New Roman" w:hAnsi="Times New Roman" w:eastAsia="宋体"/>
          <w:color w:val="000000" w:themeColor="text1"/>
          <w:sz w:val="24"/>
          <w:szCs w:val="32"/>
          <w:highlight w:val="none"/>
          <w:lang w:val="en-US" w:eastAsia="zh-CN"/>
          <w14:textFill>
            <w14:solidFill>
              <w14:schemeClr w14:val="tx1"/>
            </w14:solidFill>
          </w14:textFill>
        </w:rPr>
        <w:t>河砂、碎石及废金属矿</w:t>
      </w:r>
      <w:r>
        <w:rPr>
          <w:rFonts w:hint="eastAsia" w:ascii="Times New Roman" w:hAnsi="Times New Roman" w:eastAsia="宋体"/>
          <w:b w:val="0"/>
          <w:bCs w:val="0"/>
          <w:color w:val="000000" w:themeColor="text1"/>
          <w:kern w:val="0"/>
          <w:sz w:val="24"/>
          <w:szCs w:val="24"/>
          <w:highlight w:val="none"/>
          <w:lang w:eastAsia="zh-CN"/>
          <w14:textFill>
            <w14:solidFill>
              <w14:schemeClr w14:val="tx1"/>
            </w14:solidFill>
          </w14:textFill>
        </w:rPr>
        <w:t>，</w:t>
      </w:r>
      <w:r>
        <w:rPr>
          <w:rFonts w:hint="eastAsia" w:ascii="Times New Roman" w:hAnsi="Times New Roman" w:eastAsia="宋体"/>
          <w:b w:val="0"/>
          <w:bCs w:val="0"/>
          <w:color w:val="000000" w:themeColor="text1"/>
          <w:kern w:val="0"/>
          <w:sz w:val="24"/>
          <w:szCs w:val="24"/>
          <w:highlight w:val="none"/>
          <w:lang w:val="en-US" w:eastAsia="zh-CN"/>
          <w14:textFill>
            <w14:solidFill>
              <w14:schemeClr w14:val="tx1"/>
            </w14:solidFill>
          </w14:textFill>
        </w:rPr>
        <w:t>其中</w:t>
      </w:r>
      <w:r>
        <w:rPr>
          <w:rFonts w:hint="eastAsia" w:ascii="Times New Roman" w:hAnsi="Times New Roman" w:eastAsia="宋体"/>
          <w:color w:val="000000" w:themeColor="text1"/>
          <w:sz w:val="24"/>
          <w:szCs w:val="32"/>
          <w:highlight w:val="none"/>
          <w:lang w:val="en-US" w:eastAsia="zh-CN"/>
          <w14:textFill>
            <w14:solidFill>
              <w14:schemeClr w14:val="tx1"/>
            </w14:solidFill>
          </w14:textFill>
        </w:rPr>
        <w:t>碎石及废金属矿</w:t>
      </w:r>
      <w:r>
        <w:rPr>
          <w:rFonts w:hint="eastAsia" w:ascii="Times New Roman" w:hAnsi="Times New Roman" w:eastAsia="宋体"/>
          <w:b w:val="0"/>
          <w:bCs w:val="0"/>
          <w:color w:val="000000" w:themeColor="text1"/>
          <w:kern w:val="0"/>
          <w:sz w:val="24"/>
          <w:szCs w:val="24"/>
          <w:highlight w:val="none"/>
          <w:lang w:eastAsia="zh-CN"/>
          <w14:textFill>
            <w14:solidFill>
              <w14:schemeClr w14:val="tx1"/>
            </w14:solidFill>
          </w14:textFill>
        </w:rPr>
        <w:t>特性为不易起尘，且建设单位</w:t>
      </w:r>
      <w:r>
        <w:rPr>
          <w:rFonts w:hint="eastAsia" w:ascii="Times New Roman" w:hAnsi="Times New Roman" w:eastAsia="宋体"/>
          <w:b w:val="0"/>
          <w:bCs w:val="0"/>
          <w:color w:val="000000" w:themeColor="text1"/>
          <w:kern w:val="0"/>
          <w:sz w:val="24"/>
          <w:szCs w:val="24"/>
          <w:highlight w:val="none"/>
          <w14:textFill>
            <w14:solidFill>
              <w14:schemeClr w14:val="tx1"/>
            </w14:solidFill>
          </w14:textFill>
        </w:rPr>
        <w:t>在</w:t>
      </w:r>
      <w:r>
        <w:rPr>
          <w:rFonts w:hint="eastAsia" w:ascii="Times New Roman" w:hAnsi="Times New Roman" w:eastAsia="宋体"/>
          <w:color w:val="000000" w:themeColor="text1"/>
          <w:kern w:val="0"/>
          <w:sz w:val="24"/>
          <w:szCs w:val="24"/>
          <w:highlight w:val="none"/>
          <w14:textFill>
            <w14:solidFill>
              <w14:schemeClr w14:val="tx1"/>
            </w14:solidFill>
          </w14:textFill>
        </w:rPr>
        <w:t>散</w:t>
      </w:r>
      <w:r>
        <w:rPr>
          <w:rFonts w:hint="eastAsia" w:ascii="Times New Roman" w:hAnsi="Times New Roman" w:eastAsia="宋体"/>
          <w:color w:val="000000" w:themeColor="text1"/>
          <w:kern w:val="0"/>
          <w:sz w:val="24"/>
          <w:szCs w:val="32"/>
          <w:highlight w:val="none"/>
          <w14:textFill>
            <w14:solidFill>
              <w14:schemeClr w14:val="tx1"/>
            </w14:solidFill>
          </w14:textFill>
        </w:rPr>
        <w:t>货堆场四周设</w:t>
      </w:r>
      <w:r>
        <w:rPr>
          <w:rFonts w:hint="eastAsia" w:ascii="Times New Roman" w:hAnsi="Times New Roman" w:eastAsia="宋体"/>
          <w:color w:val="000000" w:themeColor="text1"/>
          <w:kern w:val="0"/>
          <w:sz w:val="24"/>
          <w:szCs w:val="32"/>
          <w:highlight w:val="none"/>
          <w:lang w:eastAsia="zh-CN"/>
          <w14:textFill>
            <w14:solidFill>
              <w14:schemeClr w14:val="tx1"/>
            </w14:solidFill>
          </w14:textFill>
        </w:rPr>
        <w:t>有</w:t>
      </w:r>
      <w:r>
        <w:rPr>
          <w:rFonts w:hint="eastAsia" w:ascii="Times New Roman" w:hAnsi="Times New Roman" w:eastAsia="宋体"/>
          <w:color w:val="000000" w:themeColor="text1"/>
          <w:kern w:val="0"/>
          <w:sz w:val="24"/>
          <w:szCs w:val="32"/>
          <w:highlight w:val="none"/>
          <w14:textFill>
            <w14:solidFill>
              <w14:schemeClr w14:val="tx1"/>
            </w14:solidFill>
          </w14:textFill>
        </w:rPr>
        <w:t>防风抑尘网，</w:t>
      </w:r>
      <w:r>
        <w:rPr>
          <w:rFonts w:hint="eastAsia" w:ascii="Times New Roman" w:hAnsi="Times New Roman" w:eastAsia="宋体"/>
          <w:color w:val="000000" w:themeColor="text1"/>
          <w:kern w:val="0"/>
          <w:sz w:val="24"/>
          <w:szCs w:val="32"/>
          <w:highlight w:val="none"/>
          <w:lang w:eastAsia="zh-CN"/>
          <w14:textFill>
            <w14:solidFill>
              <w14:schemeClr w14:val="tx1"/>
            </w14:solidFill>
          </w14:textFill>
        </w:rPr>
        <w:t>通过</w:t>
      </w:r>
      <w:r>
        <w:rPr>
          <w:rFonts w:hint="eastAsia" w:ascii="Times New Roman" w:hAnsi="Times New Roman" w:eastAsia="宋体"/>
          <w:color w:val="000000" w:themeColor="text1"/>
          <w:kern w:val="0"/>
          <w:sz w:val="24"/>
          <w:szCs w:val="32"/>
          <w:highlight w:val="none"/>
          <w14:textFill>
            <w14:solidFill>
              <w14:schemeClr w14:val="tx1"/>
            </w14:solidFill>
          </w14:textFill>
        </w:rPr>
        <w:t>降低堆场内的风速，减少起尘量；周边安装喷淋洒水装置，对堆场进行洒水抑尘后，堆场粉尘产生量较小，本评价不对其进行定量分析，仅对措施进行定性分析。</w:t>
      </w:r>
    </w:p>
    <w:p>
      <w:pPr>
        <w:pStyle w:val="100"/>
        <w:pageBreakBefore w:val="0"/>
        <w:kinsoku/>
        <w:bidi w:val="0"/>
        <w:spacing w:beforeAutospacing="0" w:afterAutospacing="0" w:line="360" w:lineRule="auto"/>
        <w:ind w:firstLine="480" w:firstLineChars="200"/>
        <w:rPr>
          <w:rFonts w:hint="eastAsia" w:ascii="Times New Roman" w:hAnsi="Times New Roman" w:eastAsia="宋体"/>
          <w:color w:val="000000" w:themeColor="text1"/>
          <w:kern w:val="0"/>
          <w:sz w:val="24"/>
          <w:szCs w:val="32"/>
          <w:highlight w:val="none"/>
          <w14:textFill>
            <w14:solidFill>
              <w14:schemeClr w14:val="tx1"/>
            </w14:solidFill>
          </w14:textFill>
        </w:rPr>
      </w:pPr>
      <w:r>
        <w:rPr>
          <w:rFonts w:hint="eastAsia" w:ascii="Times New Roman" w:hAnsi="Times New Roman" w:eastAsia="宋体"/>
          <w:color w:val="000000" w:themeColor="text1"/>
          <w:kern w:val="0"/>
          <w:sz w:val="24"/>
          <w:szCs w:val="32"/>
          <w:highlight w:val="none"/>
          <w:lang w:val="en-US" w:eastAsia="zh-CN"/>
          <w14:textFill>
            <w14:solidFill>
              <w14:schemeClr w14:val="tx1"/>
            </w14:solidFill>
          </w14:textFill>
        </w:rPr>
        <w:t>本项目河砂</w:t>
      </w:r>
      <w:r>
        <w:rPr>
          <w:rFonts w:hint="eastAsia" w:ascii="Times New Roman" w:hAnsi="Times New Roman" w:eastAsia="宋体"/>
          <w:color w:val="000000" w:themeColor="text1"/>
          <w:kern w:val="0"/>
          <w:sz w:val="24"/>
          <w:szCs w:val="32"/>
          <w:highlight w:val="none"/>
          <w14:textFill>
            <w14:solidFill>
              <w14:schemeClr w14:val="tx1"/>
            </w14:solidFill>
          </w14:textFill>
        </w:rPr>
        <w:t>的堆存时间均为3-4天，</w:t>
      </w:r>
      <w:r>
        <w:rPr>
          <w:rFonts w:hint="eastAsia" w:ascii="Times New Roman" w:hAnsi="Times New Roman" w:eastAsia="宋体"/>
          <w:color w:val="000000" w:themeColor="text1"/>
          <w:kern w:val="0"/>
          <w:sz w:val="24"/>
          <w:szCs w:val="32"/>
          <w:highlight w:val="none"/>
          <w:lang w:val="en-US" w:eastAsia="zh-CN"/>
          <w14:textFill>
            <w14:solidFill>
              <w14:schemeClr w14:val="tx1"/>
            </w14:solidFill>
          </w14:textFill>
        </w:rPr>
        <w:t>河砂</w:t>
      </w:r>
      <w:r>
        <w:rPr>
          <w:rFonts w:hint="eastAsia" w:ascii="Times New Roman" w:hAnsi="Times New Roman" w:eastAsia="宋体"/>
          <w:color w:val="000000" w:themeColor="text1"/>
          <w:kern w:val="0"/>
          <w:sz w:val="24"/>
          <w:szCs w:val="32"/>
          <w:highlight w:val="none"/>
          <w14:textFill>
            <w14:solidFill>
              <w14:schemeClr w14:val="tx1"/>
            </w14:solidFill>
          </w14:textFill>
        </w:rPr>
        <w:t>堆存量为</w:t>
      </w:r>
      <w:r>
        <w:rPr>
          <w:rFonts w:hint="eastAsia" w:ascii="Times New Roman" w:hAnsi="Times New Roman" w:eastAsia="宋体"/>
          <w:color w:val="000000" w:themeColor="text1"/>
          <w:kern w:val="0"/>
          <w:sz w:val="24"/>
          <w:szCs w:val="32"/>
          <w:highlight w:val="none"/>
          <w:lang w:val="en-US" w:eastAsia="zh-CN"/>
          <w14:textFill>
            <w14:solidFill>
              <w14:schemeClr w14:val="tx1"/>
            </w14:solidFill>
          </w14:textFill>
        </w:rPr>
        <w:t>400000</w:t>
      </w:r>
      <w:r>
        <w:rPr>
          <w:rFonts w:hint="eastAsia" w:ascii="Times New Roman" w:hAnsi="Times New Roman" w:eastAsia="宋体"/>
          <w:color w:val="000000" w:themeColor="text1"/>
          <w:kern w:val="0"/>
          <w:sz w:val="24"/>
          <w:szCs w:val="32"/>
          <w:highlight w:val="none"/>
          <w14:textFill>
            <w14:solidFill>
              <w14:schemeClr w14:val="tx1"/>
            </w14:solidFill>
          </w14:textFill>
        </w:rPr>
        <w:t>t/</w:t>
      </w:r>
      <w:r>
        <w:rPr>
          <w:rFonts w:hint="eastAsia" w:ascii="Times New Roman" w:hAnsi="Times New Roman" w:eastAsia="宋体"/>
          <w:color w:val="000000" w:themeColor="text1"/>
          <w:kern w:val="0"/>
          <w:sz w:val="24"/>
          <w:szCs w:val="32"/>
          <w:highlight w:val="none"/>
          <w:lang w:val="en-US" w:eastAsia="zh-CN"/>
          <w14:textFill>
            <w14:solidFill>
              <w14:schemeClr w14:val="tx1"/>
            </w14:solidFill>
          </w14:textFill>
        </w:rPr>
        <w:t>a</w:t>
      </w:r>
      <w:r>
        <w:rPr>
          <w:rFonts w:hint="eastAsia" w:ascii="Times New Roman" w:hAnsi="Times New Roman" w:eastAsia="宋体"/>
          <w:color w:val="000000" w:themeColor="text1"/>
          <w:kern w:val="0"/>
          <w:sz w:val="24"/>
          <w:szCs w:val="32"/>
          <w:highlight w:val="none"/>
          <w14:textFill>
            <w14:solidFill>
              <w14:schemeClr w14:val="tx1"/>
            </w14:solidFill>
          </w14:textFill>
        </w:rPr>
        <w:t>，根据《逸散性工业粉尘控制技术》（中国环境科学出版社），粉尘排放因子为0.0465kg/t（石料），故本项目在堆料过程中产生的粉尘量约为</w:t>
      </w:r>
      <w:r>
        <w:rPr>
          <w:rFonts w:hint="eastAsia" w:ascii="Times New Roman" w:hAnsi="Times New Roman" w:eastAsia="宋体"/>
          <w:color w:val="000000" w:themeColor="text1"/>
          <w:kern w:val="0"/>
          <w:sz w:val="24"/>
          <w:szCs w:val="32"/>
          <w:highlight w:val="none"/>
          <w:lang w:val="en-US" w:eastAsia="zh-CN"/>
          <w14:textFill>
            <w14:solidFill>
              <w14:schemeClr w14:val="tx1"/>
            </w14:solidFill>
          </w14:textFill>
        </w:rPr>
        <w:t>18.6</w:t>
      </w:r>
      <w:r>
        <w:rPr>
          <w:rFonts w:hint="eastAsia" w:ascii="Times New Roman" w:hAnsi="Times New Roman" w:eastAsia="宋体"/>
          <w:color w:val="000000" w:themeColor="text1"/>
          <w:kern w:val="0"/>
          <w:sz w:val="24"/>
          <w:szCs w:val="32"/>
          <w:highlight w:val="none"/>
          <w14:textFill>
            <w14:solidFill>
              <w14:schemeClr w14:val="tx1"/>
            </w14:solidFill>
          </w14:textFill>
        </w:rPr>
        <w:t>t/a。</w:t>
      </w:r>
    </w:p>
    <w:p>
      <w:pPr>
        <w:pStyle w:val="100"/>
        <w:pageBreakBefore w:val="0"/>
        <w:kinsoku/>
        <w:bidi w:val="0"/>
        <w:spacing w:beforeAutospacing="0" w:afterAutospacing="0"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堆场安装洒水设施，定期洒水，保持堆表层湿润度，洒水设施根据风送原理，先使用进口高压泵、微细雾化喷嘴将水雾化，再利用风机风量和风压将雾化后的水雾送到较远距离，使得水雾到达较远距离同时能够覆盖更大面积，水雾与粉尘凝结后降落，从而达到降尘目的。堆场采取定期洒水降尘措施后，扬尘无组织排放量可降低</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9</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%，故</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河砂</w:t>
      </w:r>
      <w:r>
        <w:rPr>
          <w:rFonts w:hint="default" w:ascii="Times New Roman" w:hAnsi="Times New Roman" w:eastAsia="宋体" w:cs="Times New Roman"/>
          <w:color w:val="000000" w:themeColor="text1"/>
          <w:sz w:val="24"/>
          <w:szCs w:val="24"/>
          <w:highlight w:val="none"/>
          <w14:textFill>
            <w14:solidFill>
              <w14:schemeClr w14:val="tx1"/>
            </w14:solidFill>
          </w14:textFill>
        </w:rPr>
        <w:t>堆料粉尘排放量为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0.93</w:t>
      </w:r>
      <w:r>
        <w:rPr>
          <w:rFonts w:hint="default" w:ascii="Times New Roman" w:hAnsi="Times New Roman" w:eastAsia="宋体" w:cs="Times New Roman"/>
          <w:color w:val="000000" w:themeColor="text1"/>
          <w:sz w:val="24"/>
          <w:szCs w:val="24"/>
          <w:highlight w:val="none"/>
          <w14:textFill>
            <w14:solidFill>
              <w14:schemeClr w14:val="tx1"/>
            </w14:solidFill>
          </w14:textFill>
        </w:rPr>
        <w:t>t/a。</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outlineLvl w:val="0"/>
        <w:rPr>
          <w:rFonts w:hint="eastAsia" w:ascii="Times New Roman" w:hAnsi="Times New Roman" w:eastAsia="宋体" w:cs="Times New Roman"/>
          <w:b/>
          <w:bCs/>
          <w:color w:val="000000" w:themeColor="text1"/>
          <w:sz w:val="32"/>
          <w:szCs w:val="40"/>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32"/>
          <w:szCs w:val="40"/>
          <w:highlight w:val="none"/>
          <w:lang w:val="en-US" w:eastAsia="zh-CN"/>
          <w14:textFill>
            <w14:solidFill>
              <w14:schemeClr w14:val="tx1"/>
            </w14:solidFill>
          </w14:textFill>
        </w:rPr>
        <w:t>3、气象条件与环境质量</w:t>
      </w:r>
    </w:p>
    <w:p>
      <w:pPr>
        <w:pStyle w:val="11"/>
        <w:pageBreakBefore w:val="0"/>
        <w:kinsoku/>
        <w:bidi w:val="0"/>
        <w:spacing w:beforeAutospacing="0" w:afterAutospacing="0"/>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3.1污染气象分析</w:t>
      </w:r>
    </w:p>
    <w:p>
      <w:pPr>
        <w:pageBreakBefore w:val="0"/>
        <w:widowControl w:val="0"/>
        <w:kinsoku/>
        <w:bidi w:val="0"/>
        <w:spacing w:beforeAutospacing="0" w:afterAutospacing="0" w:line="360" w:lineRule="auto"/>
        <w:ind w:firstLine="480" w:firstLineChars="200"/>
        <w:jc w:val="both"/>
        <w:rPr>
          <w:rFonts w:hint="default" w:ascii="Times New Roman" w:hAnsi="Times New Roman" w:eastAsia="宋体" w:cs="Times New Roman"/>
          <w:color w:val="000000" w:themeColor="text1"/>
          <w:kern w:val="2"/>
          <w:sz w:val="24"/>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4"/>
          <w:lang w:val="en-US" w:eastAsia="zh-CN" w:bidi="ar-SA"/>
          <w14:textFill>
            <w14:solidFill>
              <w14:schemeClr w14:val="tx1"/>
            </w14:solidFill>
          </w14:textFill>
        </w:rPr>
        <w:t>地面气象资料来源于</w:t>
      </w:r>
      <w: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t>福鼎</w:t>
      </w:r>
      <w:r>
        <w:rPr>
          <w:rFonts w:hint="default" w:ascii="Times New Roman" w:hAnsi="Times New Roman" w:eastAsia="宋体" w:cs="Times New Roman"/>
          <w:color w:val="000000" w:themeColor="text1"/>
          <w:kern w:val="2"/>
          <w:sz w:val="24"/>
          <w:lang w:val="en-US" w:eastAsia="zh-CN" w:bidi="ar-SA"/>
          <w14:textFill>
            <w14:solidFill>
              <w14:schemeClr w14:val="tx1"/>
            </w14:solidFill>
          </w14:textFill>
        </w:rPr>
        <w:t>气象站，福鼎市气象站（58754）位于福建省宁德市福鼎市，地理坐标为东经120.20度，北纬27.33度，海拔高度36.00米。距离本次项目约</w:t>
      </w:r>
      <w: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t>30</w:t>
      </w:r>
      <w:r>
        <w:rPr>
          <w:rFonts w:hint="default" w:ascii="Times New Roman" w:hAnsi="Times New Roman" w:eastAsia="宋体" w:cs="Times New Roman"/>
          <w:color w:val="000000" w:themeColor="text1"/>
          <w:kern w:val="2"/>
          <w:sz w:val="24"/>
          <w:lang w:val="en-US" w:eastAsia="zh-CN" w:bidi="ar-SA"/>
          <w14:textFill>
            <w14:solidFill>
              <w14:schemeClr w14:val="tx1"/>
            </w14:solidFill>
          </w14:textFill>
        </w:rPr>
        <w:t>km。以下是该气象站提供的20</w:t>
      </w:r>
      <w: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t>21</w:t>
      </w:r>
      <w:r>
        <w:rPr>
          <w:rFonts w:hint="default" w:ascii="Times New Roman" w:hAnsi="Times New Roman" w:eastAsia="宋体" w:cs="Times New Roman"/>
          <w:color w:val="000000" w:themeColor="text1"/>
          <w:kern w:val="2"/>
          <w:sz w:val="24"/>
          <w:lang w:val="en-US" w:eastAsia="zh-CN" w:bidi="ar-SA"/>
          <w14:textFill>
            <w14:solidFill>
              <w14:schemeClr w14:val="tx1"/>
            </w14:solidFill>
          </w14:textFill>
        </w:rPr>
        <w:t>年全年常规地面气象观测资料。</w:t>
      </w:r>
    </w:p>
    <w:p>
      <w:pPr>
        <w:pageBreakBefore w:val="0"/>
        <w:widowControl w:val="0"/>
        <w:kinsoku/>
        <w:bidi w:val="0"/>
        <w:spacing w:beforeAutospacing="0" w:afterAutospacing="0" w:line="360" w:lineRule="auto"/>
        <w:ind w:firstLine="480" w:firstLineChars="200"/>
        <w:jc w:val="both"/>
        <w:rPr>
          <w:rFonts w:ascii="Times New Roman" w:hAnsi="Times New Roman" w:eastAsia="宋体" w:cs="Times New Roman"/>
          <w:color w:val="000000" w:themeColor="text1"/>
          <w:kern w:val="2"/>
          <w:sz w:val="24"/>
          <w:lang w:val="en-US" w:eastAsia="zh-CN" w:bidi="ar-SA"/>
          <w14:textFill>
            <w14:solidFill>
              <w14:schemeClr w14:val="tx1"/>
            </w14:solidFill>
          </w14:textFill>
        </w:rPr>
      </w:pPr>
      <w:r>
        <w:rPr>
          <w:rFonts w:ascii="Times New Roman" w:hAnsi="Times New Roman" w:eastAsia="宋体" w:cs="Times New Roman"/>
          <w:color w:val="000000" w:themeColor="text1"/>
          <w:kern w:val="2"/>
          <w:sz w:val="24"/>
          <w:lang w:val="en-US" w:eastAsia="zh-CN" w:bidi="ar-SA"/>
          <w14:textFill>
            <w14:solidFill>
              <w14:schemeClr w14:val="tx1"/>
            </w14:solidFill>
          </w14:textFill>
        </w:rPr>
        <w:t>（1）温度</w:t>
      </w:r>
    </w:p>
    <w:p>
      <w:pPr>
        <w:pageBreakBefore w:val="0"/>
        <w:widowControl w:val="0"/>
        <w:kinsoku/>
        <w:bidi w:val="0"/>
        <w:spacing w:beforeAutospacing="0" w:afterAutospacing="0" w:line="360" w:lineRule="auto"/>
        <w:ind w:firstLine="420" w:firstLineChars="200"/>
        <w:jc w:val="both"/>
        <w:rPr>
          <w:rFonts w:ascii="Times New Roman" w:hAnsi="Times New Roman" w:eastAsia="宋体" w:cs="Times New Roman"/>
          <w:color w:val="000000" w:themeColor="text1"/>
          <w:kern w:val="2"/>
          <w:sz w:val="24"/>
          <w:lang w:val="en-US" w:eastAsia="zh-CN" w:bidi="ar-SA"/>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福鼎年平均气温</w:t>
      </w:r>
      <w:r>
        <w:rPr>
          <w:rFonts w:ascii="Times New Roman" w:hAnsi="Times New Roman" w:eastAsia="宋体" w:cs="Times New Roman"/>
          <w:color w:val="000000" w:themeColor="text1"/>
          <w:lang w:val="en-US"/>
          <w14:textFill>
            <w14:solidFill>
              <w14:schemeClr w14:val="tx1"/>
            </w14:solidFill>
          </w14:textFill>
        </w:rPr>
        <w:t>20.50</w:t>
      </w:r>
      <w:r>
        <w:rPr>
          <w:rFonts w:ascii="Times New Roman" w:hAnsi="Times New Roman" w:eastAsia="宋体" w:cs="Times New Roman"/>
          <w:color w:val="000000" w:themeColor="text1"/>
          <w14:textFill>
            <w14:solidFill>
              <w14:schemeClr w14:val="tx1"/>
            </w14:solidFill>
          </w14:textFill>
        </w:rPr>
        <w:t>℃，最冷月1月平均气温</w:t>
      </w:r>
      <w:r>
        <w:rPr>
          <w:rFonts w:ascii="Times New Roman" w:hAnsi="Times New Roman" w:eastAsia="宋体" w:cs="Times New Roman"/>
          <w:color w:val="000000" w:themeColor="text1"/>
          <w:lang w:val="en-US"/>
          <w14:textFill>
            <w14:solidFill>
              <w14:schemeClr w14:val="tx1"/>
            </w14:solidFill>
          </w14:textFill>
        </w:rPr>
        <w:t>9.78</w:t>
      </w:r>
      <w:r>
        <w:rPr>
          <w:rFonts w:ascii="Times New Roman" w:hAnsi="Times New Roman" w:eastAsia="宋体" w:cs="Times New Roman"/>
          <w:color w:val="000000" w:themeColor="text1"/>
          <w14:textFill>
            <w14:solidFill>
              <w14:schemeClr w14:val="tx1"/>
            </w14:solidFill>
          </w14:textFill>
        </w:rPr>
        <w:t>℃，最热月</w:t>
      </w:r>
      <w:r>
        <w:rPr>
          <w:rFonts w:ascii="Times New Roman" w:hAnsi="Times New Roman" w:eastAsia="宋体" w:cs="Times New Roman"/>
          <w:color w:val="000000" w:themeColor="text1"/>
          <w:lang w:val="en-US"/>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月平均气温29.</w:t>
      </w:r>
      <w:r>
        <w:rPr>
          <w:rFonts w:ascii="Times New Roman" w:hAnsi="Times New Roman" w:eastAsia="宋体" w:cs="Times New Roman"/>
          <w:color w:val="000000" w:themeColor="text1"/>
          <w:lang w:val="en-US"/>
          <w14:textFill>
            <w14:solidFill>
              <w14:schemeClr w14:val="tx1"/>
            </w14:solidFill>
          </w14:textFill>
        </w:rPr>
        <w:t>74</w:t>
      </w:r>
      <w:r>
        <w:rPr>
          <w:rFonts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2"/>
          <w:sz w:val="24"/>
          <w:lang w:val="en-US" w:eastAsia="zh-CN" w:bidi="ar-SA"/>
          <w14:textFill>
            <w14:solidFill>
              <w14:schemeClr w14:val="tx1"/>
            </w14:solidFill>
          </w14:textFill>
        </w:rPr>
        <w:t>年平均温度变化详见表</w:t>
      </w:r>
      <w: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t>3</w:t>
      </w:r>
      <w:r>
        <w:rPr>
          <w:rFonts w:ascii="Times New Roman" w:hAnsi="Times New Roman" w:eastAsia="宋体" w:cs="Times New Roman"/>
          <w:color w:val="000000" w:themeColor="text1"/>
          <w:kern w:val="2"/>
          <w:sz w:val="24"/>
          <w:lang w:val="en-US" w:eastAsia="zh-CN" w:bidi="ar-SA"/>
          <w14:textFill>
            <w14:solidFill>
              <w14:schemeClr w14:val="tx1"/>
            </w14:solidFill>
          </w14:textFill>
        </w:rPr>
        <w:t>.1-1及图</w:t>
      </w:r>
      <w: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t>3</w:t>
      </w:r>
      <w:r>
        <w:rPr>
          <w:rFonts w:ascii="Times New Roman" w:hAnsi="Times New Roman" w:eastAsia="宋体" w:cs="Times New Roman"/>
          <w:color w:val="000000" w:themeColor="text1"/>
          <w:kern w:val="2"/>
          <w:sz w:val="24"/>
          <w:lang w:val="en-US" w:eastAsia="zh-CN" w:bidi="ar-SA"/>
          <w14:textFill>
            <w14:solidFill>
              <w14:schemeClr w14:val="tx1"/>
            </w14:solidFill>
          </w14:textFill>
        </w:rPr>
        <w:t>.1-1。</w:t>
      </w:r>
    </w:p>
    <w:p>
      <w:pPr>
        <w:pageBreakBefore w:val="0"/>
        <w:widowControl w:val="0"/>
        <w:kinsoku/>
        <w:bidi w:val="0"/>
        <w:spacing w:beforeAutospacing="0" w:afterAutospacing="0" w:line="360" w:lineRule="auto"/>
        <w:jc w:val="center"/>
        <w:rPr>
          <w:rFonts w:ascii="Times New Roman" w:hAnsi="Times New Roman" w:eastAsia="宋体" w:cs="Times New Roman"/>
          <w:b/>
          <w:color w:val="000000" w:themeColor="text1"/>
          <w:sz w:val="24"/>
          <w:szCs w:val="28"/>
          <w:lang w:val="en-US" w:eastAsia="zh-CN" w:bidi="ar-SA"/>
          <w14:textFill>
            <w14:solidFill>
              <w14:schemeClr w14:val="tx1"/>
            </w14:solidFill>
          </w14:textFill>
        </w:rPr>
      </w:pPr>
      <w:r>
        <w:rPr>
          <w:rFonts w:ascii="Times New Roman" w:hAnsi="Times New Roman" w:eastAsia="宋体" w:cs="Times New Roman"/>
          <w:b/>
          <w:color w:val="000000" w:themeColor="text1"/>
          <w:sz w:val="24"/>
          <w:szCs w:val="28"/>
          <w:lang w:val="en-US" w:eastAsia="zh-CN" w:bidi="ar-SA"/>
          <w14:textFill>
            <w14:solidFill>
              <w14:schemeClr w14:val="tx1"/>
            </w14:solidFill>
          </w14:textFill>
        </w:rPr>
        <w:t>表</w:t>
      </w:r>
      <w:r>
        <w:rPr>
          <w:rFonts w:hint="eastAsia" w:ascii="Times New Roman" w:hAnsi="Times New Roman" w:eastAsia="宋体" w:cs="Times New Roman"/>
          <w:b/>
          <w:color w:val="000000" w:themeColor="text1"/>
          <w:sz w:val="24"/>
          <w:szCs w:val="28"/>
          <w:lang w:val="en-US" w:eastAsia="zh-CN" w:bidi="ar-SA"/>
          <w14:textFill>
            <w14:solidFill>
              <w14:schemeClr w14:val="tx1"/>
            </w14:solidFill>
          </w14:textFill>
        </w:rPr>
        <w:t>3</w:t>
      </w:r>
      <w:r>
        <w:rPr>
          <w:rFonts w:ascii="Times New Roman" w:hAnsi="Times New Roman" w:eastAsia="宋体" w:cs="Times New Roman"/>
          <w:b/>
          <w:color w:val="000000" w:themeColor="text1"/>
          <w:sz w:val="24"/>
          <w:szCs w:val="28"/>
          <w:lang w:val="en-US" w:eastAsia="zh-CN" w:bidi="ar-SA"/>
          <w14:textFill>
            <w14:solidFill>
              <w14:schemeClr w14:val="tx1"/>
            </w14:solidFill>
          </w14:textFill>
        </w:rPr>
        <w:t>.1-1  年平均温度月变化曲线</w:t>
      </w:r>
    </w:p>
    <w:tbl>
      <w:tblPr>
        <w:tblStyle w:val="33"/>
        <w:tblW w:w="9277"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13"/>
        <w:gridCol w:w="584"/>
        <w:gridCol w:w="689"/>
        <w:gridCol w:w="689"/>
        <w:gridCol w:w="689"/>
        <w:gridCol w:w="689"/>
        <w:gridCol w:w="689"/>
        <w:gridCol w:w="689"/>
        <w:gridCol w:w="689"/>
        <w:gridCol w:w="689"/>
        <w:gridCol w:w="689"/>
        <w:gridCol w:w="689"/>
        <w:gridCol w:w="690"/>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13"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月份</w:t>
            </w:r>
          </w:p>
        </w:tc>
        <w:tc>
          <w:tcPr>
            <w:tcW w:w="584"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1月</w:t>
            </w:r>
          </w:p>
        </w:tc>
        <w:tc>
          <w:tcPr>
            <w:tcW w:w="68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2月</w:t>
            </w:r>
          </w:p>
        </w:tc>
        <w:tc>
          <w:tcPr>
            <w:tcW w:w="68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3月</w:t>
            </w:r>
          </w:p>
        </w:tc>
        <w:tc>
          <w:tcPr>
            <w:tcW w:w="68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4月</w:t>
            </w:r>
          </w:p>
        </w:tc>
        <w:tc>
          <w:tcPr>
            <w:tcW w:w="68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5月</w:t>
            </w:r>
          </w:p>
        </w:tc>
        <w:tc>
          <w:tcPr>
            <w:tcW w:w="68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6月</w:t>
            </w:r>
          </w:p>
        </w:tc>
        <w:tc>
          <w:tcPr>
            <w:tcW w:w="68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7月</w:t>
            </w:r>
          </w:p>
        </w:tc>
        <w:tc>
          <w:tcPr>
            <w:tcW w:w="68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8月</w:t>
            </w:r>
          </w:p>
        </w:tc>
        <w:tc>
          <w:tcPr>
            <w:tcW w:w="68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9月</w:t>
            </w:r>
          </w:p>
        </w:tc>
        <w:tc>
          <w:tcPr>
            <w:tcW w:w="68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10月</w:t>
            </w:r>
          </w:p>
        </w:tc>
        <w:tc>
          <w:tcPr>
            <w:tcW w:w="68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11月</w:t>
            </w:r>
          </w:p>
        </w:tc>
        <w:tc>
          <w:tcPr>
            <w:tcW w:w="69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12月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13"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温度(℃)</w:t>
            </w:r>
          </w:p>
        </w:tc>
        <w:tc>
          <w:tcPr>
            <w:tcW w:w="584"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9.78</w:t>
            </w:r>
          </w:p>
        </w:tc>
        <w:tc>
          <w:tcPr>
            <w:tcW w:w="68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14.28</w:t>
            </w:r>
          </w:p>
        </w:tc>
        <w:tc>
          <w:tcPr>
            <w:tcW w:w="68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15.67</w:t>
            </w:r>
          </w:p>
        </w:tc>
        <w:tc>
          <w:tcPr>
            <w:tcW w:w="68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18.71</w:t>
            </w:r>
          </w:p>
        </w:tc>
        <w:tc>
          <w:tcPr>
            <w:tcW w:w="68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23.44</w:t>
            </w:r>
          </w:p>
        </w:tc>
        <w:tc>
          <w:tcPr>
            <w:tcW w:w="68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27.01</w:t>
            </w:r>
          </w:p>
        </w:tc>
        <w:tc>
          <w:tcPr>
            <w:tcW w:w="68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29.74</w:t>
            </w:r>
          </w:p>
        </w:tc>
        <w:tc>
          <w:tcPr>
            <w:tcW w:w="68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28.17</w:t>
            </w:r>
          </w:p>
        </w:tc>
        <w:tc>
          <w:tcPr>
            <w:tcW w:w="68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28.17</w:t>
            </w:r>
          </w:p>
        </w:tc>
        <w:tc>
          <w:tcPr>
            <w:tcW w:w="68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22.32</w:t>
            </w:r>
          </w:p>
        </w:tc>
        <w:tc>
          <w:tcPr>
            <w:tcW w:w="68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16.21</w:t>
            </w:r>
          </w:p>
        </w:tc>
        <w:tc>
          <w:tcPr>
            <w:tcW w:w="69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12.14</w:t>
            </w:r>
          </w:p>
        </w:tc>
      </w:tr>
    </w:tbl>
    <w:p>
      <w:pPr>
        <w:pageBreakBefore w:val="0"/>
        <w:widowControl w:val="0"/>
        <w:kinsoku/>
        <w:bidi w:val="0"/>
        <w:spacing w:beforeAutospacing="0" w:afterAutospacing="0" w:line="360" w:lineRule="auto"/>
        <w:ind w:firstLine="0" w:firstLineChars="0"/>
        <w:jc w:val="center"/>
        <w:rPr>
          <w:rFonts w:ascii="Times New Roman" w:hAnsi="Times New Roman" w:eastAsia="宋体"/>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drawing>
          <wp:inline distT="0" distB="0" distL="114300" distR="114300">
            <wp:extent cx="5796280" cy="2219960"/>
            <wp:effectExtent l="4445" t="4445" r="9525" b="23495"/>
            <wp:docPr id="204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0"/>
        <w:jc w:val="center"/>
        <w:textAlignment w:val="auto"/>
        <w:rPr>
          <w:rFonts w:ascii="Times New Roman" w:hAnsi="Times New Roman" w:eastAsia="宋体" w:cs="Times New Roman"/>
          <w:b/>
          <w:color w:val="000000" w:themeColor="text1"/>
          <w:sz w:val="24"/>
          <w:szCs w:val="28"/>
          <w:lang w:val="en-US" w:eastAsia="zh-CN" w:bidi="ar-SA"/>
          <w14:textFill>
            <w14:solidFill>
              <w14:schemeClr w14:val="tx1"/>
            </w14:solidFill>
          </w14:textFill>
        </w:rPr>
      </w:pPr>
      <w:r>
        <w:rPr>
          <w:rFonts w:ascii="Times New Roman" w:hAnsi="Times New Roman" w:eastAsia="宋体" w:cs="Times New Roman"/>
          <w:b/>
          <w:color w:val="000000" w:themeColor="text1"/>
          <w:sz w:val="24"/>
          <w:szCs w:val="28"/>
          <w:lang w:val="en-US" w:eastAsia="zh-CN" w:bidi="ar-SA"/>
          <w14:textFill>
            <w14:solidFill>
              <w14:schemeClr w14:val="tx1"/>
            </w14:solidFill>
          </w14:textFill>
        </w:rPr>
        <w:t>图</w:t>
      </w:r>
      <w:r>
        <w:rPr>
          <w:rFonts w:hint="eastAsia" w:ascii="Times New Roman" w:hAnsi="Times New Roman" w:eastAsia="宋体" w:cs="Times New Roman"/>
          <w:b/>
          <w:color w:val="000000" w:themeColor="text1"/>
          <w:sz w:val="24"/>
          <w:szCs w:val="28"/>
          <w:lang w:val="en-US" w:eastAsia="zh-CN" w:bidi="ar-SA"/>
          <w14:textFill>
            <w14:solidFill>
              <w14:schemeClr w14:val="tx1"/>
            </w14:solidFill>
          </w14:textFill>
        </w:rPr>
        <w:t>3</w:t>
      </w:r>
      <w:r>
        <w:rPr>
          <w:rFonts w:ascii="Times New Roman" w:hAnsi="Times New Roman" w:eastAsia="宋体" w:cs="Times New Roman"/>
          <w:b/>
          <w:color w:val="000000" w:themeColor="text1"/>
          <w:sz w:val="24"/>
          <w:szCs w:val="28"/>
          <w:lang w:val="en-US" w:eastAsia="zh-CN" w:bidi="ar-SA"/>
          <w14:textFill>
            <w14:solidFill>
              <w14:schemeClr w14:val="tx1"/>
            </w14:solidFill>
          </w14:textFill>
        </w:rPr>
        <w:t>.1-1  年平均温度月变化曲线</w:t>
      </w:r>
    </w:p>
    <w:p>
      <w:pPr>
        <w:pageBreakBefore w:val="0"/>
        <w:widowControl w:val="0"/>
        <w:kinsoku/>
        <w:bidi w:val="0"/>
        <w:spacing w:beforeAutospacing="0" w:afterAutospacing="0" w:line="360" w:lineRule="auto"/>
        <w:ind w:firstLine="480" w:firstLineChars="200"/>
        <w:jc w:val="both"/>
        <w:rPr>
          <w:rFonts w:ascii="Times New Roman" w:hAnsi="Times New Roman" w:eastAsia="宋体" w:cs="Times New Roman"/>
          <w:color w:val="000000" w:themeColor="text1"/>
          <w:kern w:val="2"/>
          <w:sz w:val="24"/>
          <w:lang w:val="en-US" w:eastAsia="zh-CN" w:bidi="ar-SA"/>
          <w14:textFill>
            <w14:solidFill>
              <w14:schemeClr w14:val="tx1"/>
            </w14:solidFill>
          </w14:textFill>
        </w:rPr>
      </w:pPr>
      <w:r>
        <w:rPr>
          <w:rFonts w:ascii="Times New Roman" w:hAnsi="Times New Roman" w:eastAsia="宋体" w:cs="Times New Roman"/>
          <w:color w:val="000000" w:themeColor="text1"/>
          <w:kern w:val="2"/>
          <w:sz w:val="24"/>
          <w:lang w:val="en-US" w:eastAsia="zh-CN" w:bidi="ar-SA"/>
          <w14:textFill>
            <w14:solidFill>
              <w14:schemeClr w14:val="tx1"/>
            </w14:solidFill>
          </w14:textFill>
        </w:rPr>
        <w:t>（2）风速</w:t>
      </w:r>
    </w:p>
    <w:p>
      <w:pPr>
        <w:pageBreakBefore w:val="0"/>
        <w:widowControl w:val="0"/>
        <w:kinsoku/>
        <w:bidi w:val="0"/>
        <w:spacing w:beforeAutospacing="0" w:afterAutospacing="0" w:line="360" w:lineRule="auto"/>
        <w:ind w:firstLine="480" w:firstLineChars="200"/>
        <w:jc w:val="both"/>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t>福鼎年平均风速1.60 m/s。风速日变化较为明显，各季风速日变化相似，为单峰谷型。一般在半夜时分最小，日出后风速开始逐渐增大，至傍晚15时风速达到最大，约2.98m/s；日落后风速逐渐降低，至5时风速最小，约0.82m/s。</w:t>
      </w:r>
    </w:p>
    <w:p>
      <w:pPr>
        <w:pageBreakBefore w:val="0"/>
        <w:widowControl w:val="0"/>
        <w:kinsoku/>
        <w:bidi w:val="0"/>
        <w:spacing w:beforeAutospacing="0" w:afterAutospacing="0" w:line="360" w:lineRule="auto"/>
        <w:ind w:firstLine="480" w:firstLineChars="200"/>
        <w:jc w:val="both"/>
        <w:rPr>
          <w:rFonts w:ascii="Times New Roman" w:hAnsi="Times New Roman" w:eastAsia="宋体" w:cs="Times New Roman"/>
          <w:color w:val="000000" w:themeColor="text1"/>
          <w:kern w:val="2"/>
          <w:sz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t>福鼎月平均风速随月份的变化和季小时平均风速的日变化情况</w:t>
      </w:r>
      <w:r>
        <w:rPr>
          <w:rFonts w:ascii="Times New Roman" w:hAnsi="Times New Roman" w:eastAsia="宋体" w:cs="Times New Roman"/>
          <w:color w:val="000000" w:themeColor="text1"/>
          <w:kern w:val="2"/>
          <w:sz w:val="24"/>
          <w:lang w:val="en-US" w:eastAsia="zh-CN" w:bidi="ar-SA"/>
          <w14:textFill>
            <w14:solidFill>
              <w14:schemeClr w14:val="tx1"/>
            </w14:solidFill>
          </w14:textFill>
        </w:rPr>
        <w:t>详见表</w:t>
      </w:r>
      <w: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t>3</w:t>
      </w:r>
      <w:r>
        <w:rPr>
          <w:rFonts w:ascii="Times New Roman" w:hAnsi="Times New Roman" w:eastAsia="宋体" w:cs="Times New Roman"/>
          <w:color w:val="000000" w:themeColor="text1"/>
          <w:kern w:val="2"/>
          <w:sz w:val="24"/>
          <w:lang w:val="en-US" w:eastAsia="zh-CN" w:bidi="ar-SA"/>
          <w14:textFill>
            <w14:solidFill>
              <w14:schemeClr w14:val="tx1"/>
            </w14:solidFill>
          </w14:textFill>
        </w:rPr>
        <w:t>.1-2及</w:t>
      </w:r>
      <w: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t>3</w:t>
      </w:r>
      <w:r>
        <w:rPr>
          <w:rFonts w:ascii="Times New Roman" w:hAnsi="Times New Roman" w:eastAsia="宋体" w:cs="Times New Roman"/>
          <w:color w:val="000000" w:themeColor="text1"/>
          <w:kern w:val="2"/>
          <w:sz w:val="24"/>
          <w:lang w:val="en-US" w:eastAsia="zh-CN" w:bidi="ar-SA"/>
          <w14:textFill>
            <w14:solidFill>
              <w14:schemeClr w14:val="tx1"/>
            </w14:solidFill>
          </w14:textFill>
        </w:rPr>
        <w:t>.1-3，平均风速的月变化及季小时平均风速的日变化曲线详见图</w:t>
      </w:r>
      <w: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t>3</w:t>
      </w:r>
      <w:r>
        <w:rPr>
          <w:rFonts w:ascii="Times New Roman" w:hAnsi="Times New Roman" w:eastAsia="宋体" w:cs="Times New Roman"/>
          <w:color w:val="000000" w:themeColor="text1"/>
          <w:kern w:val="2"/>
          <w:sz w:val="24"/>
          <w:lang w:val="en-US" w:eastAsia="zh-CN" w:bidi="ar-SA"/>
          <w14:textFill>
            <w14:solidFill>
              <w14:schemeClr w14:val="tx1"/>
            </w14:solidFill>
          </w14:textFill>
        </w:rPr>
        <w:t>.2-2~</w:t>
      </w:r>
      <w: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t>2</w:t>
      </w:r>
      <w:r>
        <w:rPr>
          <w:rFonts w:ascii="Times New Roman" w:hAnsi="Times New Roman" w:eastAsia="宋体" w:cs="Times New Roman"/>
          <w:color w:val="000000" w:themeColor="text1"/>
          <w:kern w:val="2"/>
          <w:sz w:val="24"/>
          <w:lang w:val="en-US" w:eastAsia="zh-CN" w:bidi="ar-SA"/>
          <w14:textFill>
            <w14:solidFill>
              <w14:schemeClr w14:val="tx1"/>
            </w14:solidFill>
          </w14:textFill>
        </w:rPr>
        <w:t>.2-3。</w:t>
      </w:r>
    </w:p>
    <w:p>
      <w:pPr>
        <w:pageBreakBefore w:val="0"/>
        <w:widowControl w:val="0"/>
        <w:kinsoku/>
        <w:bidi w:val="0"/>
        <w:spacing w:beforeAutospacing="0" w:afterAutospacing="0" w:line="360" w:lineRule="auto"/>
        <w:jc w:val="center"/>
        <w:rPr>
          <w:rFonts w:ascii="Times New Roman" w:hAnsi="Times New Roman" w:eastAsia="宋体" w:cs="Times New Roman"/>
          <w:b/>
          <w:color w:val="000000" w:themeColor="text1"/>
          <w:sz w:val="24"/>
          <w:szCs w:val="28"/>
          <w:lang w:val="en-US" w:eastAsia="zh-CN" w:bidi="ar-SA"/>
          <w14:textFill>
            <w14:solidFill>
              <w14:schemeClr w14:val="tx1"/>
            </w14:solidFill>
          </w14:textFill>
        </w:rPr>
      </w:pPr>
      <w:r>
        <w:rPr>
          <w:rFonts w:ascii="Times New Roman" w:hAnsi="Times New Roman" w:eastAsia="宋体" w:cs="Times New Roman"/>
          <w:b/>
          <w:color w:val="000000" w:themeColor="text1"/>
          <w:sz w:val="24"/>
          <w:szCs w:val="28"/>
          <w:lang w:val="en-US" w:eastAsia="zh-CN" w:bidi="ar-SA"/>
          <w14:textFill>
            <w14:solidFill>
              <w14:schemeClr w14:val="tx1"/>
            </w14:solidFill>
          </w14:textFill>
        </w:rPr>
        <w:t>表</w:t>
      </w:r>
      <w:r>
        <w:rPr>
          <w:rFonts w:hint="eastAsia" w:ascii="Times New Roman" w:hAnsi="Times New Roman" w:eastAsia="宋体" w:cs="Times New Roman"/>
          <w:b/>
          <w:color w:val="000000" w:themeColor="text1"/>
          <w:sz w:val="24"/>
          <w:szCs w:val="28"/>
          <w:lang w:val="en-US" w:eastAsia="zh-CN" w:bidi="ar-SA"/>
          <w14:textFill>
            <w14:solidFill>
              <w14:schemeClr w14:val="tx1"/>
            </w14:solidFill>
          </w14:textFill>
        </w:rPr>
        <w:t>3</w:t>
      </w:r>
      <w:r>
        <w:rPr>
          <w:rFonts w:ascii="Times New Roman" w:hAnsi="Times New Roman" w:eastAsia="宋体" w:cs="Times New Roman"/>
          <w:b/>
          <w:color w:val="000000" w:themeColor="text1"/>
          <w:sz w:val="24"/>
          <w:szCs w:val="28"/>
          <w:lang w:val="en-US" w:eastAsia="zh-CN" w:bidi="ar-SA"/>
          <w14:textFill>
            <w14:solidFill>
              <w14:schemeClr w14:val="tx1"/>
            </w14:solidFill>
          </w14:textFill>
        </w:rPr>
        <w:t>.1-2  年平均风速月变化表</w:t>
      </w:r>
    </w:p>
    <w:tbl>
      <w:tblPr>
        <w:tblStyle w:val="33"/>
        <w:tblW w:w="9277"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24"/>
        <w:gridCol w:w="679"/>
        <w:gridCol w:w="679"/>
        <w:gridCol w:w="679"/>
        <w:gridCol w:w="679"/>
        <w:gridCol w:w="679"/>
        <w:gridCol w:w="679"/>
        <w:gridCol w:w="679"/>
        <w:gridCol w:w="679"/>
        <w:gridCol w:w="679"/>
        <w:gridCol w:w="679"/>
        <w:gridCol w:w="679"/>
        <w:gridCol w:w="68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24"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月份</w:t>
            </w:r>
          </w:p>
        </w:tc>
        <w:tc>
          <w:tcPr>
            <w:tcW w:w="67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1月</w:t>
            </w:r>
          </w:p>
        </w:tc>
        <w:tc>
          <w:tcPr>
            <w:tcW w:w="67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2月</w:t>
            </w:r>
          </w:p>
        </w:tc>
        <w:tc>
          <w:tcPr>
            <w:tcW w:w="67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3月</w:t>
            </w:r>
          </w:p>
        </w:tc>
        <w:tc>
          <w:tcPr>
            <w:tcW w:w="67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4月</w:t>
            </w:r>
          </w:p>
        </w:tc>
        <w:tc>
          <w:tcPr>
            <w:tcW w:w="67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5月</w:t>
            </w:r>
          </w:p>
        </w:tc>
        <w:tc>
          <w:tcPr>
            <w:tcW w:w="67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6月</w:t>
            </w:r>
          </w:p>
        </w:tc>
        <w:tc>
          <w:tcPr>
            <w:tcW w:w="67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7月</w:t>
            </w:r>
          </w:p>
        </w:tc>
        <w:tc>
          <w:tcPr>
            <w:tcW w:w="67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8月</w:t>
            </w:r>
          </w:p>
        </w:tc>
        <w:tc>
          <w:tcPr>
            <w:tcW w:w="67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9月</w:t>
            </w:r>
          </w:p>
        </w:tc>
        <w:tc>
          <w:tcPr>
            <w:tcW w:w="67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10月</w:t>
            </w:r>
          </w:p>
        </w:tc>
        <w:tc>
          <w:tcPr>
            <w:tcW w:w="67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11月</w:t>
            </w:r>
          </w:p>
        </w:tc>
        <w:tc>
          <w:tcPr>
            <w:tcW w:w="684"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12月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124"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风速(m/s)</w:t>
            </w:r>
          </w:p>
        </w:tc>
        <w:tc>
          <w:tcPr>
            <w:tcW w:w="67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1.48</w:t>
            </w:r>
          </w:p>
        </w:tc>
        <w:tc>
          <w:tcPr>
            <w:tcW w:w="67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1.56</w:t>
            </w:r>
          </w:p>
        </w:tc>
        <w:tc>
          <w:tcPr>
            <w:tcW w:w="67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1.53</w:t>
            </w:r>
          </w:p>
        </w:tc>
        <w:tc>
          <w:tcPr>
            <w:tcW w:w="67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1.57</w:t>
            </w:r>
          </w:p>
        </w:tc>
        <w:tc>
          <w:tcPr>
            <w:tcW w:w="67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1.36</w:t>
            </w:r>
          </w:p>
        </w:tc>
        <w:tc>
          <w:tcPr>
            <w:tcW w:w="67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1.49</w:t>
            </w:r>
          </w:p>
        </w:tc>
        <w:tc>
          <w:tcPr>
            <w:tcW w:w="67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2.14</w:t>
            </w:r>
          </w:p>
        </w:tc>
        <w:tc>
          <w:tcPr>
            <w:tcW w:w="67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1.64</w:t>
            </w:r>
          </w:p>
        </w:tc>
        <w:tc>
          <w:tcPr>
            <w:tcW w:w="67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1.83</w:t>
            </w:r>
          </w:p>
        </w:tc>
        <w:tc>
          <w:tcPr>
            <w:tcW w:w="67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1.74</w:t>
            </w:r>
          </w:p>
        </w:tc>
        <w:tc>
          <w:tcPr>
            <w:tcW w:w="67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1.33</w:t>
            </w:r>
          </w:p>
        </w:tc>
        <w:tc>
          <w:tcPr>
            <w:tcW w:w="684"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1.43</w:t>
            </w:r>
          </w:p>
        </w:tc>
      </w:tr>
    </w:tbl>
    <w:p>
      <w:pPr>
        <w:pageBreakBefore w:val="0"/>
        <w:widowControl w:val="0"/>
        <w:kinsoku/>
        <w:bidi w:val="0"/>
        <w:spacing w:beforeAutospacing="0" w:afterAutospacing="0" w:line="360" w:lineRule="auto"/>
        <w:jc w:val="center"/>
        <w:rPr>
          <w:rFonts w:ascii="Times New Roman" w:hAnsi="Times New Roman" w:eastAsia="宋体" w:cs="Times New Roman"/>
          <w:b/>
          <w:color w:val="000000" w:themeColor="text1"/>
          <w:sz w:val="24"/>
          <w:szCs w:val="28"/>
          <w:lang w:val="en-US" w:eastAsia="zh-CN" w:bidi="ar-SA"/>
          <w14:textFill>
            <w14:solidFill>
              <w14:schemeClr w14:val="tx1"/>
            </w14:solidFill>
          </w14:textFill>
        </w:rPr>
      </w:pPr>
      <w:r>
        <w:rPr>
          <w:rFonts w:ascii="Times New Roman" w:hAnsi="Times New Roman" w:eastAsia="宋体" w:cs="Times New Roman"/>
          <w:b/>
          <w:color w:val="000000" w:themeColor="text1"/>
          <w:sz w:val="24"/>
          <w:szCs w:val="28"/>
          <w:lang w:val="en-US" w:eastAsia="zh-CN" w:bidi="ar-SA"/>
          <w14:textFill>
            <w14:solidFill>
              <w14:schemeClr w14:val="tx1"/>
            </w14:solidFill>
          </w14:textFill>
        </w:rPr>
        <w:t>表</w:t>
      </w:r>
      <w:r>
        <w:rPr>
          <w:rFonts w:hint="eastAsia" w:ascii="Times New Roman" w:hAnsi="Times New Roman" w:eastAsia="宋体" w:cs="Times New Roman"/>
          <w:b/>
          <w:color w:val="000000" w:themeColor="text1"/>
          <w:sz w:val="24"/>
          <w:szCs w:val="28"/>
          <w:lang w:val="en-US" w:eastAsia="zh-CN" w:bidi="ar-SA"/>
          <w14:textFill>
            <w14:solidFill>
              <w14:schemeClr w14:val="tx1"/>
            </w14:solidFill>
          </w14:textFill>
        </w:rPr>
        <w:t>3</w:t>
      </w:r>
      <w:r>
        <w:rPr>
          <w:rFonts w:ascii="Times New Roman" w:hAnsi="Times New Roman" w:eastAsia="宋体" w:cs="Times New Roman"/>
          <w:b/>
          <w:color w:val="000000" w:themeColor="text1"/>
          <w:sz w:val="24"/>
          <w:szCs w:val="28"/>
          <w:lang w:val="en-US" w:eastAsia="zh-CN" w:bidi="ar-SA"/>
          <w14:textFill>
            <w14:solidFill>
              <w14:schemeClr w14:val="tx1"/>
            </w14:solidFill>
          </w14:textFill>
        </w:rPr>
        <w:t>.1-3  季小时平均风速变化表</w:t>
      </w:r>
    </w:p>
    <w:tbl>
      <w:tblPr>
        <w:tblStyle w:val="33"/>
        <w:tblW w:w="9279"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956"/>
        <w:gridCol w:w="609"/>
        <w:gridCol w:w="610"/>
        <w:gridCol w:w="610"/>
        <w:gridCol w:w="610"/>
        <w:gridCol w:w="610"/>
        <w:gridCol w:w="610"/>
        <w:gridCol w:w="610"/>
        <w:gridCol w:w="610"/>
        <w:gridCol w:w="611"/>
        <w:gridCol w:w="611"/>
        <w:gridCol w:w="611"/>
        <w:gridCol w:w="61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56" w:type="dxa"/>
            <w:tcBorders>
              <w:tl2br w:val="single" w:color="000000" w:sz="4" w:space="0"/>
            </w:tcBorders>
            <w:shd w:val="clear" w:color="auto" w:fill="auto"/>
            <w:vAlign w:val="center"/>
          </w:tcPr>
          <w:p>
            <w:pPr>
              <w:pStyle w:val="93"/>
              <w:pageBreakBefore w:val="0"/>
              <w:tabs>
                <w:tab w:val="left" w:pos="0"/>
              </w:tabs>
              <w:kinsoku/>
              <w:bidi w:val="0"/>
              <w:spacing w:beforeAutospacing="0" w:afterAutospacing="0"/>
              <w:jc w:val="right"/>
              <w:rPr>
                <w:rFonts w:ascii="Times New Roman" w:hAnsi="Times New Roman" w:eastAsia="宋体" w:cs="Times New Roman"/>
                <w:color w:val="000000" w:themeColor="text1"/>
                <w:lang w:val="en-US"/>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小时(h)</w:t>
            </w:r>
          </w:p>
          <w:p>
            <w:pPr>
              <w:pStyle w:val="93"/>
              <w:pageBreakBefore w:val="0"/>
              <w:tabs>
                <w:tab w:val="left" w:pos="0"/>
              </w:tabs>
              <w:kinsoku/>
              <w:bidi w:val="0"/>
              <w:spacing w:beforeAutospacing="0" w:afterAutospacing="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风速(m/s)</w:t>
            </w:r>
          </w:p>
        </w:tc>
        <w:tc>
          <w:tcPr>
            <w:tcW w:w="60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5</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6</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7</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8</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9</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10</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11</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5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春季</w:t>
            </w:r>
          </w:p>
        </w:tc>
        <w:tc>
          <w:tcPr>
            <w:tcW w:w="60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1.03</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0.92</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0.97</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0.89</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0.98</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0.90</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1.08</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1.08</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1.23</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1.54</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1.73</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1.84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5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夏季</w:t>
            </w:r>
          </w:p>
        </w:tc>
        <w:tc>
          <w:tcPr>
            <w:tcW w:w="60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1.15</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1.08</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1.15</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1.04</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1.01</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1.00</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0.97</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1.09</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1.49</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1.86</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2.18</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2.56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5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秋季</w:t>
            </w:r>
          </w:p>
        </w:tc>
        <w:tc>
          <w:tcPr>
            <w:tcW w:w="60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1.17</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1.19</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1.14</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1.18</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1.13</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1.14</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1.14</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1.24</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1.42</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1.68</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1.97</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2.23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5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冬季</w:t>
            </w:r>
          </w:p>
        </w:tc>
        <w:tc>
          <w:tcPr>
            <w:tcW w:w="60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1.22</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1.19</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1.20</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1.10</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0.99</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1.09</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1.03</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1.10</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1.20</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1.37</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1.71</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1.95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5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风速(m/s)  小时(h)</w:t>
            </w:r>
          </w:p>
        </w:tc>
        <w:tc>
          <w:tcPr>
            <w:tcW w:w="60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13</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14</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15</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16</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17</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18</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19</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20</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21</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22</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23</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5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春季</w:t>
            </w:r>
          </w:p>
        </w:tc>
        <w:tc>
          <w:tcPr>
            <w:tcW w:w="60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2.12</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2.59</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2.67</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2.52</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2.22</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1.94</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1.57</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1.25</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1.18</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1.20</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1.11</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1.06</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5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夏季</w:t>
            </w:r>
          </w:p>
        </w:tc>
        <w:tc>
          <w:tcPr>
            <w:tcW w:w="60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2.90</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3.11</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3.11</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3.06</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2.59</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2.33</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1.95</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1.65</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1.40</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1.25</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1.18</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1.13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5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秋季</w:t>
            </w:r>
          </w:p>
        </w:tc>
        <w:tc>
          <w:tcPr>
            <w:tcW w:w="60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2.56</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2.67</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2.80</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2.64</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2.20</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1.78</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1.61</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1.41</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1.36</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1.16</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1.22</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1.19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5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冬季</w:t>
            </w:r>
          </w:p>
        </w:tc>
        <w:tc>
          <w:tcPr>
            <w:tcW w:w="60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1.96</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2.13</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2.47</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2.48</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2.20</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1.62</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1.38</w:t>
            </w:r>
          </w:p>
        </w:tc>
        <w:tc>
          <w:tcPr>
            <w:tcW w:w="61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1.30</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1.27</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1.25</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1.25</w:t>
            </w:r>
          </w:p>
        </w:tc>
        <w:tc>
          <w:tcPr>
            <w:tcW w:w="611"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1.27</w:t>
            </w:r>
          </w:p>
        </w:tc>
      </w:tr>
    </w:tbl>
    <w:p>
      <w:pPr>
        <w:pageBreakBefore w:val="0"/>
        <w:widowControl w:val="0"/>
        <w:kinsoku/>
        <w:bidi w:val="0"/>
        <w:spacing w:beforeAutospacing="0" w:afterAutospacing="0" w:line="240" w:lineRule="auto"/>
        <w:ind w:firstLine="180" w:firstLineChars="75"/>
        <w:jc w:val="center"/>
        <w:rPr>
          <w:rFonts w:ascii="Times New Roman" w:hAnsi="Times New Roman" w:eastAsia="宋体" w:cs="Times New Roman"/>
          <w:color w:val="000000" w:themeColor="text1"/>
          <w:kern w:val="2"/>
          <w:sz w:val="24"/>
          <w:lang w:val="en-US" w:eastAsia="zh-CN" w:bidi="ar-SA"/>
          <w14:textFill>
            <w14:solidFill>
              <w14:schemeClr w14:val="tx1"/>
            </w14:solidFill>
          </w14:textFill>
        </w:rPr>
      </w:pPr>
    </w:p>
    <w:p>
      <w:pPr>
        <w:pageBreakBefore w:val="0"/>
        <w:widowControl w:val="0"/>
        <w:kinsoku/>
        <w:bidi w:val="0"/>
        <w:spacing w:beforeAutospacing="0" w:afterAutospacing="0" w:line="360" w:lineRule="auto"/>
        <w:ind w:firstLine="0" w:firstLineChars="0"/>
        <w:jc w:val="center"/>
        <w:rPr>
          <w:rFonts w:ascii="Times New Roman" w:hAnsi="Times New Roman" w:eastAsia="宋体" w:cs="Times New Roman"/>
          <w:color w:val="000000" w:themeColor="text1"/>
          <w:kern w:val="2"/>
          <w:sz w:val="24"/>
          <w:lang w:val="en-US" w:eastAsia="zh-CN" w:bidi="ar-SA"/>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drawing>
          <wp:inline distT="0" distB="0" distL="114300" distR="114300">
            <wp:extent cx="5757545" cy="2216150"/>
            <wp:effectExtent l="4445" t="4445" r="10160" b="8255"/>
            <wp:docPr id="205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0"/>
        <w:jc w:val="center"/>
        <w:textAlignment w:val="auto"/>
        <w:rPr>
          <w:rFonts w:ascii="Times New Roman" w:hAnsi="Times New Roman" w:eastAsia="宋体" w:cs="Times New Roman"/>
          <w:b/>
          <w:color w:val="000000" w:themeColor="text1"/>
          <w:sz w:val="24"/>
          <w:szCs w:val="28"/>
          <w:lang w:val="en-US" w:eastAsia="zh-CN" w:bidi="ar-SA"/>
          <w14:textFill>
            <w14:solidFill>
              <w14:schemeClr w14:val="tx1"/>
            </w14:solidFill>
          </w14:textFill>
        </w:rPr>
      </w:pPr>
      <w:r>
        <w:rPr>
          <w:rFonts w:ascii="Times New Roman" w:hAnsi="Times New Roman" w:eastAsia="宋体" w:cs="Times New Roman"/>
          <w:b/>
          <w:color w:val="000000" w:themeColor="text1"/>
          <w:sz w:val="24"/>
          <w:szCs w:val="28"/>
          <w:lang w:val="en-US" w:eastAsia="zh-CN" w:bidi="ar-SA"/>
          <w14:textFill>
            <w14:solidFill>
              <w14:schemeClr w14:val="tx1"/>
            </w14:solidFill>
          </w14:textFill>
        </w:rPr>
        <w:t>图</w:t>
      </w:r>
      <w:r>
        <w:rPr>
          <w:rFonts w:hint="eastAsia" w:ascii="Times New Roman" w:hAnsi="Times New Roman" w:eastAsia="宋体" w:cs="Times New Roman"/>
          <w:b/>
          <w:color w:val="000000" w:themeColor="text1"/>
          <w:sz w:val="24"/>
          <w:szCs w:val="28"/>
          <w:lang w:val="en-US" w:eastAsia="zh-CN" w:bidi="ar-SA"/>
          <w14:textFill>
            <w14:solidFill>
              <w14:schemeClr w14:val="tx1"/>
            </w14:solidFill>
          </w14:textFill>
        </w:rPr>
        <w:t>3</w:t>
      </w:r>
      <w:r>
        <w:rPr>
          <w:rFonts w:ascii="Times New Roman" w:hAnsi="Times New Roman" w:eastAsia="宋体" w:cs="Times New Roman"/>
          <w:b/>
          <w:color w:val="000000" w:themeColor="text1"/>
          <w:sz w:val="24"/>
          <w:szCs w:val="28"/>
          <w:lang w:val="en-US" w:eastAsia="zh-CN" w:bidi="ar-SA"/>
          <w14:textFill>
            <w14:solidFill>
              <w14:schemeClr w14:val="tx1"/>
            </w14:solidFill>
          </w14:textFill>
        </w:rPr>
        <w:t>.1-2  年平均风速月变化图</w:t>
      </w:r>
    </w:p>
    <w:p>
      <w:pPr>
        <w:pageBreakBefore w:val="0"/>
        <w:widowControl w:val="0"/>
        <w:tabs>
          <w:tab w:val="left" w:pos="3795"/>
        </w:tabs>
        <w:kinsoku/>
        <w:bidi w:val="0"/>
        <w:spacing w:beforeAutospacing="0" w:afterAutospacing="0"/>
        <w:ind w:left="0" w:leftChars="0" w:firstLine="0" w:firstLineChars="0"/>
        <w:jc w:val="both"/>
        <w:rPr>
          <w:rFonts w:ascii="Times New Roman" w:hAnsi="Times New Roman" w:eastAsia="宋体" w:cs="Times New Roman"/>
          <w:b/>
          <w:color w:val="000000" w:themeColor="text1"/>
          <w:sz w:val="28"/>
          <w:szCs w:val="28"/>
          <w:lang w:val="en-US" w:eastAsia="zh-CN" w:bidi="ar-SA"/>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drawing>
          <wp:inline distT="0" distB="0" distL="114300" distR="114300">
            <wp:extent cx="5758180" cy="2402840"/>
            <wp:effectExtent l="4445" t="4445" r="9525" b="12065"/>
            <wp:docPr id="205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0"/>
        <w:jc w:val="center"/>
        <w:textAlignment w:val="auto"/>
        <w:rPr>
          <w:rFonts w:ascii="Times New Roman" w:hAnsi="Times New Roman" w:eastAsia="宋体" w:cs="Times New Roman"/>
          <w:b/>
          <w:color w:val="000000" w:themeColor="text1"/>
          <w:sz w:val="24"/>
          <w:szCs w:val="28"/>
          <w:lang w:val="en-US" w:eastAsia="zh-CN" w:bidi="ar-SA"/>
          <w14:textFill>
            <w14:solidFill>
              <w14:schemeClr w14:val="tx1"/>
            </w14:solidFill>
          </w14:textFill>
        </w:rPr>
      </w:pPr>
      <w:r>
        <w:rPr>
          <w:rFonts w:ascii="Times New Roman" w:hAnsi="Times New Roman" w:eastAsia="宋体" w:cs="Times New Roman"/>
          <w:b/>
          <w:color w:val="000000" w:themeColor="text1"/>
          <w:sz w:val="24"/>
          <w:szCs w:val="28"/>
          <w:lang w:val="en-US" w:eastAsia="zh-CN" w:bidi="ar-SA"/>
          <w14:textFill>
            <w14:solidFill>
              <w14:schemeClr w14:val="tx1"/>
            </w14:solidFill>
          </w14:textFill>
        </w:rPr>
        <w:t>图</w:t>
      </w:r>
      <w:r>
        <w:rPr>
          <w:rFonts w:hint="eastAsia" w:ascii="Times New Roman" w:hAnsi="Times New Roman" w:eastAsia="宋体" w:cs="Times New Roman"/>
          <w:b/>
          <w:color w:val="000000" w:themeColor="text1"/>
          <w:sz w:val="24"/>
          <w:szCs w:val="28"/>
          <w:lang w:val="en-US" w:eastAsia="zh-CN" w:bidi="ar-SA"/>
          <w14:textFill>
            <w14:solidFill>
              <w14:schemeClr w14:val="tx1"/>
            </w14:solidFill>
          </w14:textFill>
        </w:rPr>
        <w:t>3</w:t>
      </w:r>
      <w:r>
        <w:rPr>
          <w:rFonts w:ascii="Times New Roman" w:hAnsi="Times New Roman" w:eastAsia="宋体" w:cs="Times New Roman"/>
          <w:b/>
          <w:color w:val="000000" w:themeColor="text1"/>
          <w:sz w:val="24"/>
          <w:szCs w:val="28"/>
          <w:lang w:val="en-US" w:eastAsia="zh-CN" w:bidi="ar-SA"/>
          <w14:textFill>
            <w14:solidFill>
              <w14:schemeClr w14:val="tx1"/>
            </w14:solidFill>
          </w14:textFill>
        </w:rPr>
        <w:t>.1-3  季小时平均风速日变化图</w:t>
      </w:r>
    </w:p>
    <w:p>
      <w:pPr>
        <w:pageBreakBefore w:val="0"/>
        <w:widowControl w:val="0"/>
        <w:kinsoku/>
        <w:bidi w:val="0"/>
        <w:spacing w:beforeAutospacing="0" w:afterAutospacing="0" w:line="360" w:lineRule="auto"/>
        <w:ind w:firstLine="480" w:firstLineChars="200"/>
        <w:jc w:val="both"/>
        <w:rPr>
          <w:rFonts w:ascii="Times New Roman" w:hAnsi="Times New Roman" w:eastAsia="宋体" w:cs="Times New Roman"/>
          <w:color w:val="000000" w:themeColor="text1"/>
          <w:kern w:val="2"/>
          <w:sz w:val="24"/>
          <w:lang w:val="en-US" w:eastAsia="zh-CN" w:bidi="ar-SA"/>
          <w14:textFill>
            <w14:solidFill>
              <w14:schemeClr w14:val="tx1"/>
            </w14:solidFill>
          </w14:textFill>
        </w:rPr>
      </w:pPr>
      <w:r>
        <w:rPr>
          <w:rFonts w:ascii="Times New Roman" w:hAnsi="Times New Roman" w:eastAsia="宋体" w:cs="Times New Roman"/>
          <w:color w:val="000000" w:themeColor="text1"/>
          <w:kern w:val="2"/>
          <w:sz w:val="24"/>
          <w:lang w:val="en-US" w:eastAsia="zh-CN" w:bidi="ar-SA"/>
          <w14:textFill>
            <w14:solidFill>
              <w14:schemeClr w14:val="tx1"/>
            </w14:solidFill>
          </w14:textFill>
        </w:rPr>
        <w:t>（3）风向、风频</w:t>
      </w:r>
      <w: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t>、</w:t>
      </w:r>
      <w:r>
        <w:rPr>
          <w:rFonts w:ascii="Times New Roman" w:hAnsi="Times New Roman" w:eastAsia="宋体" w:cs="Times New Roman"/>
          <w:color w:val="000000" w:themeColor="text1"/>
          <w:kern w:val="2"/>
          <w:sz w:val="24"/>
          <w:lang w:val="en-US" w:eastAsia="zh-CN" w:bidi="ar-SA"/>
          <w14:textFill>
            <w14:solidFill>
              <w14:schemeClr w14:val="tx1"/>
            </w14:solidFill>
          </w14:textFill>
        </w:rPr>
        <w:t>主导风向</w:t>
      </w:r>
    </w:p>
    <w:p>
      <w:pPr>
        <w:pageBreakBefore w:val="0"/>
        <w:widowControl w:val="0"/>
        <w:kinsoku/>
        <w:bidi w:val="0"/>
        <w:spacing w:beforeAutospacing="0" w:afterAutospacing="0" w:line="360" w:lineRule="auto"/>
        <w:ind w:firstLine="480" w:firstLineChars="200"/>
        <w:jc w:val="both"/>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t>福鼎2021年全年静风频率为4.16%，风频最大为北风。各月、季各风向风频变化详见表3.1-4~表3.1-5，各季及年风频玫瑰图见图3.1-4。</w:t>
      </w:r>
    </w:p>
    <w:p>
      <w:pPr>
        <w:pageBreakBefore w:val="0"/>
        <w:widowControl w:val="0"/>
        <w:kinsoku/>
        <w:bidi w:val="0"/>
        <w:spacing w:beforeAutospacing="0" w:afterAutospacing="0" w:line="360" w:lineRule="auto"/>
        <w:ind w:firstLine="480" w:firstLineChars="200"/>
        <w:jc w:val="both"/>
        <w:rPr>
          <w:rFonts w:ascii="Times New Roman" w:hAnsi="Times New Roman" w:eastAsia="宋体"/>
          <w:color w:val="000000" w:themeColor="text1"/>
          <w:sz w:val="24"/>
          <w14:textFill>
            <w14:solidFill>
              <w14:schemeClr w14:val="tx1"/>
            </w14:solidFill>
          </w14:textFill>
        </w:rPr>
        <w:sectPr>
          <w:footerReference r:id="rId7" w:type="default"/>
          <w:pgSz w:w="11906" w:h="16838"/>
          <w:pgMar w:top="1418" w:right="1418" w:bottom="1418" w:left="1418" w:header="992" w:footer="992" w:gutter="0"/>
          <w:pgBorders w:offsetFrom="page">
            <w:top w:val="none" w:sz="0" w:space="0"/>
            <w:left w:val="none" w:sz="0" w:space="0"/>
            <w:bottom w:val="none" w:sz="0" w:space="0"/>
            <w:right w:val="none" w:sz="0" w:space="0"/>
          </w:pgBorders>
          <w:pgNumType w:fmt="decimal" w:start="1"/>
          <w:cols w:space="720" w:num="1"/>
          <w:docGrid w:type="lines" w:linePitch="312" w:charSpace="0"/>
        </w:sectPr>
      </w:pPr>
      <w:r>
        <w:rPr>
          <w:rFonts w:hint="eastAsia" w:ascii="Times New Roman" w:hAnsi="Times New Roman" w:eastAsia="宋体" w:cs="Times New Roman"/>
          <w:color w:val="000000" w:themeColor="text1"/>
          <w:kern w:val="2"/>
          <w:sz w:val="24"/>
          <w:lang w:val="en-US" w:eastAsia="zh-CN" w:bidi="ar-SA"/>
          <w14:textFill>
            <w14:solidFill>
              <w14:schemeClr w14:val="tx1"/>
            </w14:solidFill>
          </w14:textFill>
        </w:rPr>
        <w:t>根据福鼎2021年气象统计资料，福鼎年风频最大的风向角风频为N，19.12%，低于30%，因此该区域年主导风向不明显。</w:t>
      </w:r>
    </w:p>
    <w:p>
      <w:pPr>
        <w:pageBreakBefore w:val="0"/>
        <w:widowControl w:val="0"/>
        <w:kinsoku/>
        <w:bidi w:val="0"/>
        <w:spacing w:beforeAutospacing="0" w:afterAutospacing="0" w:line="360" w:lineRule="auto"/>
        <w:jc w:val="center"/>
        <w:rPr>
          <w:rFonts w:ascii="Times New Roman" w:hAnsi="Times New Roman" w:eastAsia="宋体" w:cs="Times New Roman"/>
          <w:b/>
          <w:color w:val="000000" w:themeColor="text1"/>
          <w:sz w:val="24"/>
          <w:szCs w:val="28"/>
          <w:lang w:val="en-US" w:eastAsia="zh-CN" w:bidi="ar-SA"/>
          <w14:textFill>
            <w14:solidFill>
              <w14:schemeClr w14:val="tx1"/>
            </w14:solidFill>
          </w14:textFill>
        </w:rPr>
      </w:pPr>
      <w:r>
        <w:rPr>
          <w:rFonts w:ascii="Times New Roman" w:hAnsi="Times New Roman" w:eastAsia="宋体" w:cs="Times New Roman"/>
          <w:b/>
          <w:color w:val="000000" w:themeColor="text1"/>
          <w:sz w:val="24"/>
          <w:szCs w:val="28"/>
          <w:lang w:val="en-US" w:eastAsia="zh-CN" w:bidi="ar-SA"/>
          <w14:textFill>
            <w14:solidFill>
              <w14:schemeClr w14:val="tx1"/>
            </w14:solidFill>
          </w14:textFill>
        </w:rPr>
        <w:t>表</w:t>
      </w:r>
      <w:r>
        <w:rPr>
          <w:rFonts w:hint="eastAsia" w:ascii="Times New Roman" w:hAnsi="Times New Roman" w:eastAsia="宋体" w:cs="Times New Roman"/>
          <w:b/>
          <w:color w:val="000000" w:themeColor="text1"/>
          <w:sz w:val="24"/>
          <w:szCs w:val="28"/>
          <w:lang w:val="en-US" w:eastAsia="zh-CN" w:bidi="ar-SA"/>
          <w14:textFill>
            <w14:solidFill>
              <w14:schemeClr w14:val="tx1"/>
            </w14:solidFill>
          </w14:textFill>
        </w:rPr>
        <w:t>3</w:t>
      </w:r>
      <w:r>
        <w:rPr>
          <w:rFonts w:ascii="Times New Roman" w:hAnsi="Times New Roman" w:eastAsia="宋体" w:cs="Times New Roman"/>
          <w:b/>
          <w:color w:val="000000" w:themeColor="text1"/>
          <w:sz w:val="24"/>
          <w:szCs w:val="28"/>
          <w:lang w:val="en-US" w:eastAsia="zh-CN" w:bidi="ar-SA"/>
          <w14:textFill>
            <w14:solidFill>
              <w14:schemeClr w14:val="tx1"/>
            </w14:solidFill>
          </w14:textFill>
        </w:rPr>
        <w:t>.1-4  各月平均风向风频变化表</w:t>
      </w:r>
    </w:p>
    <w:tbl>
      <w:tblPr>
        <w:tblStyle w:val="33"/>
        <w:tblW w:w="14206"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508"/>
        <w:gridCol w:w="745"/>
        <w:gridCol w:w="745"/>
        <w:gridCol w:w="745"/>
        <w:gridCol w:w="745"/>
        <w:gridCol w:w="745"/>
        <w:gridCol w:w="746"/>
        <w:gridCol w:w="746"/>
        <w:gridCol w:w="746"/>
        <w:gridCol w:w="746"/>
        <w:gridCol w:w="746"/>
        <w:gridCol w:w="746"/>
        <w:gridCol w:w="746"/>
        <w:gridCol w:w="746"/>
        <w:gridCol w:w="765"/>
        <w:gridCol w:w="746"/>
        <w:gridCol w:w="746"/>
        <w:gridCol w:w="74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5" w:hRule="atLeast"/>
        </w:trPr>
        <w:tc>
          <w:tcPr>
            <w:tcW w:w="1508" w:type="dxa"/>
            <w:tcBorders>
              <w:tl2br w:val="single" w:color="000000" w:sz="4" w:space="0"/>
            </w:tcBorders>
            <w:shd w:val="clear" w:color="auto" w:fill="auto"/>
            <w:vAlign w:val="center"/>
          </w:tcPr>
          <w:p>
            <w:pPr>
              <w:pStyle w:val="93"/>
              <w:pageBreakBefore w:val="0"/>
              <w:tabs>
                <w:tab w:val="left" w:pos="0"/>
              </w:tabs>
              <w:kinsoku/>
              <w:bidi w:val="0"/>
              <w:spacing w:beforeAutospacing="0" w:afterAutospacing="0"/>
              <w:jc w:val="right"/>
              <w:rPr>
                <w:rFonts w:ascii="Times New Roman" w:hAnsi="Times New Roman" w:eastAsia="宋体" w:cs="Times New Roman"/>
                <w:color w:val="000000" w:themeColor="text1"/>
                <w:lang w:val="en-US"/>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风向</w:t>
            </w:r>
          </w:p>
          <w:p>
            <w:pPr>
              <w:pStyle w:val="93"/>
              <w:pageBreakBefore w:val="0"/>
              <w:tabs>
                <w:tab w:val="left" w:pos="0"/>
              </w:tabs>
              <w:kinsoku/>
              <w:bidi w:val="0"/>
              <w:spacing w:beforeAutospacing="0" w:afterAutospacing="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风频(%)</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N</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NNE</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NE</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ENE</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E</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ESE</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SE</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SSE</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S</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SSW</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SW</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WSW</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W</w:t>
            </w:r>
          </w:p>
        </w:tc>
        <w:tc>
          <w:tcPr>
            <w:tcW w:w="76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WNW</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NW</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NNW</w:t>
            </w:r>
          </w:p>
        </w:tc>
        <w:tc>
          <w:tcPr>
            <w:tcW w:w="74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C</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50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一月</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19.62</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10.89</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7.53</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3.90</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1.75</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2.28</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6.85</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5.91</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5.38</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2.42</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1.34</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1.75</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3.90</w:t>
            </w:r>
          </w:p>
        </w:tc>
        <w:tc>
          <w:tcPr>
            <w:tcW w:w="76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2.96</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6.59</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12.37</w:t>
            </w:r>
          </w:p>
        </w:tc>
        <w:tc>
          <w:tcPr>
            <w:tcW w:w="74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4.57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50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二月</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20.98</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9.23</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4.76</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2.83</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4.02</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2.08</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8.04</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7.44</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4.76</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1.04</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1.19</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1.64</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3.27</w:t>
            </w:r>
          </w:p>
        </w:tc>
        <w:tc>
          <w:tcPr>
            <w:tcW w:w="76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3.13</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5.65</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15.03</w:t>
            </w:r>
          </w:p>
        </w:tc>
        <w:tc>
          <w:tcPr>
            <w:tcW w:w="74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4.91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50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三月</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14.52</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9.68</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3.36</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2.96</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3.36</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3.90</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9.81</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10.35</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6.72</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2.15</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2.42</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2.02</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5.51</w:t>
            </w:r>
          </w:p>
        </w:tc>
        <w:tc>
          <w:tcPr>
            <w:tcW w:w="76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2.42</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5.91</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10.75</w:t>
            </w:r>
          </w:p>
        </w:tc>
        <w:tc>
          <w:tcPr>
            <w:tcW w:w="74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4.17</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50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四月</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15.00</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7.22</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4.44</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3.06</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4.17</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4.72</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10.00</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8.47</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4.44</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2.50</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2.08</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1.94</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4.31</w:t>
            </w:r>
          </w:p>
        </w:tc>
        <w:tc>
          <w:tcPr>
            <w:tcW w:w="76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3.75</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6.81</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12.08</w:t>
            </w:r>
          </w:p>
        </w:tc>
        <w:tc>
          <w:tcPr>
            <w:tcW w:w="74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5.00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50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五月</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16.26</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4.30</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2.69</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2.55</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4.03</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4.30</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9.14</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6.85</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6.05</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2.55</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2.02</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2.28</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4.57</w:t>
            </w:r>
          </w:p>
        </w:tc>
        <w:tc>
          <w:tcPr>
            <w:tcW w:w="76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2.82</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5.38</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13.98</w:t>
            </w:r>
          </w:p>
        </w:tc>
        <w:tc>
          <w:tcPr>
            <w:tcW w:w="74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10.22</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50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六月</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17.78</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3.33</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1.67</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2.64</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4.44</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8.47</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11.39</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7.08</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2.92</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1.94</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2.08</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2.08</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4.72</w:t>
            </w:r>
          </w:p>
        </w:tc>
        <w:tc>
          <w:tcPr>
            <w:tcW w:w="76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2.08</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5.00</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13.33</w:t>
            </w:r>
          </w:p>
        </w:tc>
        <w:tc>
          <w:tcPr>
            <w:tcW w:w="74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9.03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50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七月</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15.73</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5.78</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3.49</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2.69</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4.17</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13.04</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15.73</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6.45</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3.49</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1.75</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1.21</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2.96</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4.44</w:t>
            </w:r>
          </w:p>
        </w:tc>
        <w:tc>
          <w:tcPr>
            <w:tcW w:w="76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2.69</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5.38</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10.62</w:t>
            </w:r>
          </w:p>
        </w:tc>
        <w:tc>
          <w:tcPr>
            <w:tcW w:w="74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0.40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50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八月</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15.59</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4.03</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2.42</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1.21</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4.70</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9.95</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14.25</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6.45</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3.23</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1.34</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2.15</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2.69</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6.32</w:t>
            </w:r>
          </w:p>
        </w:tc>
        <w:tc>
          <w:tcPr>
            <w:tcW w:w="76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3.90</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6.59</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13.04</w:t>
            </w:r>
          </w:p>
        </w:tc>
        <w:tc>
          <w:tcPr>
            <w:tcW w:w="74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2.15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50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九月</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14.17</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5.69</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4.17</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4.03</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6.25</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10.00</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13.61</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5.56</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2.50</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0.69</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0.42</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0.69</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3.19</w:t>
            </w:r>
          </w:p>
        </w:tc>
        <w:tc>
          <w:tcPr>
            <w:tcW w:w="76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1.81</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9.72</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17.36</w:t>
            </w:r>
          </w:p>
        </w:tc>
        <w:tc>
          <w:tcPr>
            <w:tcW w:w="74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0.14</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50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十月</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34.95</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13.04</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5.91</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3.90</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3.23</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2.42</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2.02</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1.21</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0.54</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0.13</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0.40</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0.67</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2.96</w:t>
            </w:r>
          </w:p>
        </w:tc>
        <w:tc>
          <w:tcPr>
            <w:tcW w:w="76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3.23</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7.12</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17.20</w:t>
            </w:r>
          </w:p>
        </w:tc>
        <w:tc>
          <w:tcPr>
            <w:tcW w:w="74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1.08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50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十一月</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24.72</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10.56</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3.47</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2.08</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2.50</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0.97</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3.47</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4.31</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4.44</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1.67</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2.22</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3.06</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5.97</w:t>
            </w:r>
          </w:p>
        </w:tc>
        <w:tc>
          <w:tcPr>
            <w:tcW w:w="76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3.33</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8.61</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14.31</w:t>
            </w:r>
          </w:p>
        </w:tc>
        <w:tc>
          <w:tcPr>
            <w:tcW w:w="74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4.31</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50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十二月</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20.16</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11.56</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7.53</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2.55</w:t>
            </w:r>
          </w:p>
        </w:tc>
        <w:tc>
          <w:tcPr>
            <w:tcW w:w="74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2.69</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1.61</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3.49</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4.17</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4.17</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2.55</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2.02</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2.69</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5.51</w:t>
            </w:r>
          </w:p>
        </w:tc>
        <w:tc>
          <w:tcPr>
            <w:tcW w:w="765"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3.09</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7.53</w:t>
            </w:r>
          </w:p>
        </w:tc>
        <w:tc>
          <w:tcPr>
            <w:tcW w:w="74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14.65</w:t>
            </w:r>
          </w:p>
        </w:tc>
        <w:tc>
          <w:tcPr>
            <w:tcW w:w="74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4.03</w:t>
            </w:r>
          </w:p>
        </w:tc>
      </w:tr>
    </w:tbl>
    <w:p>
      <w:pPr>
        <w:pageBreakBefore w:val="0"/>
        <w:widowControl w:val="0"/>
        <w:kinsoku/>
        <w:bidi w:val="0"/>
        <w:spacing w:beforeAutospacing="0" w:afterAutospacing="0" w:line="360" w:lineRule="auto"/>
        <w:jc w:val="center"/>
        <w:rPr>
          <w:rFonts w:ascii="Times New Roman" w:hAnsi="Times New Roman" w:eastAsia="宋体" w:cs="Times New Roman"/>
          <w:b/>
          <w:color w:val="000000" w:themeColor="text1"/>
          <w:sz w:val="24"/>
          <w:szCs w:val="28"/>
          <w:lang w:val="en-US" w:eastAsia="zh-CN" w:bidi="ar-SA"/>
          <w14:textFill>
            <w14:solidFill>
              <w14:schemeClr w14:val="tx1"/>
            </w14:solidFill>
          </w14:textFill>
        </w:rPr>
      </w:pPr>
      <w:r>
        <w:rPr>
          <w:rFonts w:ascii="Times New Roman" w:hAnsi="Times New Roman" w:eastAsia="宋体" w:cs="Times New Roman"/>
          <w:b/>
          <w:color w:val="000000" w:themeColor="text1"/>
          <w:sz w:val="24"/>
          <w:szCs w:val="28"/>
          <w:lang w:val="en-US" w:eastAsia="zh-CN" w:bidi="ar-SA"/>
          <w14:textFill>
            <w14:solidFill>
              <w14:schemeClr w14:val="tx1"/>
            </w14:solidFill>
          </w14:textFill>
        </w:rPr>
        <w:t>表</w:t>
      </w:r>
      <w:r>
        <w:rPr>
          <w:rFonts w:hint="eastAsia" w:ascii="Times New Roman" w:hAnsi="Times New Roman" w:eastAsia="宋体" w:cs="Times New Roman"/>
          <w:b/>
          <w:color w:val="000000" w:themeColor="text1"/>
          <w:sz w:val="24"/>
          <w:szCs w:val="28"/>
          <w:lang w:val="en-US" w:eastAsia="zh-CN" w:bidi="ar-SA"/>
          <w14:textFill>
            <w14:solidFill>
              <w14:schemeClr w14:val="tx1"/>
            </w14:solidFill>
          </w14:textFill>
        </w:rPr>
        <w:t>3</w:t>
      </w:r>
      <w:r>
        <w:rPr>
          <w:rFonts w:ascii="Times New Roman" w:hAnsi="Times New Roman" w:eastAsia="宋体" w:cs="Times New Roman"/>
          <w:b/>
          <w:color w:val="000000" w:themeColor="text1"/>
          <w:sz w:val="24"/>
          <w:szCs w:val="28"/>
          <w:lang w:val="en-US" w:eastAsia="zh-CN" w:bidi="ar-SA"/>
          <w14:textFill>
            <w14:solidFill>
              <w14:schemeClr w14:val="tx1"/>
            </w14:solidFill>
          </w14:textFill>
        </w:rPr>
        <w:t>.1-5 各季平均风向风频变化表</w:t>
      </w:r>
    </w:p>
    <w:tbl>
      <w:tblPr>
        <w:tblStyle w:val="33"/>
        <w:tblW w:w="14209"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900"/>
        <w:gridCol w:w="772"/>
        <w:gridCol w:w="772"/>
        <w:gridCol w:w="698"/>
        <w:gridCol w:w="698"/>
        <w:gridCol w:w="698"/>
        <w:gridCol w:w="772"/>
        <w:gridCol w:w="772"/>
        <w:gridCol w:w="698"/>
        <w:gridCol w:w="698"/>
        <w:gridCol w:w="698"/>
        <w:gridCol w:w="698"/>
        <w:gridCol w:w="732"/>
        <w:gridCol w:w="667"/>
        <w:gridCol w:w="766"/>
        <w:gridCol w:w="698"/>
        <w:gridCol w:w="773"/>
        <w:gridCol w:w="699"/>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00" w:type="dxa"/>
            <w:tcBorders>
              <w:tl2br w:val="single" w:color="000000" w:sz="4" w:space="0"/>
            </w:tcBorders>
            <w:shd w:val="clear" w:color="auto" w:fill="auto"/>
            <w:vAlign w:val="center"/>
          </w:tcPr>
          <w:p>
            <w:pPr>
              <w:pStyle w:val="93"/>
              <w:pageBreakBefore w:val="0"/>
              <w:tabs>
                <w:tab w:val="left" w:pos="0"/>
              </w:tabs>
              <w:kinsoku/>
              <w:bidi w:val="0"/>
              <w:spacing w:beforeAutospacing="0" w:afterAutospacing="0"/>
              <w:jc w:val="right"/>
              <w:rPr>
                <w:rFonts w:ascii="Times New Roman" w:hAnsi="Times New Roman" w:eastAsia="宋体" w:cs="Times New Roman"/>
                <w:color w:val="000000" w:themeColor="text1"/>
                <w:lang w:val="en-US"/>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风向</w:t>
            </w:r>
          </w:p>
          <w:p>
            <w:pPr>
              <w:pStyle w:val="93"/>
              <w:pageBreakBefore w:val="0"/>
              <w:tabs>
                <w:tab w:val="left" w:pos="0"/>
              </w:tabs>
              <w:kinsoku/>
              <w:bidi w:val="0"/>
              <w:spacing w:beforeAutospacing="0" w:afterAutospacing="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风频(%)</w:t>
            </w:r>
          </w:p>
        </w:tc>
        <w:tc>
          <w:tcPr>
            <w:tcW w:w="772"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N</w:t>
            </w:r>
          </w:p>
        </w:tc>
        <w:tc>
          <w:tcPr>
            <w:tcW w:w="772"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NNE</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NE</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ENE</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E</w:t>
            </w:r>
          </w:p>
        </w:tc>
        <w:tc>
          <w:tcPr>
            <w:tcW w:w="772"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ESE</w:t>
            </w:r>
          </w:p>
        </w:tc>
        <w:tc>
          <w:tcPr>
            <w:tcW w:w="772"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SE</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SSE</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S</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SSW</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SW</w:t>
            </w:r>
          </w:p>
        </w:tc>
        <w:tc>
          <w:tcPr>
            <w:tcW w:w="732"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WSW</w:t>
            </w:r>
          </w:p>
        </w:tc>
        <w:tc>
          <w:tcPr>
            <w:tcW w:w="667"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W</w:t>
            </w:r>
          </w:p>
        </w:tc>
        <w:tc>
          <w:tcPr>
            <w:tcW w:w="76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WNW</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NW</w:t>
            </w:r>
          </w:p>
        </w:tc>
        <w:tc>
          <w:tcPr>
            <w:tcW w:w="773"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NNW</w:t>
            </w:r>
          </w:p>
        </w:tc>
        <w:tc>
          <w:tcPr>
            <w:tcW w:w="69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C</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0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春季</w:t>
            </w:r>
          </w:p>
        </w:tc>
        <w:tc>
          <w:tcPr>
            <w:tcW w:w="772"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15.26</w:t>
            </w:r>
          </w:p>
        </w:tc>
        <w:tc>
          <w:tcPr>
            <w:tcW w:w="772"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7.07</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3.49</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2.85</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3.85</w:t>
            </w:r>
          </w:p>
        </w:tc>
        <w:tc>
          <w:tcPr>
            <w:tcW w:w="772"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4.30</w:t>
            </w:r>
          </w:p>
        </w:tc>
        <w:tc>
          <w:tcPr>
            <w:tcW w:w="772"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9.65</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8.56</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5.75</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2.40</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2.17</w:t>
            </w:r>
          </w:p>
        </w:tc>
        <w:tc>
          <w:tcPr>
            <w:tcW w:w="732"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2.08</w:t>
            </w:r>
          </w:p>
        </w:tc>
        <w:tc>
          <w:tcPr>
            <w:tcW w:w="667"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4.80</w:t>
            </w:r>
          </w:p>
        </w:tc>
        <w:tc>
          <w:tcPr>
            <w:tcW w:w="76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2.99</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6.02</w:t>
            </w:r>
          </w:p>
        </w:tc>
        <w:tc>
          <w:tcPr>
            <w:tcW w:w="773"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12.27</w:t>
            </w:r>
          </w:p>
        </w:tc>
        <w:tc>
          <w:tcPr>
            <w:tcW w:w="69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6.48</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0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夏季</w:t>
            </w:r>
          </w:p>
        </w:tc>
        <w:tc>
          <w:tcPr>
            <w:tcW w:w="772"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16.35</w:t>
            </w:r>
          </w:p>
        </w:tc>
        <w:tc>
          <w:tcPr>
            <w:tcW w:w="772"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4.39</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2.54</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2.17</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4.44</w:t>
            </w:r>
          </w:p>
        </w:tc>
        <w:tc>
          <w:tcPr>
            <w:tcW w:w="772"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10.51</w:t>
            </w:r>
          </w:p>
        </w:tc>
        <w:tc>
          <w:tcPr>
            <w:tcW w:w="772"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13.81</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6.66</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3.22</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1.68</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1.81</w:t>
            </w:r>
          </w:p>
        </w:tc>
        <w:tc>
          <w:tcPr>
            <w:tcW w:w="732"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2.58</w:t>
            </w:r>
          </w:p>
        </w:tc>
        <w:tc>
          <w:tcPr>
            <w:tcW w:w="667"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5.16</w:t>
            </w:r>
          </w:p>
        </w:tc>
        <w:tc>
          <w:tcPr>
            <w:tcW w:w="76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2.90</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5.66</w:t>
            </w:r>
          </w:p>
        </w:tc>
        <w:tc>
          <w:tcPr>
            <w:tcW w:w="773"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12.32</w:t>
            </w:r>
          </w:p>
        </w:tc>
        <w:tc>
          <w:tcPr>
            <w:tcW w:w="69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3.80</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0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秋季</w:t>
            </w:r>
          </w:p>
        </w:tc>
        <w:tc>
          <w:tcPr>
            <w:tcW w:w="772"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24.73</w:t>
            </w:r>
          </w:p>
        </w:tc>
        <w:tc>
          <w:tcPr>
            <w:tcW w:w="772"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9.80</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4.53</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3.34</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3.98</w:t>
            </w:r>
          </w:p>
        </w:tc>
        <w:tc>
          <w:tcPr>
            <w:tcW w:w="772"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4.44</w:t>
            </w:r>
          </w:p>
        </w:tc>
        <w:tc>
          <w:tcPr>
            <w:tcW w:w="772"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6.32</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3.66</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2.47</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0.82</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1.01</w:t>
            </w:r>
          </w:p>
        </w:tc>
        <w:tc>
          <w:tcPr>
            <w:tcW w:w="732"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1.47</w:t>
            </w:r>
          </w:p>
        </w:tc>
        <w:tc>
          <w:tcPr>
            <w:tcW w:w="667"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4.03</w:t>
            </w:r>
          </w:p>
        </w:tc>
        <w:tc>
          <w:tcPr>
            <w:tcW w:w="76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2.79</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8.47</w:t>
            </w:r>
          </w:p>
        </w:tc>
        <w:tc>
          <w:tcPr>
            <w:tcW w:w="773"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16.30</w:t>
            </w:r>
          </w:p>
        </w:tc>
        <w:tc>
          <w:tcPr>
            <w:tcW w:w="69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1.83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0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冬季</w:t>
            </w:r>
          </w:p>
        </w:tc>
        <w:tc>
          <w:tcPr>
            <w:tcW w:w="772"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20.23</w:t>
            </w:r>
          </w:p>
        </w:tc>
        <w:tc>
          <w:tcPr>
            <w:tcW w:w="772"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10.60</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6.67</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3.10</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2.78</w:t>
            </w:r>
          </w:p>
        </w:tc>
        <w:tc>
          <w:tcPr>
            <w:tcW w:w="772"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1.99</w:t>
            </w:r>
          </w:p>
        </w:tc>
        <w:tc>
          <w:tcPr>
            <w:tcW w:w="772"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6.06</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5.79</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4.77</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2.04</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1.53</w:t>
            </w:r>
          </w:p>
        </w:tc>
        <w:tc>
          <w:tcPr>
            <w:tcW w:w="732"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2.04</w:t>
            </w:r>
          </w:p>
        </w:tc>
        <w:tc>
          <w:tcPr>
            <w:tcW w:w="667"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4.26</w:t>
            </w:r>
          </w:p>
        </w:tc>
        <w:tc>
          <w:tcPr>
            <w:tcW w:w="76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3.06</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6.62</w:t>
            </w:r>
          </w:p>
        </w:tc>
        <w:tc>
          <w:tcPr>
            <w:tcW w:w="773"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13.98</w:t>
            </w:r>
          </w:p>
        </w:tc>
        <w:tc>
          <w:tcPr>
            <w:tcW w:w="69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4.49</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900"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全年</w:t>
            </w:r>
          </w:p>
        </w:tc>
        <w:tc>
          <w:tcPr>
            <w:tcW w:w="772"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19.12</w:t>
            </w:r>
          </w:p>
        </w:tc>
        <w:tc>
          <w:tcPr>
            <w:tcW w:w="772"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7.95</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4.29</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2.87</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3.77</w:t>
            </w:r>
          </w:p>
        </w:tc>
        <w:tc>
          <w:tcPr>
            <w:tcW w:w="772"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5.33</w:t>
            </w:r>
          </w:p>
        </w:tc>
        <w:tc>
          <w:tcPr>
            <w:tcW w:w="772"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8.98</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6.18</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4.05</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1.74</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1.63</w:t>
            </w:r>
          </w:p>
        </w:tc>
        <w:tc>
          <w:tcPr>
            <w:tcW w:w="732"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2.04</w:t>
            </w:r>
          </w:p>
        </w:tc>
        <w:tc>
          <w:tcPr>
            <w:tcW w:w="667"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4.57</w:t>
            </w:r>
          </w:p>
        </w:tc>
        <w:tc>
          <w:tcPr>
            <w:tcW w:w="766"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2.93</w:t>
            </w:r>
          </w:p>
        </w:tc>
        <w:tc>
          <w:tcPr>
            <w:tcW w:w="698"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6.69</w:t>
            </w:r>
          </w:p>
        </w:tc>
        <w:tc>
          <w:tcPr>
            <w:tcW w:w="773"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13.71</w:t>
            </w:r>
          </w:p>
        </w:tc>
        <w:tc>
          <w:tcPr>
            <w:tcW w:w="699" w:type="dxa"/>
            <w:tcBorders>
              <w:tl2br w:val="nil"/>
              <w:tr2bl w:val="nil"/>
            </w:tcBorders>
            <w:shd w:val="clear" w:color="auto" w:fill="auto"/>
            <w:vAlign w:val="center"/>
          </w:tcPr>
          <w:p>
            <w:pPr>
              <w:pStyle w:val="93"/>
              <w:pageBreakBefore w:val="0"/>
              <w:tabs>
                <w:tab w:val="left" w:pos="0"/>
              </w:tabs>
              <w:kinsoku/>
              <w:bidi w:val="0"/>
              <w:spacing w:beforeAutospacing="0" w:afterAutospacing="0"/>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t>4.16</w:t>
            </w:r>
          </w:p>
        </w:tc>
      </w:tr>
    </w:tbl>
    <w:p>
      <w:pPr>
        <w:pageBreakBefore w:val="0"/>
        <w:kinsoku/>
        <w:bidi w:val="0"/>
        <w:spacing w:beforeAutospacing="0" w:afterAutospacing="0"/>
        <w:ind w:firstLine="480"/>
        <w:rPr>
          <w:rFonts w:ascii="Times New Roman" w:hAnsi="Times New Roman" w:eastAsia="宋体"/>
          <w:color w:val="000000" w:themeColor="text1"/>
          <w14:textFill>
            <w14:solidFill>
              <w14:schemeClr w14:val="tx1"/>
            </w14:solidFill>
          </w14:textFill>
        </w:rPr>
        <w:sectPr>
          <w:pgSz w:w="16838" w:h="11906" w:orient="landscape"/>
          <w:pgMar w:top="1418" w:right="1418" w:bottom="1418" w:left="1418" w:header="992" w:footer="992" w:gutter="0"/>
          <w:pgBorders w:offsetFrom="page">
            <w:top w:val="none" w:sz="0" w:space="0"/>
            <w:left w:val="none" w:sz="0" w:space="0"/>
            <w:bottom w:val="none" w:sz="0" w:space="0"/>
            <w:right w:val="none" w:sz="0" w:space="0"/>
          </w:pgBorders>
          <w:pgNumType w:fmt="decimal"/>
          <w:cols w:space="720" w:num="1"/>
          <w:docGrid w:type="lines" w:linePitch="312" w:charSpace="0"/>
        </w:sectPr>
      </w:pPr>
    </w:p>
    <w:p>
      <w:pPr>
        <w:pageBreakBefore w:val="0"/>
        <w:widowControl w:val="0"/>
        <w:kinsoku/>
        <w:bidi w:val="0"/>
        <w:spacing w:beforeAutospacing="0" w:afterAutospacing="0" w:line="360" w:lineRule="auto"/>
        <w:ind w:firstLine="0" w:firstLineChars="0"/>
        <w:jc w:val="center"/>
        <w:rPr>
          <w:rFonts w:ascii="Times New Roman" w:hAnsi="Times New Roman" w:eastAsia="宋体" w:cs="Times New Roman"/>
          <w:color w:val="000000" w:themeColor="text1"/>
          <w:lang w:val="en-US"/>
          <w14:textFill>
            <w14:solidFill>
              <w14:schemeClr w14:val="tx1"/>
            </w14:solidFill>
          </w14:textFill>
        </w:rPr>
      </w:pPr>
      <w:r>
        <w:rPr>
          <w:rFonts w:ascii="Times New Roman" w:hAnsi="Times New Roman" w:eastAsia="宋体" w:cs="Times New Roman"/>
          <w:color w:val="000000" w:themeColor="text1"/>
          <w:lang w:val="en-US"/>
          <w14:textFill>
            <w14:solidFill>
              <w14:schemeClr w14:val="tx1"/>
            </w14:solidFill>
          </w14:textFill>
        </w:rPr>
        <w:drawing>
          <wp:inline distT="0" distB="0" distL="114300" distR="114300">
            <wp:extent cx="5076825" cy="7058025"/>
            <wp:effectExtent l="0" t="0" r="9525" b="9525"/>
            <wp:docPr id="2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10"/>
                    <pic:cNvPicPr>
                      <a:picLocks noChangeAspect="1"/>
                    </pic:cNvPicPr>
                  </pic:nvPicPr>
                  <pic:blipFill>
                    <a:blip r:embed="rId46"/>
                    <a:srcRect t="2500"/>
                    <a:stretch>
                      <a:fillRect/>
                    </a:stretch>
                  </pic:blipFill>
                  <pic:spPr>
                    <a:xfrm>
                      <a:off x="0" y="0"/>
                      <a:ext cx="5076825" cy="7058025"/>
                    </a:xfrm>
                    <a:prstGeom prst="rect">
                      <a:avLst/>
                    </a:prstGeom>
                    <a:noFill/>
                    <a:ln>
                      <a:noFill/>
                    </a:ln>
                  </pic:spPr>
                </pic:pic>
              </a:graphicData>
            </a:graphic>
          </wp:inline>
        </w:drawing>
      </w:r>
    </w:p>
    <w:p>
      <w:pPr>
        <w:pageBreakBefore w:val="0"/>
        <w:widowControl w:val="0"/>
        <w:kinsoku/>
        <w:bidi w:val="0"/>
        <w:spacing w:beforeAutospacing="0" w:afterAutospacing="0" w:line="360" w:lineRule="auto"/>
        <w:ind w:firstLine="0" w:firstLineChars="0"/>
        <w:jc w:val="center"/>
        <w:rPr>
          <w:rFonts w:ascii="Times New Roman" w:hAnsi="Times New Roman" w:eastAsia="宋体" w:cs="Times New Roman"/>
          <w:b/>
          <w:color w:val="000000" w:themeColor="text1"/>
          <w:sz w:val="24"/>
          <w:szCs w:val="28"/>
          <w:lang w:val="en-US" w:eastAsia="zh-CN" w:bidi="ar-SA"/>
          <w14:textFill>
            <w14:solidFill>
              <w14:schemeClr w14:val="tx1"/>
            </w14:solidFill>
          </w14:textFill>
        </w:rPr>
      </w:pPr>
      <w:r>
        <w:rPr>
          <w:rFonts w:ascii="Times New Roman" w:hAnsi="Times New Roman" w:eastAsia="宋体" w:cs="Times New Roman"/>
          <w:color w:val="000000" w:themeColor="text1"/>
          <w:kern w:val="2"/>
          <w:sz w:val="24"/>
          <w:lang w:val="en-US" w:eastAsia="zh-CN" w:bidi="ar-SA"/>
          <w14:textFill>
            <w14:solidFill>
              <w14:schemeClr w14:val="tx1"/>
            </w14:solidFill>
          </w14:textFill>
        </w:rPr>
        <w:t xml:space="preserve"> </w:t>
      </w:r>
      <w:r>
        <w:rPr>
          <w:rFonts w:ascii="Times New Roman" w:hAnsi="Times New Roman" w:eastAsia="宋体" w:cs="Times New Roman"/>
          <w:b/>
          <w:color w:val="000000" w:themeColor="text1"/>
          <w:sz w:val="24"/>
          <w:szCs w:val="28"/>
          <w:lang w:val="en-US" w:eastAsia="zh-CN" w:bidi="ar-SA"/>
          <w14:textFill>
            <w14:solidFill>
              <w14:schemeClr w14:val="tx1"/>
            </w14:solidFill>
          </w14:textFill>
        </w:rPr>
        <w:t>图</w:t>
      </w:r>
      <w:r>
        <w:rPr>
          <w:rFonts w:hint="eastAsia" w:ascii="Times New Roman" w:hAnsi="Times New Roman" w:eastAsia="宋体" w:cs="Times New Roman"/>
          <w:b/>
          <w:color w:val="000000" w:themeColor="text1"/>
          <w:sz w:val="24"/>
          <w:szCs w:val="28"/>
          <w:lang w:val="en-US" w:eastAsia="zh-CN" w:bidi="ar-SA"/>
          <w14:textFill>
            <w14:solidFill>
              <w14:schemeClr w14:val="tx1"/>
            </w14:solidFill>
          </w14:textFill>
        </w:rPr>
        <w:t>3</w:t>
      </w:r>
      <w:r>
        <w:rPr>
          <w:rFonts w:ascii="Times New Roman" w:hAnsi="Times New Roman" w:eastAsia="宋体" w:cs="Times New Roman"/>
          <w:b/>
          <w:color w:val="000000" w:themeColor="text1"/>
          <w:sz w:val="24"/>
          <w:szCs w:val="28"/>
          <w:lang w:val="en-US" w:eastAsia="zh-CN" w:bidi="ar-SA"/>
          <w14:textFill>
            <w14:solidFill>
              <w14:schemeClr w14:val="tx1"/>
            </w14:solidFill>
          </w14:textFill>
        </w:rPr>
        <w:t xml:space="preserve">.1-4  </w:t>
      </w:r>
      <w:r>
        <w:rPr>
          <w:rFonts w:hint="eastAsia" w:ascii="Times New Roman" w:hAnsi="Times New Roman" w:eastAsia="宋体" w:cs="Times New Roman"/>
          <w:b/>
          <w:color w:val="000000" w:themeColor="text1"/>
          <w:sz w:val="24"/>
          <w:szCs w:val="28"/>
          <w:lang w:val="en-US" w:eastAsia="zh-CN" w:bidi="ar-SA"/>
          <w14:textFill>
            <w14:solidFill>
              <w14:schemeClr w14:val="tx1"/>
            </w14:solidFill>
          </w14:textFill>
        </w:rPr>
        <w:t>福鼎市</w:t>
      </w:r>
      <w:r>
        <w:rPr>
          <w:rFonts w:ascii="Times New Roman" w:hAnsi="Times New Roman" w:eastAsia="宋体" w:cs="Times New Roman"/>
          <w:b/>
          <w:color w:val="000000" w:themeColor="text1"/>
          <w:sz w:val="24"/>
          <w:szCs w:val="28"/>
          <w:lang w:val="en-US" w:eastAsia="zh-CN" w:bidi="ar-SA"/>
          <w14:textFill>
            <w14:solidFill>
              <w14:schemeClr w14:val="tx1"/>
            </w14:solidFill>
          </w14:textFill>
        </w:rPr>
        <w:t>20</w:t>
      </w:r>
      <w:r>
        <w:rPr>
          <w:rFonts w:hint="eastAsia" w:ascii="Times New Roman" w:hAnsi="Times New Roman" w:eastAsia="宋体" w:cs="Times New Roman"/>
          <w:b/>
          <w:color w:val="000000" w:themeColor="text1"/>
          <w:sz w:val="24"/>
          <w:szCs w:val="28"/>
          <w:lang w:val="en-US" w:eastAsia="zh-CN" w:bidi="ar-SA"/>
          <w14:textFill>
            <w14:solidFill>
              <w14:schemeClr w14:val="tx1"/>
            </w14:solidFill>
          </w14:textFill>
        </w:rPr>
        <w:t>21</w:t>
      </w:r>
      <w:r>
        <w:rPr>
          <w:rFonts w:ascii="Times New Roman" w:hAnsi="Times New Roman" w:eastAsia="宋体" w:cs="Times New Roman"/>
          <w:b/>
          <w:color w:val="000000" w:themeColor="text1"/>
          <w:sz w:val="24"/>
          <w:szCs w:val="28"/>
          <w:lang w:val="en-US" w:eastAsia="zh-CN" w:bidi="ar-SA"/>
          <w14:textFill>
            <w14:solidFill>
              <w14:schemeClr w14:val="tx1"/>
            </w14:solidFill>
          </w14:textFill>
        </w:rPr>
        <w:t>年风频玫瑰图</w:t>
      </w:r>
    </w:p>
    <w:p>
      <w:pPr>
        <w:pStyle w:val="11"/>
        <w:pageBreakBefore w:val="0"/>
        <w:kinsoku/>
        <w:bidi w:val="0"/>
        <w:spacing w:beforeAutospacing="0" w:afterAutospacing="0"/>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3.2大气环境质量现状</w:t>
      </w:r>
    </w:p>
    <w:p>
      <w:pPr>
        <w:pStyle w:val="30"/>
        <w:keepNext w:val="0"/>
        <w:keepLines w:val="0"/>
        <w:pageBreakBefore w:val="0"/>
        <w:widowControl w:val="0"/>
        <w:suppressLineNumbers w:val="0"/>
        <w:kinsoku/>
        <w:bidi w:val="0"/>
        <w:spacing w:before="0" w:beforeAutospacing="0" w:after="0" w:afterAutospacing="0" w:line="360" w:lineRule="auto"/>
        <w:ind w:left="0" w:right="0" w:firstLine="480" w:firstLineChars="200"/>
        <w:jc w:val="both"/>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根据《宁德市环境质量概要（</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2022</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年度）》</w:t>
      </w:r>
      <w:r>
        <w:rPr>
          <w:rFonts w:hint="default" w:ascii="Times New Roman" w:hAnsi="Times New Roman" w:eastAsia="宋体" w:cs="Times New Roman"/>
          <w:color w:val="000000" w:themeColor="text1"/>
          <w:sz w:val="24"/>
          <w:szCs w:val="24"/>
          <w:highlight w:val="none"/>
          <w14:textFill>
            <w14:solidFill>
              <w14:schemeClr w14:val="tx1"/>
            </w14:solidFill>
          </w14:textFill>
        </w:rPr>
        <w:t>，详见</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表</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2-1</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，福鼎市202</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年空气环境中SO</w:t>
      </w:r>
      <w:r>
        <w:rPr>
          <w:rFonts w:hint="default" w:ascii="Times New Roman" w:hAnsi="Times New Roman" w:eastAsia="宋体" w:cs="Times New Roman"/>
          <w:color w:val="000000" w:themeColor="text1"/>
          <w:kern w:val="0"/>
          <w:sz w:val="24"/>
          <w:szCs w:val="24"/>
          <w:highlight w:val="none"/>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、NO</w:t>
      </w:r>
      <w:r>
        <w:rPr>
          <w:rFonts w:hint="default" w:ascii="Times New Roman" w:hAnsi="Times New Roman" w:eastAsia="宋体" w:cs="Times New Roman"/>
          <w:color w:val="000000" w:themeColor="text1"/>
          <w:kern w:val="0"/>
          <w:sz w:val="24"/>
          <w:szCs w:val="24"/>
          <w:highlight w:val="none"/>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、PM</w:t>
      </w:r>
      <w:r>
        <w:rPr>
          <w:rFonts w:hint="default" w:ascii="Times New Roman" w:hAnsi="Times New Roman" w:eastAsia="宋体" w:cs="Times New Roman"/>
          <w:color w:val="000000" w:themeColor="text1"/>
          <w:kern w:val="0"/>
          <w:sz w:val="24"/>
          <w:szCs w:val="24"/>
          <w:highlight w:val="none"/>
          <w:vertAlign w:val="subscript"/>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和PM</w:t>
      </w:r>
      <w:r>
        <w:rPr>
          <w:rFonts w:hint="default" w:ascii="Times New Roman" w:hAnsi="Times New Roman" w:eastAsia="宋体" w:cs="Times New Roman"/>
          <w:color w:val="000000" w:themeColor="text1"/>
          <w:kern w:val="0"/>
          <w:sz w:val="24"/>
          <w:szCs w:val="24"/>
          <w:highlight w:val="none"/>
          <w:vertAlign w:val="subscript"/>
          <w:lang w:val="en-US" w:eastAsia="zh-CN" w:bidi="ar"/>
          <w14:textFill>
            <w14:solidFill>
              <w14:schemeClr w14:val="tx1"/>
            </w14:solidFill>
          </w14:textFill>
        </w:rPr>
        <w:t>2.5</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均未超过国家二级标准，CO日均值第95百分数和O</w:t>
      </w:r>
      <w:r>
        <w:rPr>
          <w:rFonts w:hint="default" w:ascii="Times New Roman" w:hAnsi="Times New Roman" w:eastAsia="宋体" w:cs="Times New Roman"/>
          <w:color w:val="000000" w:themeColor="text1"/>
          <w:kern w:val="0"/>
          <w:sz w:val="24"/>
          <w:szCs w:val="24"/>
          <w:highlight w:val="none"/>
          <w:vertAlign w:val="sub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最大8小时值第90百分数未超过国家二级标准，福鼎市环境空气质量属于达标区。</w:t>
      </w:r>
    </w:p>
    <w:p>
      <w:pPr>
        <w:pageBreakBefore w:val="0"/>
        <w:kinsoku/>
        <w:bidi w:val="0"/>
        <w:adjustRightInd w:val="0"/>
        <w:snapToGrid w:val="0"/>
        <w:spacing w:beforeAutospacing="0" w:afterAutospacing="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表</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3.2-1</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福鼎市区域空气质量现状评价表</w:t>
      </w:r>
    </w:p>
    <w:tbl>
      <w:tblPr>
        <w:tblStyle w:val="33"/>
        <w:tblW w:w="89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1714"/>
        <w:gridCol w:w="1110"/>
        <w:gridCol w:w="1190"/>
        <w:gridCol w:w="1190"/>
        <w:gridCol w:w="1202"/>
        <w:gridCol w:w="1319"/>
        <w:gridCol w:w="12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714"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时间</w:t>
            </w:r>
          </w:p>
        </w:tc>
        <w:tc>
          <w:tcPr>
            <w:tcW w:w="1110"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SO</w:t>
            </w:r>
            <w:r>
              <w:rPr>
                <w:rFonts w:hint="default" w:ascii="Times New Roman" w:hAnsi="Times New Roman" w:eastAsia="宋体" w:cs="Times New Roman"/>
                <w:color w:val="000000" w:themeColor="text1"/>
                <w:highlight w:val="none"/>
                <w:vertAlign w:val="subscript"/>
                <w14:textFill>
                  <w14:solidFill>
                    <w14:schemeClr w14:val="tx1"/>
                  </w14:solidFill>
                </w14:textFill>
              </w:rPr>
              <w:t>2</w:t>
            </w:r>
          </w:p>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mg/m³</w:t>
            </w:r>
          </w:p>
        </w:tc>
        <w:tc>
          <w:tcPr>
            <w:tcW w:w="1190"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NO</w:t>
            </w:r>
            <w:r>
              <w:rPr>
                <w:rFonts w:hint="default" w:ascii="Times New Roman" w:hAnsi="Times New Roman" w:eastAsia="宋体" w:cs="Times New Roman"/>
                <w:color w:val="000000" w:themeColor="text1"/>
                <w:highlight w:val="none"/>
                <w:vertAlign w:val="subscript"/>
                <w14:textFill>
                  <w14:solidFill>
                    <w14:schemeClr w14:val="tx1"/>
                  </w14:solidFill>
                </w14:textFill>
              </w:rPr>
              <w:t>2</w:t>
            </w:r>
          </w:p>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mg/m³</w:t>
            </w:r>
          </w:p>
        </w:tc>
        <w:tc>
          <w:tcPr>
            <w:tcW w:w="1190"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PM</w:t>
            </w:r>
            <w:r>
              <w:rPr>
                <w:rFonts w:hint="default" w:ascii="Times New Roman" w:hAnsi="Times New Roman" w:eastAsia="宋体" w:cs="Times New Roman"/>
                <w:color w:val="000000" w:themeColor="text1"/>
                <w:highlight w:val="none"/>
                <w:vertAlign w:val="subscript"/>
                <w14:textFill>
                  <w14:solidFill>
                    <w14:schemeClr w14:val="tx1"/>
                  </w14:solidFill>
                </w14:textFill>
              </w:rPr>
              <w:t>10</w:t>
            </w:r>
          </w:p>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mg/m³</w:t>
            </w:r>
          </w:p>
        </w:tc>
        <w:tc>
          <w:tcPr>
            <w:tcW w:w="1202"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PM</w:t>
            </w:r>
            <w:r>
              <w:rPr>
                <w:rFonts w:hint="default" w:ascii="Times New Roman" w:hAnsi="Times New Roman" w:eastAsia="宋体" w:cs="Times New Roman"/>
                <w:color w:val="000000" w:themeColor="text1"/>
                <w:highlight w:val="none"/>
                <w:vertAlign w:val="subscript"/>
                <w14:textFill>
                  <w14:solidFill>
                    <w14:schemeClr w14:val="tx1"/>
                  </w14:solidFill>
                </w14:textFill>
              </w:rPr>
              <w:t>2.5</w:t>
            </w:r>
          </w:p>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mg/m³</w:t>
            </w:r>
          </w:p>
        </w:tc>
        <w:tc>
          <w:tcPr>
            <w:tcW w:w="1319"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CO</w:t>
            </w:r>
          </w:p>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mg/m³</w:t>
            </w:r>
          </w:p>
        </w:tc>
        <w:tc>
          <w:tcPr>
            <w:tcW w:w="1233"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O</w:t>
            </w:r>
            <w:r>
              <w:rPr>
                <w:rFonts w:hint="default" w:ascii="Times New Roman" w:hAnsi="Times New Roman" w:eastAsia="宋体" w:cs="Times New Roman"/>
                <w:color w:val="000000" w:themeColor="text1"/>
                <w:highlight w:val="none"/>
                <w:vertAlign w:val="subscript"/>
                <w14:textFill>
                  <w14:solidFill>
                    <w14:schemeClr w14:val="tx1"/>
                  </w14:solidFill>
                </w14:textFill>
              </w:rPr>
              <w:t>3</w:t>
            </w:r>
          </w:p>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mg/m³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714"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福鼎市</w:t>
            </w:r>
          </w:p>
        </w:tc>
        <w:tc>
          <w:tcPr>
            <w:tcW w:w="1110"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0.0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07</w:t>
            </w:r>
          </w:p>
        </w:tc>
        <w:tc>
          <w:tcPr>
            <w:tcW w:w="1190" w:type="dxa"/>
            <w:tcBorders>
              <w:tl2br w:val="nil"/>
              <w:tr2bl w:val="nil"/>
            </w:tcBorders>
            <w:vAlign w:val="center"/>
          </w:tcPr>
          <w:p>
            <w:pPr>
              <w:pStyle w:val="141"/>
              <w:pageBreakBefore w:val="0"/>
              <w:kinsoku/>
              <w:bidi w:val="0"/>
              <w:spacing w:beforeAutospacing="0" w:afterAutospacing="0"/>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0.00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8</w:t>
            </w:r>
          </w:p>
        </w:tc>
        <w:tc>
          <w:tcPr>
            <w:tcW w:w="1190" w:type="dxa"/>
            <w:tcBorders>
              <w:tl2br w:val="nil"/>
              <w:tr2bl w:val="nil"/>
            </w:tcBorders>
            <w:vAlign w:val="center"/>
          </w:tcPr>
          <w:p>
            <w:pPr>
              <w:pStyle w:val="141"/>
              <w:pageBreakBefore w:val="0"/>
              <w:kinsoku/>
              <w:bidi w:val="0"/>
              <w:spacing w:beforeAutospacing="0" w:afterAutospacing="0"/>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0.03</w:t>
            </w:r>
            <w:r>
              <w:rPr>
                <w:rFonts w:hint="eastAsia" w:ascii="Times New Roman" w:hAnsi="Times New Roman" w:eastAsia="宋体" w:cs="Times New Roman"/>
                <w:color w:val="000000" w:themeColor="text1"/>
                <w:highlight w:val="none"/>
                <w:lang w:val="en-US" w:eastAsia="zh-CN"/>
                <w14:textFill>
                  <w14:solidFill>
                    <w14:schemeClr w14:val="tx1"/>
                  </w14:solidFill>
                </w14:textFill>
              </w:rPr>
              <w:t>5</w:t>
            </w:r>
          </w:p>
        </w:tc>
        <w:tc>
          <w:tcPr>
            <w:tcW w:w="1202" w:type="dxa"/>
            <w:tcBorders>
              <w:tl2br w:val="nil"/>
              <w:tr2bl w:val="nil"/>
            </w:tcBorders>
            <w:vAlign w:val="center"/>
          </w:tcPr>
          <w:p>
            <w:pPr>
              <w:pStyle w:val="141"/>
              <w:pageBreakBefore w:val="0"/>
              <w:kinsoku/>
              <w:bidi w:val="0"/>
              <w:spacing w:beforeAutospacing="0" w:afterAutospacing="0"/>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0.01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3</w:t>
            </w:r>
          </w:p>
        </w:tc>
        <w:tc>
          <w:tcPr>
            <w:tcW w:w="1319" w:type="dxa"/>
            <w:tcBorders>
              <w:tl2br w:val="nil"/>
              <w:tr2bl w:val="nil"/>
            </w:tcBorders>
            <w:vAlign w:val="center"/>
          </w:tcPr>
          <w:p>
            <w:pPr>
              <w:pStyle w:val="141"/>
              <w:pageBreakBefore w:val="0"/>
              <w:kinsoku/>
              <w:bidi w:val="0"/>
              <w:spacing w:beforeAutospacing="0" w:afterAutospacing="0"/>
              <w:rPr>
                <w:rFonts w:hint="eastAsia" w:ascii="Times New Roman" w:hAnsi="Times New Roman" w:eastAsia="宋体" w:cs="Times New Roman"/>
                <w:color w:val="000000" w:themeColor="text1"/>
                <w:highlight w:val="none"/>
                <w:lang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1.</w:t>
            </w:r>
            <w:r>
              <w:rPr>
                <w:rFonts w:hint="eastAsia" w:ascii="Times New Roman" w:hAnsi="Times New Roman" w:eastAsia="宋体" w:cs="Times New Roman"/>
                <w:color w:val="000000" w:themeColor="text1"/>
                <w:highlight w:val="none"/>
                <w:lang w:val="en-US" w:eastAsia="zh-CN"/>
                <w14:textFill>
                  <w14:solidFill>
                    <w14:schemeClr w14:val="tx1"/>
                  </w14:solidFill>
                </w14:textFill>
              </w:rPr>
              <w:t>5</w:t>
            </w:r>
          </w:p>
        </w:tc>
        <w:tc>
          <w:tcPr>
            <w:tcW w:w="1233"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0.0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84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714"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国家二级标准</w:t>
            </w:r>
          </w:p>
        </w:tc>
        <w:tc>
          <w:tcPr>
            <w:tcW w:w="1110"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0.06</w:t>
            </w:r>
          </w:p>
        </w:tc>
        <w:tc>
          <w:tcPr>
            <w:tcW w:w="1190"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0.04</w:t>
            </w:r>
          </w:p>
        </w:tc>
        <w:tc>
          <w:tcPr>
            <w:tcW w:w="1190"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0.07</w:t>
            </w:r>
          </w:p>
        </w:tc>
        <w:tc>
          <w:tcPr>
            <w:tcW w:w="1202"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0.035</w:t>
            </w:r>
          </w:p>
        </w:tc>
        <w:tc>
          <w:tcPr>
            <w:tcW w:w="1319"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4</w:t>
            </w:r>
          </w:p>
        </w:tc>
        <w:tc>
          <w:tcPr>
            <w:tcW w:w="1233"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0.16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1714" w:type="dxa"/>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达标情况</w:t>
            </w:r>
          </w:p>
        </w:tc>
        <w:tc>
          <w:tcPr>
            <w:tcW w:w="7244" w:type="dxa"/>
            <w:gridSpan w:val="6"/>
            <w:tcBorders>
              <w:tl2br w:val="nil"/>
              <w:tr2bl w:val="nil"/>
            </w:tcBorders>
            <w:vAlign w:val="center"/>
          </w:tcPr>
          <w:p>
            <w:pPr>
              <w:pStyle w:val="141"/>
              <w:pageBreakBefore w:val="0"/>
              <w:kinsoku/>
              <w:bidi w:val="0"/>
              <w:spacing w:beforeAutospacing="0" w:afterAutospacing="0"/>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84" w:hRule="atLeast"/>
          <w:jc w:val="center"/>
        </w:trPr>
        <w:tc>
          <w:tcPr>
            <w:tcW w:w="8958" w:type="dxa"/>
            <w:gridSpan w:val="7"/>
            <w:tcBorders>
              <w:tl2br w:val="nil"/>
              <w:tr2bl w:val="nil"/>
            </w:tcBorders>
            <w:vAlign w:val="center"/>
          </w:tcPr>
          <w:p>
            <w:pPr>
              <w:pStyle w:val="141"/>
              <w:pageBreakBefore w:val="0"/>
              <w:kinsoku/>
              <w:bidi w:val="0"/>
              <w:spacing w:beforeAutospacing="0" w:afterAutospacing="0"/>
              <w:ind w:firstLine="480"/>
              <w:jc w:val="both"/>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注：CO为日均值第95百分位数，O</w:t>
            </w:r>
            <w:r>
              <w:rPr>
                <w:rFonts w:hint="default" w:ascii="Times New Roman" w:hAnsi="Times New Roman" w:eastAsia="宋体" w:cs="Times New Roman"/>
                <w:color w:val="000000" w:themeColor="text1"/>
                <w:highlight w:val="none"/>
                <w:vertAlign w:val="subscript"/>
                <w14:textFill>
                  <w14:solidFill>
                    <w14:schemeClr w14:val="tx1"/>
                  </w14:solidFill>
                </w14:textFill>
              </w:rPr>
              <w:t>3</w:t>
            </w:r>
            <w:r>
              <w:rPr>
                <w:rFonts w:hint="default" w:ascii="Times New Roman" w:hAnsi="Times New Roman" w:eastAsia="宋体" w:cs="Times New Roman"/>
                <w:color w:val="000000" w:themeColor="text1"/>
                <w:highlight w:val="none"/>
                <w14:textFill>
                  <w14:solidFill>
                    <w14:schemeClr w14:val="tx1"/>
                  </w14:solidFill>
                </w14:textFill>
              </w:rPr>
              <w:t>为日最大8小时值第90百分位数。</w:t>
            </w:r>
          </w:p>
        </w:tc>
      </w:tr>
    </w:tbl>
    <w:p>
      <w:pPr>
        <w:pStyle w:val="30"/>
        <w:keepNext w:val="0"/>
        <w:keepLines w:val="0"/>
        <w:pageBreakBefore w:val="0"/>
        <w:widowControl w:val="0"/>
        <w:suppressLineNumbers w:val="0"/>
        <w:kinsoku/>
        <w:bidi w:val="0"/>
        <w:spacing w:before="0" w:beforeAutospacing="0" w:after="0" w:afterAutospacing="0" w:line="360" w:lineRule="auto"/>
        <w:ind w:left="0" w:right="0" w:firstLine="480" w:firstLineChars="200"/>
        <w:jc w:val="both"/>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为了解区域</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TSP</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境质量现状，</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引用福建晟立监测技术有限公司2021年3月21~22日对白岩村的监测结果，白岩村位于本项目西南侧1425m处。监测结果见表3.2-2。根据监测结果，TSP符合</w:t>
      </w: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《环境空气质量标准》（GB3095-2012）中的二级标准要求</w:t>
      </w:r>
      <w:r>
        <w:rPr>
          <w:rFonts w:hint="eastAsia"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w:t>
      </w:r>
    </w:p>
    <w:p>
      <w:pPr>
        <w:pageBreakBefore w:val="0"/>
        <w:kinsoku/>
        <w:bidi w:val="0"/>
        <w:adjustRightInd w:val="0"/>
        <w:snapToGrid w:val="0"/>
        <w:spacing w:beforeAutospacing="0" w:afterAutospacing="0"/>
        <w:jc w:val="center"/>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14:textFill>
            <w14:solidFill>
              <w14:schemeClr w14:val="tx1"/>
            </w14:solidFill>
          </w14:textFill>
        </w:rPr>
        <w:t>表</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3.2-2</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TSP</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现状监测结果一览表</w:t>
      </w:r>
    </w:p>
    <w:tbl>
      <w:tblPr>
        <w:tblStyle w:val="34"/>
        <w:tblW w:w="9060"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04"/>
        <w:gridCol w:w="3777"/>
        <w:gridCol w:w="32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4" w:type="dxa"/>
            <w:vAlign w:val="center"/>
          </w:tcPr>
          <w:p>
            <w:pPr>
              <w:pStyle w:val="141"/>
              <w:pageBreakBefore w:val="0"/>
              <w:kinsoku/>
              <w:bidi w:val="0"/>
              <w:spacing w:beforeAutospacing="0" w:afterAutospacing="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污染物名称</w:t>
            </w:r>
          </w:p>
        </w:tc>
        <w:tc>
          <w:tcPr>
            <w:tcW w:w="3777" w:type="dxa"/>
            <w:vAlign w:val="center"/>
          </w:tcPr>
          <w:p>
            <w:pPr>
              <w:pStyle w:val="141"/>
              <w:pageBreakBefore w:val="0"/>
              <w:kinsoku/>
              <w:bidi w:val="0"/>
              <w:spacing w:beforeAutospacing="0" w:afterAutospacing="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监测值范围 (mg/m³)</w:t>
            </w:r>
          </w:p>
        </w:tc>
        <w:tc>
          <w:tcPr>
            <w:tcW w:w="3279" w:type="dxa"/>
            <w:vAlign w:val="center"/>
          </w:tcPr>
          <w:p>
            <w:pPr>
              <w:pStyle w:val="141"/>
              <w:pageBreakBefore w:val="0"/>
              <w:kinsoku/>
              <w:bidi w:val="0"/>
              <w:spacing w:beforeAutospacing="0" w:afterAutospacing="0"/>
              <w:jc w:val="center"/>
              <w:rPr>
                <w:rFonts w:hint="default" w:ascii="Times New Roman" w:hAnsi="Times New Roman" w:eastAsia="宋体" w:cs="Times New Roman"/>
                <w:color w:val="000000" w:themeColor="text1"/>
                <w:highlight w:val="none"/>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监测均值(mg/m³)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004" w:type="dxa"/>
            <w:vAlign w:val="center"/>
          </w:tcPr>
          <w:p>
            <w:pPr>
              <w:pStyle w:val="141"/>
              <w:pageBreakBefore w:val="0"/>
              <w:kinsoku/>
              <w:bidi w:val="0"/>
              <w:spacing w:beforeAutospacing="0" w:afterAutospacing="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TSP</w:t>
            </w:r>
          </w:p>
        </w:tc>
        <w:tc>
          <w:tcPr>
            <w:tcW w:w="3777" w:type="dxa"/>
            <w:vAlign w:val="center"/>
          </w:tcPr>
          <w:p>
            <w:pPr>
              <w:pStyle w:val="141"/>
              <w:pageBreakBefore w:val="0"/>
              <w:kinsoku/>
              <w:bidi w:val="0"/>
              <w:spacing w:beforeAutospacing="0" w:afterAutospacing="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083~0.117</w:t>
            </w:r>
          </w:p>
        </w:tc>
        <w:tc>
          <w:tcPr>
            <w:tcW w:w="3279" w:type="dxa"/>
            <w:vAlign w:val="center"/>
          </w:tcPr>
          <w:p>
            <w:pPr>
              <w:pStyle w:val="141"/>
              <w:pageBreakBefore w:val="0"/>
              <w:kinsoku/>
              <w:bidi w:val="0"/>
              <w:spacing w:beforeAutospacing="0" w:afterAutospacing="0"/>
              <w:jc w:val="center"/>
              <w:rPr>
                <w:rFonts w:hint="default" w:ascii="Times New Roman" w:hAnsi="Times New Roman" w:eastAsia="宋体" w:cs="Times New Roman"/>
                <w:color w:val="000000" w:themeColor="text1"/>
                <w:highlight w:val="none"/>
                <w:lang w:val="en-US" w:eastAsia="zh-CN"/>
                <w14:textFill>
                  <w14:solidFill>
                    <w14:schemeClr w14:val="tx1"/>
                  </w14:solidFill>
                </w14:textFill>
              </w:rPr>
            </w:pPr>
            <w:r>
              <w:rPr>
                <w:rFonts w:hint="default" w:ascii="Times New Roman" w:hAnsi="Times New Roman" w:eastAsia="宋体" w:cs="Times New Roman"/>
                <w:color w:val="000000" w:themeColor="text1"/>
                <w:highlight w:val="none"/>
                <w14:textFill>
                  <w14:solidFill>
                    <w14:schemeClr w14:val="tx1"/>
                  </w14:solidFill>
                </w14:textFill>
              </w:rPr>
              <w:t>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102</w:t>
            </w:r>
          </w:p>
        </w:tc>
      </w:tr>
    </w:tbl>
    <w:p>
      <w:pPr>
        <w:pStyle w:val="30"/>
        <w:keepNext w:val="0"/>
        <w:keepLines w:val="0"/>
        <w:pageBreakBefore w:val="0"/>
        <w:widowControl w:val="0"/>
        <w:suppressLineNumbers w:val="0"/>
        <w:kinsoku/>
        <w:bidi w:val="0"/>
        <w:spacing w:before="0" w:beforeAutospacing="0" w:after="0" w:afterAutospacing="0" w:line="360" w:lineRule="auto"/>
        <w:ind w:right="0"/>
        <w:jc w:val="cente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drawing>
          <wp:inline distT="0" distB="0" distL="114300" distR="114300">
            <wp:extent cx="5347335" cy="3940810"/>
            <wp:effectExtent l="0" t="0" r="5715" b="2540"/>
            <wp:docPr id="49" name="图片 49" descr="引用监测点位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引用监测点位示意图"/>
                    <pic:cNvPicPr>
                      <a:picLocks noChangeAspect="1"/>
                    </pic:cNvPicPr>
                  </pic:nvPicPr>
                  <pic:blipFill>
                    <a:blip r:embed="rId20"/>
                    <a:stretch>
                      <a:fillRect/>
                    </a:stretch>
                  </pic:blipFill>
                  <pic:spPr>
                    <a:xfrm>
                      <a:off x="0" y="0"/>
                      <a:ext cx="5347335" cy="3940810"/>
                    </a:xfrm>
                    <a:prstGeom prst="rect">
                      <a:avLst/>
                    </a:prstGeom>
                  </pic:spPr>
                </pic:pic>
              </a:graphicData>
            </a:graphic>
          </wp:inline>
        </w:drawing>
      </w:r>
    </w:p>
    <w:p>
      <w:pPr>
        <w:pageBreakBefore w:val="0"/>
        <w:kinsoku/>
        <w:bidi w:val="0"/>
        <w:adjustRightInd w:val="0"/>
        <w:snapToGrid w:val="0"/>
        <w:spacing w:beforeAutospacing="0" w:afterAutospacing="0"/>
        <w:jc w:val="cente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图3.2-1</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TSP</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现状监测</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引用点位示意图</w:t>
      </w:r>
    </w:p>
    <w:p>
      <w:pPr>
        <w:pStyle w:val="2"/>
        <w:pageBreakBefore w:val="0"/>
        <w:kinsoku/>
        <w:bidi w:val="0"/>
        <w:spacing w:beforeAutospacing="0" w:afterAutospacing="0"/>
        <w:rPr>
          <w:rFonts w:hint="default" w:ascii="Times New Roman" w:hAnsi="Times New Roman" w:eastAsia="宋体"/>
          <w:color w:val="000000" w:themeColor="text1"/>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outlineLvl w:val="0"/>
        <w:rPr>
          <w:rFonts w:hint="eastAsia" w:ascii="Times New Roman" w:hAnsi="Times New Roman" w:eastAsia="宋体" w:cs="Times New Roman"/>
          <w:b/>
          <w:bCs/>
          <w:color w:val="000000" w:themeColor="text1"/>
          <w:sz w:val="32"/>
          <w:szCs w:val="40"/>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32"/>
          <w:szCs w:val="40"/>
          <w:highlight w:val="none"/>
          <w:lang w:val="en-US" w:eastAsia="zh-CN"/>
          <w14:textFill>
            <w14:solidFill>
              <w14:schemeClr w14:val="tx1"/>
            </w14:solidFill>
          </w14:textFill>
        </w:rPr>
        <w:t>4、大气环境影响评价</w:t>
      </w:r>
    </w:p>
    <w:p>
      <w:pPr>
        <w:pStyle w:val="11"/>
        <w:pageBreakBefore w:val="0"/>
        <w:kinsoku/>
        <w:bidi w:val="0"/>
        <w:spacing w:beforeAutospacing="0" w:afterAutospacing="0"/>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sz w:val="30"/>
          <w:szCs w:val="30"/>
          <w:lang w:val="en-US" w:eastAsia="zh-CN"/>
          <w14:textFill>
            <w14:solidFill>
              <w14:schemeClr w14:val="tx1"/>
            </w14:solidFill>
          </w14:textFill>
        </w:rPr>
        <w:t>4.1施工期大气环境影响分析</w:t>
      </w:r>
    </w:p>
    <w:p>
      <w:pPr>
        <w:pStyle w:val="148"/>
        <w:keepNext w:val="0"/>
        <w:keepLines w:val="0"/>
        <w:pageBreakBefore w:val="0"/>
        <w:kinsoku/>
        <w:wordWrap/>
        <w:overflowPunct/>
        <w:topLinePunct w:val="0"/>
        <w:bidi w:val="0"/>
        <w:spacing w:beforeAutospacing="0" w:afterAutospacing="0"/>
        <w:ind w:firstLine="420"/>
        <w:jc w:val="both"/>
        <w:textAlignment w:val="auto"/>
        <w:outlineLvl w:val="9"/>
        <w:rPr>
          <w:rFonts w:ascii="Times New Roman" w:hAnsi="Times New Roman" w:eastAsia="宋体"/>
          <w:bCs w:val="0"/>
          <w:color w:val="000000" w:themeColor="text1"/>
          <w:kern w:val="2"/>
          <w:sz w:val="24"/>
          <w:szCs w:val="28"/>
          <w:highlight w:val="none"/>
          <w14:textFill>
            <w14:solidFill>
              <w14:schemeClr w14:val="tx1"/>
            </w14:solidFill>
          </w14:textFill>
        </w:rPr>
      </w:pPr>
      <w:r>
        <w:rPr>
          <w:rFonts w:hint="eastAsia" w:ascii="Times New Roman" w:hAnsi="Times New Roman" w:eastAsia="宋体"/>
          <w:bCs w:val="0"/>
          <w:color w:val="000000" w:themeColor="text1"/>
          <w:kern w:val="2"/>
          <w:sz w:val="24"/>
          <w:szCs w:val="28"/>
          <w:highlight w:val="none"/>
          <w14:textFill>
            <w14:solidFill>
              <w14:schemeClr w14:val="tx1"/>
            </w14:solidFill>
          </w14:textFill>
        </w:rPr>
        <w:t>项目在建设施工过程中</w:t>
      </w:r>
      <w:r>
        <w:rPr>
          <w:rFonts w:hint="eastAsia" w:ascii="Times New Roman" w:hAnsi="Times New Roman" w:eastAsia="宋体"/>
          <w:bCs w:val="0"/>
          <w:color w:val="000000" w:themeColor="text1"/>
          <w:kern w:val="2"/>
          <w:sz w:val="24"/>
          <w:szCs w:val="28"/>
          <w:highlight w:val="none"/>
          <w:lang w:eastAsia="zh-CN"/>
          <w14:textFill>
            <w14:solidFill>
              <w14:schemeClr w14:val="tx1"/>
            </w14:solidFill>
          </w14:textFill>
        </w:rPr>
        <w:t>，</w:t>
      </w:r>
      <w:r>
        <w:rPr>
          <w:rFonts w:hint="eastAsia" w:ascii="Times New Roman" w:hAnsi="Times New Roman" w:eastAsia="宋体"/>
          <w:bCs w:val="0"/>
          <w:color w:val="000000" w:themeColor="text1"/>
          <w:kern w:val="2"/>
          <w:sz w:val="24"/>
          <w:szCs w:val="28"/>
          <w:highlight w:val="none"/>
          <w14:textFill>
            <w14:solidFill>
              <w14:schemeClr w14:val="tx1"/>
            </w14:solidFill>
          </w14:textFill>
        </w:rPr>
        <w:t>项目建设及汽车运输过程的扬尘，影响周边居民的生活及环境卫生。</w:t>
      </w:r>
    </w:p>
    <w:p>
      <w:pPr>
        <w:pStyle w:val="148"/>
        <w:keepNext w:val="0"/>
        <w:keepLines w:val="0"/>
        <w:pageBreakBefore w:val="0"/>
        <w:kinsoku/>
        <w:wordWrap/>
        <w:overflowPunct/>
        <w:topLinePunct w:val="0"/>
        <w:bidi w:val="0"/>
        <w:spacing w:beforeAutospacing="0" w:afterAutospacing="0"/>
        <w:ind w:firstLine="420"/>
        <w:jc w:val="both"/>
        <w:textAlignment w:val="auto"/>
        <w:outlineLvl w:val="9"/>
        <w:rPr>
          <w:rFonts w:ascii="Times New Roman" w:hAnsi="Times New Roman" w:eastAsia="宋体"/>
          <w:bCs w:val="0"/>
          <w:color w:val="000000" w:themeColor="text1"/>
          <w:kern w:val="2"/>
          <w:sz w:val="24"/>
          <w:szCs w:val="28"/>
          <w:highlight w:val="none"/>
          <w14:textFill>
            <w14:solidFill>
              <w14:schemeClr w14:val="tx1"/>
            </w14:solidFill>
          </w14:textFill>
        </w:rPr>
      </w:pPr>
      <w:r>
        <w:rPr>
          <w:rFonts w:hint="eastAsia" w:ascii="Times New Roman" w:hAnsi="Times New Roman" w:eastAsia="宋体"/>
          <w:bCs w:val="0"/>
          <w:color w:val="000000" w:themeColor="text1"/>
          <w:kern w:val="2"/>
          <w:sz w:val="24"/>
          <w:szCs w:val="28"/>
          <w:highlight w:val="none"/>
          <w:lang w:eastAsia="zh-CN"/>
          <w14:textFill>
            <w14:solidFill>
              <w14:schemeClr w14:val="tx1"/>
            </w14:solidFill>
          </w14:textFill>
        </w:rPr>
        <w:t>（</w:t>
      </w:r>
      <w:r>
        <w:rPr>
          <w:rFonts w:hint="eastAsia" w:ascii="Times New Roman" w:hAnsi="Times New Roman" w:eastAsia="宋体"/>
          <w:bCs w:val="0"/>
          <w:color w:val="000000" w:themeColor="text1"/>
          <w:kern w:val="2"/>
          <w:sz w:val="24"/>
          <w:szCs w:val="28"/>
          <w:highlight w:val="none"/>
          <w:lang w:val="en-US" w:eastAsia="zh-CN"/>
          <w14:textFill>
            <w14:solidFill>
              <w14:schemeClr w14:val="tx1"/>
            </w14:solidFill>
          </w14:textFill>
        </w:rPr>
        <w:t>1</w:t>
      </w:r>
      <w:r>
        <w:rPr>
          <w:rFonts w:hint="eastAsia" w:ascii="Times New Roman" w:hAnsi="Times New Roman" w:eastAsia="宋体"/>
          <w:bCs w:val="0"/>
          <w:color w:val="000000" w:themeColor="text1"/>
          <w:kern w:val="2"/>
          <w:sz w:val="24"/>
          <w:szCs w:val="28"/>
          <w:highlight w:val="none"/>
          <w:lang w:eastAsia="zh-CN"/>
          <w14:textFill>
            <w14:solidFill>
              <w14:schemeClr w14:val="tx1"/>
            </w14:solidFill>
          </w14:textFill>
        </w:rPr>
        <w:t>）</w:t>
      </w:r>
      <w:r>
        <w:rPr>
          <w:rFonts w:hint="eastAsia" w:ascii="Times New Roman" w:hAnsi="Times New Roman" w:eastAsia="宋体"/>
          <w:bCs w:val="0"/>
          <w:color w:val="000000" w:themeColor="text1"/>
          <w:kern w:val="2"/>
          <w:sz w:val="24"/>
          <w:szCs w:val="28"/>
          <w:highlight w:val="none"/>
          <w14:textFill>
            <w14:solidFill>
              <w14:schemeClr w14:val="tx1"/>
            </w14:solidFill>
          </w14:textFill>
        </w:rPr>
        <w:t>施工作业扬尘</w:t>
      </w:r>
    </w:p>
    <w:p>
      <w:pPr>
        <w:pStyle w:val="148"/>
        <w:keepNext w:val="0"/>
        <w:keepLines w:val="0"/>
        <w:pageBreakBefore w:val="0"/>
        <w:kinsoku/>
        <w:wordWrap/>
        <w:overflowPunct/>
        <w:topLinePunct w:val="0"/>
        <w:bidi w:val="0"/>
        <w:spacing w:beforeAutospacing="0" w:afterAutospacing="0"/>
        <w:ind w:firstLine="420"/>
        <w:jc w:val="both"/>
        <w:textAlignment w:val="auto"/>
        <w:outlineLvl w:val="9"/>
        <w:rPr>
          <w:rFonts w:ascii="Times New Roman" w:hAnsi="Times New Roman" w:eastAsia="宋体"/>
          <w:bCs w:val="0"/>
          <w:color w:val="000000" w:themeColor="text1"/>
          <w:kern w:val="2"/>
          <w:sz w:val="24"/>
          <w:szCs w:val="28"/>
          <w:highlight w:val="none"/>
          <w14:textFill>
            <w14:solidFill>
              <w14:schemeClr w14:val="tx1"/>
            </w14:solidFill>
          </w14:textFill>
        </w:rPr>
      </w:pPr>
      <w:r>
        <w:rPr>
          <w:rFonts w:hint="eastAsia" w:ascii="Times New Roman" w:hAnsi="Times New Roman" w:eastAsia="宋体"/>
          <w:bCs w:val="0"/>
          <w:color w:val="000000" w:themeColor="text1"/>
          <w:kern w:val="2"/>
          <w:sz w:val="24"/>
          <w:szCs w:val="28"/>
          <w:highlight w:val="none"/>
          <w14:textFill>
            <w14:solidFill>
              <w14:schemeClr w14:val="tx1"/>
            </w14:solidFill>
          </w14:textFill>
        </w:rPr>
        <w:t>项目施工时运输车辆来往及建筑材料装卸等均会产生粉尘和扬尘等，施工期粉尘污染源属于面源，排放高度一般较低，且颗粒度较大，污染扩散距离较近，其影响程度和范围与施工管理水平及采取的措施有直接关系。建设单位需在施工期间加强管理，定期洒水降尘，在采取措施后施工扬尘影响范围和程度较小。</w:t>
      </w:r>
    </w:p>
    <w:p>
      <w:pPr>
        <w:pStyle w:val="148"/>
        <w:keepNext w:val="0"/>
        <w:keepLines w:val="0"/>
        <w:pageBreakBefore w:val="0"/>
        <w:kinsoku/>
        <w:wordWrap/>
        <w:overflowPunct/>
        <w:topLinePunct w:val="0"/>
        <w:bidi w:val="0"/>
        <w:spacing w:beforeAutospacing="0" w:afterAutospacing="0"/>
        <w:ind w:firstLine="420"/>
        <w:jc w:val="both"/>
        <w:textAlignment w:val="auto"/>
        <w:outlineLvl w:val="9"/>
        <w:rPr>
          <w:rFonts w:hint="eastAsia" w:ascii="Times New Roman" w:hAnsi="Times New Roman" w:eastAsia="宋体"/>
          <w:bCs w:val="0"/>
          <w:color w:val="000000" w:themeColor="text1"/>
          <w:kern w:val="2"/>
          <w:sz w:val="24"/>
          <w:szCs w:val="28"/>
          <w:highlight w:val="none"/>
          <w14:textFill>
            <w14:solidFill>
              <w14:schemeClr w14:val="tx1"/>
            </w14:solidFill>
          </w14:textFill>
        </w:rPr>
      </w:pPr>
      <w:r>
        <w:rPr>
          <w:rFonts w:hint="eastAsia" w:ascii="Times New Roman" w:hAnsi="Times New Roman" w:eastAsia="宋体"/>
          <w:bCs w:val="0"/>
          <w:color w:val="000000" w:themeColor="text1"/>
          <w:kern w:val="2"/>
          <w:sz w:val="24"/>
          <w:szCs w:val="28"/>
          <w:highlight w:val="none"/>
          <w14:textFill>
            <w14:solidFill>
              <w14:schemeClr w14:val="tx1"/>
            </w14:solidFill>
          </w14:textFill>
        </w:rPr>
        <w:t>根据对类似项目施工现场的调查，施工扬尘的影响范围一般在下风向</w:t>
      </w:r>
      <w:r>
        <w:rPr>
          <w:rFonts w:ascii="Times New Roman" w:hAnsi="Times New Roman" w:eastAsia="宋体"/>
          <w:bCs w:val="0"/>
          <w:color w:val="000000" w:themeColor="text1"/>
          <w:kern w:val="2"/>
          <w:sz w:val="24"/>
          <w:szCs w:val="28"/>
          <w:highlight w:val="none"/>
          <w14:textFill>
            <w14:solidFill>
              <w14:schemeClr w14:val="tx1"/>
            </w14:solidFill>
          </w14:textFill>
        </w:rPr>
        <w:t>50m</w:t>
      </w:r>
      <w:r>
        <w:rPr>
          <w:rFonts w:hint="eastAsia" w:ascii="Times New Roman" w:hAnsi="Times New Roman" w:eastAsia="宋体"/>
          <w:bCs w:val="0"/>
          <w:color w:val="000000" w:themeColor="text1"/>
          <w:kern w:val="2"/>
          <w:sz w:val="24"/>
          <w:szCs w:val="28"/>
          <w:highlight w:val="none"/>
          <w14:textFill>
            <w14:solidFill>
              <w14:schemeClr w14:val="tx1"/>
            </w14:solidFill>
          </w14:textFill>
        </w:rPr>
        <w:t>范围内为重污染带、</w:t>
      </w:r>
      <w:r>
        <w:rPr>
          <w:rFonts w:ascii="Times New Roman" w:hAnsi="Times New Roman" w:eastAsia="宋体"/>
          <w:bCs w:val="0"/>
          <w:color w:val="000000" w:themeColor="text1"/>
          <w:kern w:val="2"/>
          <w:sz w:val="24"/>
          <w:szCs w:val="28"/>
          <w:highlight w:val="none"/>
          <w14:textFill>
            <w14:solidFill>
              <w14:schemeClr w14:val="tx1"/>
            </w14:solidFill>
          </w14:textFill>
        </w:rPr>
        <w:t>50m</w:t>
      </w:r>
      <w:r>
        <w:rPr>
          <w:rFonts w:hint="eastAsia" w:ascii="Times New Roman" w:hAnsi="Times New Roman" w:eastAsia="宋体"/>
          <w:bCs w:val="0"/>
          <w:color w:val="000000" w:themeColor="text1"/>
          <w:kern w:val="2"/>
          <w:sz w:val="24"/>
          <w:szCs w:val="28"/>
          <w:highlight w:val="none"/>
          <w14:textFill>
            <w14:solidFill>
              <w14:schemeClr w14:val="tx1"/>
            </w14:solidFill>
          </w14:textFill>
        </w:rPr>
        <w:t>～</w:t>
      </w:r>
      <w:r>
        <w:rPr>
          <w:rFonts w:ascii="Times New Roman" w:hAnsi="Times New Roman" w:eastAsia="宋体"/>
          <w:bCs w:val="0"/>
          <w:color w:val="000000" w:themeColor="text1"/>
          <w:kern w:val="2"/>
          <w:sz w:val="24"/>
          <w:szCs w:val="28"/>
          <w:highlight w:val="none"/>
          <w14:textFill>
            <w14:solidFill>
              <w14:schemeClr w14:val="tx1"/>
            </w14:solidFill>
          </w14:textFill>
        </w:rPr>
        <w:t>100m</w:t>
      </w:r>
      <w:r>
        <w:rPr>
          <w:rFonts w:hint="eastAsia" w:ascii="Times New Roman" w:hAnsi="Times New Roman" w:eastAsia="宋体"/>
          <w:bCs w:val="0"/>
          <w:color w:val="000000" w:themeColor="text1"/>
          <w:kern w:val="2"/>
          <w:sz w:val="24"/>
          <w:szCs w:val="28"/>
          <w:highlight w:val="none"/>
          <w14:textFill>
            <w14:solidFill>
              <w14:schemeClr w14:val="tx1"/>
            </w14:solidFill>
          </w14:textFill>
        </w:rPr>
        <w:t>为中污染带、</w:t>
      </w:r>
      <w:r>
        <w:rPr>
          <w:rFonts w:ascii="Times New Roman" w:hAnsi="Times New Roman" w:eastAsia="宋体"/>
          <w:bCs w:val="0"/>
          <w:color w:val="000000" w:themeColor="text1"/>
          <w:kern w:val="2"/>
          <w:sz w:val="24"/>
          <w:szCs w:val="28"/>
          <w:highlight w:val="none"/>
          <w14:textFill>
            <w14:solidFill>
              <w14:schemeClr w14:val="tx1"/>
            </w14:solidFill>
          </w14:textFill>
        </w:rPr>
        <w:t>100m</w:t>
      </w:r>
      <w:r>
        <w:rPr>
          <w:rFonts w:hint="eastAsia" w:ascii="Times New Roman" w:hAnsi="Times New Roman" w:eastAsia="宋体"/>
          <w:bCs w:val="0"/>
          <w:color w:val="000000" w:themeColor="text1"/>
          <w:kern w:val="2"/>
          <w:sz w:val="24"/>
          <w:szCs w:val="28"/>
          <w:highlight w:val="none"/>
          <w14:textFill>
            <w14:solidFill>
              <w14:schemeClr w14:val="tx1"/>
            </w14:solidFill>
          </w14:textFill>
        </w:rPr>
        <w:t>～</w:t>
      </w:r>
      <w:r>
        <w:rPr>
          <w:rFonts w:ascii="Times New Roman" w:hAnsi="Times New Roman" w:eastAsia="宋体"/>
          <w:bCs w:val="0"/>
          <w:color w:val="000000" w:themeColor="text1"/>
          <w:kern w:val="2"/>
          <w:sz w:val="24"/>
          <w:szCs w:val="28"/>
          <w:highlight w:val="none"/>
          <w14:textFill>
            <w14:solidFill>
              <w14:schemeClr w14:val="tx1"/>
            </w14:solidFill>
          </w14:textFill>
        </w:rPr>
        <w:t>150m</w:t>
      </w:r>
      <w:r>
        <w:rPr>
          <w:rFonts w:hint="eastAsia" w:ascii="Times New Roman" w:hAnsi="Times New Roman" w:eastAsia="宋体"/>
          <w:bCs w:val="0"/>
          <w:color w:val="000000" w:themeColor="text1"/>
          <w:kern w:val="2"/>
          <w:sz w:val="24"/>
          <w:szCs w:val="28"/>
          <w:highlight w:val="none"/>
          <w14:textFill>
            <w14:solidFill>
              <w14:schemeClr w14:val="tx1"/>
            </w14:solidFill>
          </w14:textFill>
        </w:rPr>
        <w:t>为轻污染带、</w:t>
      </w:r>
      <w:r>
        <w:rPr>
          <w:rFonts w:ascii="Times New Roman" w:hAnsi="Times New Roman" w:eastAsia="宋体"/>
          <w:bCs w:val="0"/>
          <w:color w:val="000000" w:themeColor="text1"/>
          <w:kern w:val="2"/>
          <w:sz w:val="24"/>
          <w:szCs w:val="28"/>
          <w:highlight w:val="none"/>
          <w14:textFill>
            <w14:solidFill>
              <w14:schemeClr w14:val="tx1"/>
            </w14:solidFill>
          </w14:textFill>
        </w:rPr>
        <w:t>150m</w:t>
      </w:r>
      <w:r>
        <w:rPr>
          <w:rFonts w:hint="eastAsia" w:ascii="Times New Roman" w:hAnsi="Times New Roman" w:eastAsia="宋体"/>
          <w:bCs w:val="0"/>
          <w:color w:val="000000" w:themeColor="text1"/>
          <w:kern w:val="2"/>
          <w:sz w:val="24"/>
          <w:szCs w:val="28"/>
          <w:highlight w:val="none"/>
          <w14:textFill>
            <w14:solidFill>
              <w14:schemeClr w14:val="tx1"/>
            </w14:solidFill>
          </w14:textFill>
        </w:rPr>
        <w:t>以外基本不受影响。施工期间建设单位将采取围挡、洒水等有效措施降低影响，因其施工期较短，随施工期的结束影响也将消失。</w:t>
      </w:r>
    </w:p>
    <w:p>
      <w:pPr>
        <w:pStyle w:val="148"/>
        <w:keepNext w:val="0"/>
        <w:keepLines w:val="0"/>
        <w:pageBreakBefore w:val="0"/>
        <w:numPr>
          <w:ilvl w:val="0"/>
          <w:numId w:val="0"/>
        </w:numPr>
        <w:kinsoku/>
        <w:wordWrap/>
        <w:overflowPunct/>
        <w:topLinePunct w:val="0"/>
        <w:bidi w:val="0"/>
        <w:spacing w:beforeAutospacing="0" w:afterAutospacing="0"/>
        <w:ind w:leftChars="200"/>
        <w:jc w:val="both"/>
        <w:textAlignment w:val="auto"/>
        <w:outlineLvl w:val="9"/>
        <w:rPr>
          <w:rFonts w:hint="eastAsia" w:ascii="Times New Roman" w:hAnsi="Times New Roman" w:eastAsia="宋体"/>
          <w:bCs w:val="0"/>
          <w:color w:val="000000" w:themeColor="text1"/>
          <w:kern w:val="2"/>
          <w:sz w:val="24"/>
          <w:szCs w:val="28"/>
          <w:highlight w:val="none"/>
          <w:lang w:val="en-US" w:eastAsia="zh-CN"/>
          <w14:textFill>
            <w14:solidFill>
              <w14:schemeClr w14:val="tx1"/>
            </w14:solidFill>
          </w14:textFill>
        </w:rPr>
      </w:pPr>
      <w:r>
        <w:rPr>
          <w:rFonts w:hint="eastAsia" w:ascii="Times New Roman" w:hAnsi="Times New Roman" w:eastAsia="宋体"/>
          <w:bCs w:val="0"/>
          <w:color w:val="000000" w:themeColor="text1"/>
          <w:kern w:val="2"/>
          <w:sz w:val="24"/>
          <w:szCs w:val="28"/>
          <w:highlight w:val="none"/>
          <w:lang w:val="en-US" w:eastAsia="zh-CN"/>
          <w14:textFill>
            <w14:solidFill>
              <w14:schemeClr w14:val="tx1"/>
            </w14:solidFill>
          </w14:textFill>
        </w:rPr>
        <w:t>（2）配套加工区粉尘</w:t>
      </w:r>
    </w:p>
    <w:p>
      <w:pPr>
        <w:pStyle w:val="148"/>
        <w:keepNext w:val="0"/>
        <w:keepLines w:val="0"/>
        <w:pageBreakBefore w:val="0"/>
        <w:numPr>
          <w:ilvl w:val="0"/>
          <w:numId w:val="0"/>
        </w:numPr>
        <w:kinsoku/>
        <w:wordWrap/>
        <w:overflowPunct/>
        <w:topLinePunct w:val="0"/>
        <w:bidi w:val="0"/>
        <w:spacing w:beforeAutospacing="0" w:afterAutospacing="0"/>
        <w:ind w:leftChars="200"/>
        <w:jc w:val="both"/>
        <w:textAlignment w:val="auto"/>
        <w:outlineLvl w:val="9"/>
        <w:rPr>
          <w:rFonts w:hint="eastAsia" w:ascii="Times New Roman" w:hAnsi="Times New Roman" w:eastAsia="宋体"/>
          <w:bCs w:val="0"/>
          <w:color w:val="000000" w:themeColor="text1"/>
          <w:kern w:val="2"/>
          <w:sz w:val="24"/>
          <w:szCs w:val="28"/>
          <w:highlight w:val="none"/>
          <w:lang w:val="en-US" w:eastAsia="zh-CN"/>
          <w14:textFill>
            <w14:solidFill>
              <w14:schemeClr w14:val="tx1"/>
            </w14:solidFill>
          </w14:textFill>
        </w:rPr>
      </w:pPr>
      <w:r>
        <w:rPr>
          <w:rFonts w:hint="eastAsia" w:ascii="Times New Roman" w:hAnsi="Times New Roman" w:eastAsia="宋体"/>
          <w:bCs w:val="0"/>
          <w:color w:val="000000" w:themeColor="text1"/>
          <w:kern w:val="2"/>
          <w:sz w:val="24"/>
          <w:szCs w:val="28"/>
          <w:highlight w:val="none"/>
          <w:lang w:val="en-US" w:eastAsia="zh-CN"/>
          <w14:textFill>
            <w14:solidFill>
              <w14:schemeClr w14:val="tx1"/>
            </w14:solidFill>
          </w14:textFill>
        </w:rPr>
        <w:t>①碎石加工</w:t>
      </w:r>
    </w:p>
    <w:p>
      <w:pPr>
        <w:pStyle w:val="148"/>
        <w:keepNext w:val="0"/>
        <w:keepLines w:val="0"/>
        <w:pageBreakBefore w:val="0"/>
        <w:kinsoku/>
        <w:wordWrap/>
        <w:overflowPunct/>
        <w:topLinePunct w:val="0"/>
        <w:bidi w:val="0"/>
        <w:spacing w:beforeAutospacing="0" w:afterAutospacing="0"/>
        <w:ind w:firstLine="420"/>
        <w:jc w:val="both"/>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w:t>
      </w:r>
      <w:r>
        <w:rPr>
          <w:rFonts w:hint="eastAsia" w:ascii="Times New Roman" w:hAnsi="Times New Roman" w:eastAsia="宋体" w:cs="Times New Roman"/>
          <w:b w:val="0"/>
          <w:bCs/>
          <w:color w:val="000000" w:themeColor="text1"/>
          <w:highlight w:val="none"/>
          <w:lang w:val="en-US" w:eastAsia="zh-CN"/>
          <w14:textFill>
            <w14:solidFill>
              <w14:schemeClr w14:val="tx1"/>
            </w14:solidFill>
          </w14:textFill>
        </w:rPr>
        <w:t>厂房</w:t>
      </w:r>
      <w:r>
        <w:rPr>
          <w:rFonts w:hint="default" w:ascii="Times New Roman" w:hAnsi="Times New Roman" w:eastAsia="宋体" w:cs="Times New Roman"/>
          <w:b w:val="0"/>
          <w:bCs/>
          <w:color w:val="000000" w:themeColor="text1"/>
          <w:highlight w:val="none"/>
          <w:lang w:val="en-US" w:eastAsia="zh-CN"/>
          <w14:textFill>
            <w14:solidFill>
              <w14:schemeClr w14:val="tx1"/>
            </w14:solidFill>
          </w14:textFill>
        </w:rPr>
        <w:t>密闭，封闭生产流程</w:t>
      </w:r>
      <w:r>
        <w:rPr>
          <w:rFonts w:hint="default" w:ascii="Times New Roman" w:hAnsi="Times New Roman" w:eastAsia="宋体" w:cs="Times New Roman"/>
          <w:color w:val="000000" w:themeColor="text1"/>
          <w:sz w:val="24"/>
          <w:szCs w:val="24"/>
          <w:highlight w:val="none"/>
          <w14:textFill>
            <w14:solidFill>
              <w14:schemeClr w14:val="tx1"/>
            </w14:solidFill>
          </w14:textFill>
        </w:rPr>
        <w:t>，并定期收集粉尘，在设备上安装雾化喷头进行洒水，增加</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原料及中间产物</w:t>
      </w:r>
      <w:r>
        <w:rPr>
          <w:rFonts w:hint="default" w:ascii="Times New Roman" w:hAnsi="Times New Roman" w:eastAsia="宋体" w:cs="Times New Roman"/>
          <w:color w:val="000000" w:themeColor="text1"/>
          <w:sz w:val="24"/>
          <w:szCs w:val="24"/>
          <w:highlight w:val="none"/>
          <w14:textFill>
            <w14:solidFill>
              <w14:schemeClr w14:val="tx1"/>
            </w14:solidFill>
          </w14:textFill>
        </w:rPr>
        <w:t>湿度，以减少粉尘产生；</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进料口等产尘点采用彩钢板密封，并在上方设置雾化喷头</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本</w:t>
      </w:r>
      <w:r>
        <w:rPr>
          <w:rFonts w:hint="default" w:ascii="Times New Roman" w:hAnsi="Times New Roman" w:eastAsia="宋体" w:cs="Times New Roman"/>
          <w:color w:val="000000" w:themeColor="text1"/>
          <w:sz w:val="24"/>
          <w:szCs w:val="24"/>
          <w:highlight w:val="none"/>
          <w14:textFill>
            <w14:solidFill>
              <w14:schemeClr w14:val="tx1"/>
            </w14:solidFill>
          </w14:textFill>
        </w:rPr>
        <w:t>项目采取</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车间</w:t>
      </w:r>
      <w:r>
        <w:rPr>
          <w:rFonts w:hint="default" w:ascii="Times New Roman" w:hAnsi="Times New Roman" w:eastAsia="宋体" w:cs="Times New Roman"/>
          <w:color w:val="000000" w:themeColor="text1"/>
          <w:sz w:val="24"/>
          <w:szCs w:val="24"/>
          <w:highlight w:val="none"/>
          <w14:textFill>
            <w14:solidFill>
              <w14:schemeClr w14:val="tx1"/>
            </w14:solidFill>
          </w14:textFill>
        </w:rPr>
        <w:t>封闭措施、设置喷雾</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洒水</w:t>
      </w:r>
      <w:r>
        <w:rPr>
          <w:rFonts w:hint="default" w:ascii="Times New Roman" w:hAnsi="Times New Roman" w:eastAsia="宋体" w:cs="Times New Roman"/>
          <w:color w:val="000000" w:themeColor="text1"/>
          <w:sz w:val="24"/>
          <w:szCs w:val="24"/>
          <w:highlight w:val="none"/>
          <w14:textFill>
            <w14:solidFill>
              <w14:schemeClr w14:val="tx1"/>
            </w14:solidFill>
          </w14:textFill>
        </w:rPr>
        <w:t>装置等措施后，预计可减少9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%以上的</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无组织</w:t>
      </w:r>
      <w:r>
        <w:rPr>
          <w:rFonts w:hint="default" w:ascii="Times New Roman" w:hAnsi="Times New Roman" w:eastAsia="宋体" w:cs="Times New Roman"/>
          <w:color w:val="000000" w:themeColor="text1"/>
          <w:sz w:val="24"/>
          <w:szCs w:val="24"/>
          <w:highlight w:val="none"/>
          <w14:textFill>
            <w14:solidFill>
              <w14:schemeClr w14:val="tx1"/>
            </w14:solidFill>
          </w14:textFill>
        </w:rPr>
        <w:t>粉尘。</w:t>
      </w:r>
    </w:p>
    <w:p>
      <w:pPr>
        <w:pStyle w:val="148"/>
        <w:keepNext w:val="0"/>
        <w:keepLines w:val="0"/>
        <w:pageBreakBefore w:val="0"/>
        <w:kinsoku/>
        <w:wordWrap/>
        <w:overflowPunct/>
        <w:topLinePunct w:val="0"/>
        <w:bidi w:val="0"/>
        <w:spacing w:beforeAutospacing="0" w:afterAutospacing="0"/>
        <w:ind w:firstLine="420"/>
        <w:jc w:val="both"/>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本项目堆场安装洒水设施，定期洒水，保持堆表层湿润度，洒水设施根据风送原理，先使用进口高压泵、微细雾化喷嘴将水雾化，再利用风机风量和风压将雾化后的水雾送到较远距离，使得水雾到达较远距离同时能够覆盖更大面积，水雾与粉尘凝结后降落，从而达到降尘目的。</w:t>
      </w:r>
    </w:p>
    <w:p>
      <w:pPr>
        <w:pStyle w:val="148"/>
        <w:keepNext w:val="0"/>
        <w:keepLines w:val="0"/>
        <w:pageBreakBefore w:val="0"/>
        <w:kinsoku/>
        <w:wordWrap/>
        <w:overflowPunct/>
        <w:topLinePunct w:val="0"/>
        <w:bidi w:val="0"/>
        <w:spacing w:beforeAutospacing="0" w:afterAutospacing="0"/>
        <w:ind w:firstLine="420"/>
        <w:jc w:val="both"/>
        <w:textAlignment w:val="auto"/>
        <w:outlineLvl w:val="9"/>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破碎后的成品粒径较大，且机制砂含有一定水份，不易形成扬尘。</w:t>
      </w:r>
      <w:r>
        <w:rPr>
          <w:rFonts w:hint="default" w:ascii="Times New Roman" w:hAnsi="Times New Roman" w:eastAsia="宋体" w:cs="Times New Roman"/>
          <w:color w:val="000000" w:themeColor="text1"/>
          <w:sz w:val="24"/>
          <w:szCs w:val="24"/>
          <w:highlight w:val="none"/>
          <w:shd w:val="clear" w:color="auto" w:fill="auto"/>
          <w:lang w:eastAsia="zh-CN"/>
          <w14:textFill>
            <w14:solidFill>
              <w14:schemeClr w14:val="tx1"/>
            </w14:solidFill>
          </w14:textFill>
        </w:rPr>
        <w:t>本项目</w:t>
      </w:r>
      <w:r>
        <w:rPr>
          <w:rFonts w:hint="default"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输送带</w:t>
      </w:r>
      <w:r>
        <w:rPr>
          <w:rFonts w:hint="eastAsia"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增设</w:t>
      </w:r>
      <w:r>
        <w:rPr>
          <w:rFonts w:hint="default"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喷雾洒水</w:t>
      </w:r>
      <w:r>
        <w:rPr>
          <w:rFonts w:hint="eastAsia"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增湿</w:t>
      </w:r>
      <w:r>
        <w:rPr>
          <w:rFonts w:hint="default"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抑尘</w:t>
      </w:r>
      <w:r>
        <w:rPr>
          <w:rFonts w:hint="eastAsia"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设施</w:t>
      </w:r>
      <w:r>
        <w:rPr>
          <w:rFonts w:hint="default" w:ascii="Times New Roman" w:hAnsi="Times New Roman" w:eastAsia="宋体" w:cs="Times New Roman"/>
          <w:color w:val="000000" w:themeColor="text1"/>
          <w:sz w:val="24"/>
          <w:szCs w:val="24"/>
          <w:highlight w:val="none"/>
          <w:shd w:val="clear" w:color="auto" w:fill="auto"/>
          <w:lang w:eastAsia="zh-CN"/>
          <w14:textFill>
            <w14:solidFill>
              <w14:schemeClr w14:val="tx1"/>
            </w14:solidFill>
          </w14:textFill>
        </w:rPr>
        <w:t>，可有效降低风力扬尘影响，</w:t>
      </w:r>
      <w:r>
        <w:rPr>
          <w:rFonts w:hint="eastAsia" w:ascii="Times New Roman" w:hAnsi="Times New Roman" w:eastAsia="宋体" w:cs="Times New Roman"/>
          <w:color w:val="000000" w:themeColor="text1"/>
          <w:sz w:val="24"/>
          <w:szCs w:val="24"/>
          <w:highlight w:val="none"/>
          <w:shd w:val="clear" w:color="auto" w:fill="auto"/>
          <w:lang w:val="en-US" w:eastAsia="zh-CN"/>
          <w14:textFill>
            <w14:solidFill>
              <w14:schemeClr w14:val="tx1"/>
            </w14:solidFill>
          </w14:textFill>
        </w:rPr>
        <w:t>同时在后续装船运输过程中，采取</w:t>
      </w:r>
      <w:r>
        <w:rPr>
          <w:rFonts w:hint="default" w:ascii="Times New Roman" w:hAnsi="Times New Roman" w:eastAsia="宋体" w:cs="Times New Roman"/>
          <w:color w:val="000000" w:themeColor="text1"/>
          <w:sz w:val="24"/>
          <w:szCs w:val="24"/>
          <w:highlight w:val="none"/>
          <w:shd w:val="clear" w:color="auto" w:fill="auto"/>
          <w:lang w:eastAsia="zh-CN"/>
          <w14:textFill>
            <w14:solidFill>
              <w14:schemeClr w14:val="tx1"/>
            </w14:solidFill>
          </w14:textFill>
        </w:rPr>
        <w:t>遮盖篷布，基本不会对环境造成污染</w:t>
      </w:r>
      <w:r>
        <w:rPr>
          <w:rFonts w:hint="default" w:ascii="Times New Roman" w:hAnsi="Times New Roman" w:eastAsia="宋体" w:cs="Times New Roman"/>
          <w:color w:val="000000" w:themeColor="text1"/>
          <w:sz w:val="24"/>
          <w:szCs w:val="24"/>
          <w:highlight w:val="none"/>
          <w:shd w:val="clear" w:color="auto" w:fill="auto"/>
          <w14:textFill>
            <w14:solidFill>
              <w14:schemeClr w14:val="tx1"/>
            </w14:solidFill>
          </w14:textFill>
        </w:rPr>
        <w:t>。</w:t>
      </w:r>
    </w:p>
    <w:p>
      <w:pPr>
        <w:pStyle w:val="148"/>
        <w:keepNext w:val="0"/>
        <w:keepLines w:val="0"/>
        <w:pageBreakBefore w:val="0"/>
        <w:numPr>
          <w:ilvl w:val="0"/>
          <w:numId w:val="0"/>
        </w:numPr>
        <w:kinsoku/>
        <w:wordWrap/>
        <w:overflowPunct/>
        <w:topLinePunct w:val="0"/>
        <w:bidi w:val="0"/>
        <w:spacing w:beforeAutospacing="0" w:afterAutospacing="0"/>
        <w:ind w:leftChars="200"/>
        <w:jc w:val="both"/>
        <w:textAlignment w:val="auto"/>
        <w:outlineLvl w:val="9"/>
        <w:rPr>
          <w:rFonts w:hint="eastAsia" w:ascii="Times New Roman" w:hAnsi="Times New Roman" w:eastAsia="宋体"/>
          <w:bCs w:val="0"/>
          <w:color w:val="000000" w:themeColor="text1"/>
          <w:kern w:val="2"/>
          <w:sz w:val="24"/>
          <w:szCs w:val="28"/>
          <w:highlight w:val="none"/>
          <w:lang w:val="en-US" w:eastAsia="zh-CN"/>
          <w14:textFill>
            <w14:solidFill>
              <w14:schemeClr w14:val="tx1"/>
            </w14:solidFill>
          </w14:textFill>
        </w:rPr>
      </w:pPr>
      <w:r>
        <w:rPr>
          <w:rFonts w:hint="eastAsia" w:ascii="Times New Roman" w:hAnsi="Times New Roman" w:eastAsia="宋体"/>
          <w:bCs w:val="0"/>
          <w:color w:val="000000" w:themeColor="text1"/>
          <w:kern w:val="2"/>
          <w:sz w:val="24"/>
          <w:szCs w:val="28"/>
          <w:highlight w:val="none"/>
          <w:lang w:val="en-US" w:eastAsia="zh-CN"/>
          <w14:textFill>
            <w14:solidFill>
              <w14:schemeClr w14:val="tx1"/>
            </w14:solidFill>
          </w14:textFill>
        </w:rPr>
        <w:t>②搅拌站</w:t>
      </w:r>
    </w:p>
    <w:p>
      <w:pPr>
        <w:pageBreakBefore w:val="0"/>
        <w:kinsoku/>
        <w:bidi w:val="0"/>
        <w:spacing w:beforeAutospacing="0" w:afterAutospacing="0" w:line="360" w:lineRule="auto"/>
        <w:ind w:firstLine="480" w:firstLineChars="200"/>
        <w:rPr>
          <w:rFonts w:hint="eastAsia"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项目筒仓仓顶呼吸孔及仓底粉尘采取除尘方式如下：仓底采用负压吸风收尘装置，与仓顶呼吸孔共用一套仓顶除尘器，仓顶除尘器设置于每个筒仓仓顶，经处理后排入外环境。除尘效率可达</w:t>
      </w:r>
      <w:r>
        <w:rPr>
          <w:rFonts w:ascii="Times New Roman" w:hAnsi="Times New Roman" w:eastAsia="宋体"/>
          <w:color w:val="000000" w:themeColor="text1"/>
          <w:sz w:val="24"/>
          <w14:textFill>
            <w14:solidFill>
              <w14:schemeClr w14:val="tx1"/>
            </w14:solidFill>
          </w14:textFill>
        </w:rPr>
        <w:t>99.5%</w:t>
      </w:r>
      <w:r>
        <w:rPr>
          <w:rFonts w:hint="eastAsia" w:ascii="Times New Roman" w:hAnsi="Times New Roman" w:eastAsia="宋体"/>
          <w:color w:val="000000" w:themeColor="text1"/>
          <w:sz w:val="24"/>
          <w14:textFill>
            <w14:solidFill>
              <w14:schemeClr w14:val="tx1"/>
            </w14:solidFill>
          </w14:textFill>
        </w:rPr>
        <w:t>以上。</w:t>
      </w:r>
    </w:p>
    <w:p>
      <w:pPr>
        <w:pStyle w:val="148"/>
        <w:keepNext w:val="0"/>
        <w:keepLines w:val="0"/>
        <w:pageBreakBefore w:val="0"/>
        <w:kinsoku/>
        <w:wordWrap/>
        <w:overflowPunct/>
        <w:topLinePunct w:val="0"/>
        <w:bidi w:val="0"/>
        <w:spacing w:beforeAutospacing="0" w:afterAutospacing="0"/>
        <w:ind w:firstLine="420"/>
        <w:jc w:val="both"/>
        <w:textAlignment w:val="auto"/>
        <w:outlineLvl w:val="9"/>
        <w:rPr>
          <w:rFonts w:hint="default" w:ascii="Times New Roman" w:hAnsi="Times New Roman" w:eastAsia="宋体" w:cs="Times New Roman"/>
          <w:bCs w:val="0"/>
          <w:color w:val="000000" w:themeColor="text1"/>
          <w:kern w:val="2"/>
          <w:sz w:val="24"/>
          <w:szCs w:val="28"/>
          <w:highlight w:val="none"/>
          <w:lang w:val="en-US" w:eastAsia="zh-CN"/>
          <w14:textFill>
            <w14:solidFill>
              <w14:schemeClr w14:val="tx1"/>
            </w14:solidFill>
          </w14:textFill>
        </w:rPr>
      </w:pPr>
      <w:r>
        <w:rPr>
          <w:rFonts w:hint="eastAsia" w:ascii="Times New Roman" w:hAnsi="Times New Roman" w:eastAsia="宋体" w:cs="Times New Roman"/>
          <w:bCs w:val="0"/>
          <w:color w:val="000000" w:themeColor="text1"/>
          <w:kern w:val="2"/>
          <w:sz w:val="24"/>
          <w:szCs w:val="28"/>
          <w:highlight w:val="none"/>
          <w:lang w:val="en-US" w:eastAsia="zh-CN"/>
          <w14:textFill>
            <w14:solidFill>
              <w14:schemeClr w14:val="tx1"/>
            </w14:solidFill>
          </w14:textFill>
        </w:rPr>
        <w:t>本项目</w:t>
      </w:r>
      <w:r>
        <w:rPr>
          <w:rFonts w:hint="default" w:ascii="Times New Roman" w:hAnsi="Times New Roman" w:eastAsia="宋体" w:cs="Times New Roman"/>
          <w:bCs w:val="0"/>
          <w:color w:val="000000" w:themeColor="text1"/>
          <w:kern w:val="2"/>
          <w:sz w:val="24"/>
          <w:szCs w:val="28"/>
          <w:highlight w:val="none"/>
          <w:lang w:val="en-US" w:eastAsia="zh-CN"/>
          <w14:textFill>
            <w14:solidFill>
              <w14:schemeClr w14:val="tx1"/>
            </w14:solidFill>
          </w14:textFill>
        </w:rPr>
        <w:t>拟将搅拌机安装在室内并且采用密封措施，搅拌系统配备一台除尘器，粉尘经净化处理后经排气筒外排。本项目搅拌系统除尘器采用脉冲布袋除尘器，除尘器在加强密封（本项目生产过程均为密闭操作）的</w:t>
      </w:r>
      <w:r>
        <w:rPr>
          <w:rFonts w:hint="default" w:ascii="Times New Roman" w:hAnsi="Times New Roman" w:eastAsia="宋体" w:cs="Times New Roman"/>
          <w:bCs w:val="0"/>
          <w:color w:val="000000" w:themeColor="text1"/>
          <w:kern w:val="2"/>
          <w:sz w:val="24"/>
          <w:szCs w:val="28"/>
          <w:highlight w:val="none"/>
          <w:lang w:val="en-US" w:eastAsia="zh-CN"/>
          <w14:textFill>
            <w14:solidFill>
              <w14:schemeClr w14:val="tx1"/>
            </w14:solidFill>
          </w14:textFill>
        </w:rPr>
        <w:t>情况下集气效率可达</w:t>
      </w:r>
      <w:r>
        <w:rPr>
          <w:rFonts w:hint="eastAsia" w:ascii="Times New Roman" w:hAnsi="Times New Roman" w:eastAsia="宋体" w:cs="Times New Roman"/>
          <w:bCs w:val="0"/>
          <w:color w:val="000000" w:themeColor="text1"/>
          <w:kern w:val="2"/>
          <w:sz w:val="24"/>
          <w:szCs w:val="28"/>
          <w:highlight w:val="none"/>
          <w:lang w:val="en-US" w:eastAsia="zh-CN"/>
          <w14:textFill>
            <w14:solidFill>
              <w14:schemeClr w14:val="tx1"/>
            </w14:solidFill>
          </w14:textFill>
        </w:rPr>
        <w:t>90</w:t>
      </w:r>
      <w:r>
        <w:rPr>
          <w:rFonts w:hint="default" w:ascii="Times New Roman" w:hAnsi="Times New Roman" w:eastAsia="宋体" w:cs="Times New Roman"/>
          <w:bCs w:val="0"/>
          <w:color w:val="000000" w:themeColor="text1"/>
          <w:kern w:val="2"/>
          <w:sz w:val="24"/>
          <w:szCs w:val="28"/>
          <w:highlight w:val="none"/>
          <w:lang w:val="en-US" w:eastAsia="zh-CN"/>
          <w14:textFill>
            <w14:solidFill>
              <w14:schemeClr w14:val="tx1"/>
            </w14:solidFill>
          </w14:textFill>
        </w:rPr>
        <w:t>%</w:t>
      </w:r>
      <w:r>
        <w:rPr>
          <w:rFonts w:hint="default" w:ascii="Times New Roman" w:hAnsi="Times New Roman" w:eastAsia="宋体" w:cs="Times New Roman"/>
          <w:bCs w:val="0"/>
          <w:color w:val="000000" w:themeColor="text1"/>
          <w:kern w:val="2"/>
          <w:sz w:val="24"/>
          <w:szCs w:val="28"/>
          <w:highlight w:val="none"/>
          <w:lang w:val="en-US" w:eastAsia="zh-CN"/>
          <w14:textFill>
            <w14:solidFill>
              <w14:schemeClr w14:val="tx1"/>
            </w14:solidFill>
          </w14:textFill>
        </w:rPr>
        <w:t>，除尘效率可达99.5%以上。</w:t>
      </w:r>
    </w:p>
    <w:p>
      <w:pPr>
        <w:pageBreakBefore w:val="0"/>
        <w:kinsoku/>
        <w:bidi w:val="0"/>
        <w:spacing w:beforeAutospacing="0" w:afterAutospacing="0" w:line="360" w:lineRule="auto"/>
        <w:ind w:firstLine="480" w:firstLineChars="200"/>
        <w:rPr>
          <w:rFonts w:ascii="Times New Roman" w:hAnsi="Times New Roman" w:eastAsia="宋体"/>
          <w:color w:val="000000" w:themeColor="text1"/>
          <w:sz w:val="24"/>
          <w14:textFill>
            <w14:solidFill>
              <w14:schemeClr w14:val="tx1"/>
            </w14:solidFill>
          </w14:textFill>
        </w:rPr>
      </w:pPr>
      <w:r>
        <w:rPr>
          <w:rFonts w:hint="eastAsia" w:ascii="Times New Roman" w:hAnsi="Times New Roman" w:eastAsia="宋体"/>
          <w:color w:val="000000" w:themeColor="text1"/>
          <w:sz w:val="24"/>
          <w14:textFill>
            <w14:solidFill>
              <w14:schemeClr w14:val="tx1"/>
            </w14:solidFill>
          </w14:textFill>
        </w:rPr>
        <w:t>物料提升及下料粉尘</w:t>
      </w:r>
      <w:r>
        <w:rPr>
          <w:rFonts w:hint="eastAsia" w:ascii="Times New Roman" w:hAnsi="Times New Roman" w:eastAsia="宋体"/>
          <w:color w:val="000000" w:themeColor="text1"/>
          <w:sz w:val="24"/>
          <w:lang w:val="en-US" w:eastAsia="zh-CN"/>
          <w14:textFill>
            <w14:solidFill>
              <w14:schemeClr w14:val="tx1"/>
            </w14:solidFill>
          </w14:textFill>
        </w:rPr>
        <w:t>所用</w:t>
      </w:r>
      <w:r>
        <w:rPr>
          <w:rFonts w:hint="eastAsia" w:ascii="Times New Roman" w:hAnsi="Times New Roman" w:eastAsia="宋体"/>
          <w:color w:val="000000" w:themeColor="text1"/>
          <w:sz w:val="24"/>
          <w14:textFill>
            <w14:solidFill>
              <w14:schemeClr w14:val="tx1"/>
            </w14:solidFill>
          </w14:textFill>
        </w:rPr>
        <w:t>螺旋输送机和料场设置于全密闭彩钢房内，进行原料转运设施必须建设封闭皮带通廊，并设专人定期巡护，确保设备通廊密闭性，防止转运过程中粉尘泄漏。</w:t>
      </w:r>
    </w:p>
    <w:p>
      <w:pPr>
        <w:pStyle w:val="148"/>
        <w:keepNext w:val="0"/>
        <w:keepLines w:val="0"/>
        <w:pageBreakBefore w:val="0"/>
        <w:kinsoku/>
        <w:wordWrap/>
        <w:overflowPunct/>
        <w:topLinePunct w:val="0"/>
        <w:bidi w:val="0"/>
        <w:spacing w:beforeAutospacing="0" w:afterAutospacing="0"/>
        <w:ind w:firstLine="420"/>
        <w:jc w:val="both"/>
        <w:textAlignment w:val="auto"/>
        <w:outlineLvl w:val="9"/>
        <w:rPr>
          <w:rFonts w:hint="eastAsia" w:ascii="Times New Roman" w:hAnsi="Times New Roman" w:eastAsia="宋体" w:cs="Times New Roman"/>
          <w:bCs w:val="0"/>
          <w:color w:val="000000" w:themeColor="text1"/>
          <w:kern w:val="2"/>
          <w:sz w:val="24"/>
          <w:szCs w:val="28"/>
          <w:highlight w:val="none"/>
          <w14:textFill>
            <w14:solidFill>
              <w14:schemeClr w14:val="tx1"/>
            </w14:solidFill>
          </w14:textFill>
        </w:rPr>
      </w:pPr>
      <w:r>
        <w:rPr>
          <w:rFonts w:hint="eastAsia" w:ascii="Times New Roman" w:hAnsi="Times New Roman" w:eastAsia="宋体" w:cs="Times New Roman"/>
          <w:bCs w:val="0"/>
          <w:color w:val="000000" w:themeColor="text1"/>
          <w:kern w:val="2"/>
          <w:sz w:val="24"/>
          <w:szCs w:val="28"/>
          <w:highlight w:val="none"/>
          <w:lang w:eastAsia="zh-CN"/>
          <w14:textFill>
            <w14:solidFill>
              <w14:schemeClr w14:val="tx1"/>
            </w14:solidFill>
          </w14:textFill>
        </w:rPr>
        <w:t>（</w:t>
      </w:r>
      <w:r>
        <w:rPr>
          <w:rFonts w:hint="eastAsia" w:ascii="Times New Roman" w:hAnsi="Times New Roman" w:eastAsia="宋体" w:cs="Times New Roman"/>
          <w:bCs w:val="0"/>
          <w:color w:val="000000" w:themeColor="text1"/>
          <w:kern w:val="2"/>
          <w:sz w:val="24"/>
          <w:szCs w:val="28"/>
          <w:highlight w:val="none"/>
          <w:lang w:val="en-US" w:eastAsia="zh-CN"/>
          <w14:textFill>
            <w14:solidFill>
              <w14:schemeClr w14:val="tx1"/>
            </w14:solidFill>
          </w14:textFill>
        </w:rPr>
        <w:t>3</w:t>
      </w:r>
      <w:r>
        <w:rPr>
          <w:rFonts w:hint="eastAsia" w:ascii="Times New Roman" w:hAnsi="Times New Roman" w:eastAsia="宋体" w:cs="Times New Roman"/>
          <w:bCs w:val="0"/>
          <w:color w:val="000000" w:themeColor="text1"/>
          <w:kern w:val="2"/>
          <w:sz w:val="24"/>
          <w:szCs w:val="28"/>
          <w:highlight w:val="none"/>
          <w:lang w:eastAsia="zh-CN"/>
          <w14:textFill>
            <w14:solidFill>
              <w14:schemeClr w14:val="tx1"/>
            </w14:solidFill>
          </w14:textFill>
        </w:rPr>
        <w:t>）</w:t>
      </w:r>
      <w:r>
        <w:rPr>
          <w:rFonts w:hint="eastAsia" w:ascii="Times New Roman" w:hAnsi="Times New Roman" w:eastAsia="宋体" w:cs="Times New Roman"/>
          <w:bCs w:val="0"/>
          <w:color w:val="000000" w:themeColor="text1"/>
          <w:kern w:val="2"/>
          <w:sz w:val="24"/>
          <w:szCs w:val="28"/>
          <w:highlight w:val="none"/>
          <w14:textFill>
            <w14:solidFill>
              <w14:schemeClr w14:val="tx1"/>
            </w14:solidFill>
          </w14:textFill>
        </w:rPr>
        <w:t>运输车辆扬尘对沿线的影响</w:t>
      </w:r>
    </w:p>
    <w:p>
      <w:pPr>
        <w:pStyle w:val="148"/>
        <w:keepNext w:val="0"/>
        <w:keepLines w:val="0"/>
        <w:pageBreakBefore w:val="0"/>
        <w:kinsoku/>
        <w:wordWrap/>
        <w:overflowPunct/>
        <w:topLinePunct w:val="0"/>
        <w:bidi w:val="0"/>
        <w:spacing w:beforeAutospacing="0" w:afterAutospacing="0"/>
        <w:ind w:firstLine="420"/>
        <w:jc w:val="both"/>
        <w:textAlignment w:val="auto"/>
        <w:outlineLvl w:val="9"/>
        <w:rPr>
          <w:rFonts w:hint="eastAsia" w:ascii="Times New Roman" w:hAnsi="Times New Roman" w:eastAsia="宋体" w:cs="Times New Roman"/>
          <w:bCs w:val="0"/>
          <w:color w:val="000000" w:themeColor="text1"/>
          <w:kern w:val="2"/>
          <w:sz w:val="24"/>
          <w:szCs w:val="28"/>
          <w:highlight w:val="none"/>
          <w14:textFill>
            <w14:solidFill>
              <w14:schemeClr w14:val="tx1"/>
            </w14:solidFill>
          </w14:textFill>
        </w:rPr>
      </w:pPr>
      <w:r>
        <w:rPr>
          <w:rFonts w:hint="eastAsia" w:ascii="Times New Roman" w:hAnsi="Times New Roman" w:eastAsia="宋体" w:cs="Times New Roman"/>
          <w:bCs w:val="0"/>
          <w:color w:val="000000" w:themeColor="text1"/>
          <w:kern w:val="2"/>
          <w:sz w:val="24"/>
          <w:szCs w:val="28"/>
          <w:highlight w:val="none"/>
          <w14:textFill>
            <w14:solidFill>
              <w14:schemeClr w14:val="tx1"/>
            </w14:solidFill>
          </w14:textFill>
        </w:rPr>
        <w:t>道路扬尘主要是由于施工车辆在运输施工材料而引起，扬尘的大小主要跟车辆行驶速度、风速、路面积尘量和路面积尘湿度有关，其中风速还直接影响到扬尘的传输距离。</w:t>
      </w:r>
    </w:p>
    <w:p>
      <w:pPr>
        <w:pStyle w:val="148"/>
        <w:keepNext w:val="0"/>
        <w:keepLines w:val="0"/>
        <w:pageBreakBefore w:val="0"/>
        <w:kinsoku/>
        <w:wordWrap/>
        <w:overflowPunct/>
        <w:topLinePunct w:val="0"/>
        <w:bidi w:val="0"/>
        <w:spacing w:beforeAutospacing="0" w:afterAutospacing="0"/>
        <w:ind w:firstLine="420"/>
        <w:jc w:val="both"/>
        <w:textAlignment w:val="auto"/>
        <w:outlineLvl w:val="9"/>
        <w:rPr>
          <w:rFonts w:hint="eastAsia" w:ascii="Times New Roman" w:hAnsi="Times New Roman" w:eastAsia="宋体" w:cs="Times New Roman"/>
          <w:bCs w:val="0"/>
          <w:color w:val="000000" w:themeColor="text1"/>
          <w:kern w:val="2"/>
          <w:sz w:val="24"/>
          <w:szCs w:val="28"/>
          <w:highlight w:val="none"/>
          <w14:textFill>
            <w14:solidFill>
              <w14:schemeClr w14:val="tx1"/>
            </w14:solidFill>
          </w14:textFill>
        </w:rPr>
      </w:pPr>
      <w:r>
        <w:rPr>
          <w:rFonts w:hint="eastAsia" w:ascii="Times New Roman" w:hAnsi="Times New Roman" w:eastAsia="宋体" w:cs="Times New Roman"/>
          <w:bCs w:val="0"/>
          <w:color w:val="000000" w:themeColor="text1"/>
          <w:kern w:val="2"/>
          <w:sz w:val="24"/>
          <w:szCs w:val="28"/>
          <w:highlight w:val="none"/>
          <w14:textFill>
            <w14:solidFill>
              <w14:schemeClr w14:val="tx1"/>
            </w14:solidFill>
          </w14:textFill>
        </w:rPr>
        <w:t>建筑材料运输过程可能会影响道路两侧约60m的区域。因此，应对运输车辆严格管理，并采取一定的措施防止二次扬尘的产生对线路沿途的环境保护目标产生影响。建设单位应在车辆运输过程中对运输车辆采取遮盖等措施，经防治措施后，运输线路沿途的扬尘对周边环境影响较小。</w:t>
      </w:r>
    </w:p>
    <w:p>
      <w:pPr>
        <w:pStyle w:val="148"/>
        <w:keepNext w:val="0"/>
        <w:keepLines w:val="0"/>
        <w:pageBreakBefore w:val="0"/>
        <w:kinsoku/>
        <w:wordWrap/>
        <w:overflowPunct/>
        <w:topLinePunct w:val="0"/>
        <w:bidi w:val="0"/>
        <w:spacing w:beforeAutospacing="0" w:afterAutospacing="0"/>
        <w:ind w:firstLine="420"/>
        <w:jc w:val="both"/>
        <w:textAlignment w:val="auto"/>
        <w:outlineLvl w:val="9"/>
        <w:rPr>
          <w:rFonts w:hint="default" w:ascii="Times New Roman" w:hAnsi="Times New Roman" w:eastAsia="宋体" w:cs="Times New Roman"/>
          <w:bCs w:val="0"/>
          <w:color w:val="000000" w:themeColor="text1"/>
          <w:kern w:val="2"/>
          <w:sz w:val="24"/>
          <w:szCs w:val="28"/>
          <w:highlight w:val="none"/>
          <w:lang w:val="en-US" w:eastAsia="zh-CN"/>
          <w14:textFill>
            <w14:solidFill>
              <w14:schemeClr w14:val="tx1"/>
            </w14:solidFill>
          </w14:textFill>
        </w:rPr>
      </w:pPr>
      <w:r>
        <w:rPr>
          <w:rFonts w:hint="eastAsia" w:ascii="Times New Roman" w:hAnsi="Times New Roman" w:eastAsia="宋体" w:cs="Times New Roman"/>
          <w:bCs w:val="0"/>
          <w:color w:val="000000" w:themeColor="text1"/>
          <w:kern w:val="2"/>
          <w:sz w:val="24"/>
          <w:szCs w:val="28"/>
          <w:highlight w:val="none"/>
          <w:lang w:val="en-US" w:eastAsia="zh-CN"/>
          <w14:textFill>
            <w14:solidFill>
              <w14:schemeClr w14:val="tx1"/>
            </w14:solidFill>
          </w14:textFill>
        </w:rPr>
        <w:t>本</w:t>
      </w:r>
      <w:r>
        <w:rPr>
          <w:rFonts w:hint="default" w:ascii="Times New Roman" w:hAnsi="Times New Roman" w:eastAsia="宋体" w:cs="Times New Roman"/>
          <w:bCs w:val="0"/>
          <w:color w:val="000000" w:themeColor="text1"/>
          <w:kern w:val="2"/>
          <w:sz w:val="24"/>
          <w:szCs w:val="28"/>
          <w:highlight w:val="none"/>
          <w:lang w:val="en-US" w:eastAsia="zh-CN"/>
          <w14:textFill>
            <w14:solidFill>
              <w14:schemeClr w14:val="tx1"/>
            </w14:solidFill>
          </w14:textFill>
        </w:rPr>
        <w:t>项目所在的福鼎市为环境空气达标区，可吸入颗粒物、细颗粒物等均达到《环境空气质量标准》二级标准，空气质量良好。</w:t>
      </w:r>
      <w:r>
        <w:rPr>
          <w:rFonts w:hint="eastAsia" w:ascii="Times New Roman" w:hAnsi="Times New Roman" w:eastAsia="宋体" w:cs="Times New Roman"/>
          <w:bCs w:val="0"/>
          <w:color w:val="000000" w:themeColor="text1"/>
          <w:kern w:val="2"/>
          <w:sz w:val="24"/>
          <w:szCs w:val="28"/>
          <w:highlight w:val="none"/>
          <w:lang w:val="en-US" w:eastAsia="zh-CN"/>
          <w14:textFill>
            <w14:solidFill>
              <w14:schemeClr w14:val="tx1"/>
            </w14:solidFill>
          </w14:textFill>
        </w:rPr>
        <w:t>本</w:t>
      </w:r>
      <w:r>
        <w:rPr>
          <w:rFonts w:hint="default" w:ascii="Times New Roman" w:hAnsi="Times New Roman" w:eastAsia="宋体" w:cs="Times New Roman"/>
          <w:bCs w:val="0"/>
          <w:color w:val="000000" w:themeColor="text1"/>
          <w:kern w:val="2"/>
          <w:sz w:val="24"/>
          <w:szCs w:val="28"/>
          <w:highlight w:val="none"/>
          <w:lang w:val="en-US" w:eastAsia="zh-CN"/>
          <w14:textFill>
            <w14:solidFill>
              <w14:schemeClr w14:val="tx1"/>
            </w14:solidFill>
          </w14:textFill>
        </w:rPr>
        <w:t>项目厂界外500m范围内，无居民点、自然保护区、风景名胜区等其他大气环境敏感目标。</w:t>
      </w:r>
      <w:r>
        <w:rPr>
          <w:rFonts w:hint="eastAsia" w:ascii="Times New Roman" w:hAnsi="Times New Roman" w:eastAsia="宋体" w:cs="Times New Roman"/>
          <w:bCs w:val="0"/>
          <w:color w:val="000000" w:themeColor="text1"/>
          <w:kern w:val="2"/>
          <w:sz w:val="24"/>
          <w:szCs w:val="28"/>
          <w:highlight w:val="none"/>
          <w:lang w:val="en-US" w:eastAsia="zh-CN"/>
          <w14:textFill>
            <w14:solidFill>
              <w14:schemeClr w14:val="tx1"/>
            </w14:solidFill>
          </w14:textFill>
        </w:rPr>
        <w:t>本</w:t>
      </w:r>
      <w:r>
        <w:rPr>
          <w:rFonts w:hint="default" w:ascii="Times New Roman" w:hAnsi="Times New Roman" w:eastAsia="宋体" w:cs="Times New Roman"/>
          <w:bCs w:val="0"/>
          <w:color w:val="000000" w:themeColor="text1"/>
          <w:kern w:val="2"/>
          <w:sz w:val="24"/>
          <w:szCs w:val="28"/>
          <w:highlight w:val="none"/>
          <w:lang w:val="en-US" w:eastAsia="zh-CN"/>
          <w14:textFill>
            <w14:solidFill>
              <w14:schemeClr w14:val="tx1"/>
            </w14:solidFill>
          </w14:textFill>
        </w:rPr>
        <w:t>项目采取厂房、堆场密闭，封闭运输、</w:t>
      </w:r>
      <w:r>
        <w:rPr>
          <w:rFonts w:hint="eastAsia" w:ascii="Times New Roman" w:hAnsi="Times New Roman" w:eastAsia="宋体" w:cs="Times New Roman"/>
          <w:bCs w:val="0"/>
          <w:color w:val="000000" w:themeColor="text1"/>
          <w:kern w:val="2"/>
          <w:sz w:val="24"/>
          <w:szCs w:val="28"/>
          <w:highlight w:val="none"/>
          <w:lang w:eastAsia="zh-CN"/>
          <w14:textFill>
            <w14:solidFill>
              <w14:schemeClr w14:val="tx1"/>
            </w14:solidFill>
          </w14:textFill>
        </w:rPr>
        <w:t>喷雾</w:t>
      </w:r>
      <w:r>
        <w:rPr>
          <w:rFonts w:hint="default" w:ascii="Times New Roman" w:hAnsi="Times New Roman" w:eastAsia="宋体" w:cs="Times New Roman"/>
          <w:bCs w:val="0"/>
          <w:color w:val="000000" w:themeColor="text1"/>
          <w:kern w:val="2"/>
          <w:sz w:val="24"/>
          <w:szCs w:val="28"/>
          <w:highlight w:val="none"/>
          <w:lang w:val="en-US" w:eastAsia="zh-CN"/>
          <w14:textFill>
            <w14:solidFill>
              <w14:schemeClr w14:val="tx1"/>
            </w14:solidFill>
          </w14:textFill>
        </w:rPr>
        <w:t>洒水</w:t>
      </w:r>
      <w:r>
        <w:rPr>
          <w:rFonts w:hint="eastAsia" w:ascii="Times New Roman" w:hAnsi="Times New Roman" w:eastAsia="宋体" w:cs="Times New Roman"/>
          <w:bCs w:val="0"/>
          <w:color w:val="000000" w:themeColor="text1"/>
          <w:kern w:val="2"/>
          <w:sz w:val="24"/>
          <w:szCs w:val="28"/>
          <w:highlight w:val="none"/>
          <w:lang w:val="en-US" w:eastAsia="zh-CN"/>
          <w14:textFill>
            <w14:solidFill>
              <w14:schemeClr w14:val="tx1"/>
            </w14:solidFill>
          </w14:textFill>
        </w:rPr>
        <w:t>抑尘</w:t>
      </w:r>
      <w:r>
        <w:rPr>
          <w:rFonts w:hint="default" w:ascii="Times New Roman" w:hAnsi="Times New Roman" w:eastAsia="宋体" w:cs="Times New Roman"/>
          <w:bCs w:val="0"/>
          <w:color w:val="000000" w:themeColor="text1"/>
          <w:kern w:val="2"/>
          <w:sz w:val="24"/>
          <w:szCs w:val="28"/>
          <w:highlight w:val="none"/>
          <w:lang w:val="en-US" w:eastAsia="zh-CN"/>
          <w14:textFill>
            <w14:solidFill>
              <w14:schemeClr w14:val="tx1"/>
            </w14:solidFill>
          </w14:textFill>
        </w:rPr>
        <w:t>、覆盖篷布等抑尘措施后，无组织粉尘排放量较小，厂界无组织粉尘排放可达到《大气污染物综合排放标准》（GB16297-1996）中表2标准。因此，对所在区域大气环境影响不大。</w:t>
      </w:r>
    </w:p>
    <w:p>
      <w:pPr>
        <w:pStyle w:val="11"/>
        <w:pageBreakBefore w:val="0"/>
        <w:kinsoku/>
        <w:bidi w:val="0"/>
        <w:spacing w:beforeAutospacing="0" w:afterAutospacing="0"/>
        <w:rPr>
          <w:rFonts w:hint="default" w:ascii="Times New Roman" w:hAnsi="Times New Roman" w:eastAsia="宋体"/>
          <w:color w:val="000000" w:themeColor="text1"/>
          <w:sz w:val="30"/>
          <w:szCs w:val="30"/>
          <w:lang w:val="en-US" w:eastAsia="zh-CN"/>
          <w14:textFill>
            <w14:solidFill>
              <w14:schemeClr w14:val="tx1"/>
            </w14:solidFill>
          </w14:textFill>
        </w:rPr>
      </w:pPr>
      <w:r>
        <w:rPr>
          <w:rFonts w:hint="eastAsia" w:ascii="Times New Roman" w:hAnsi="Times New Roman" w:eastAsia="宋体"/>
          <w:color w:val="000000" w:themeColor="text1"/>
          <w:sz w:val="30"/>
          <w:szCs w:val="30"/>
          <w:lang w:val="en-US" w:eastAsia="zh-CN"/>
          <w14:textFill>
            <w14:solidFill>
              <w14:schemeClr w14:val="tx1"/>
            </w14:solidFill>
          </w14:textFill>
        </w:rPr>
        <w:t>4.2运营期大气环境影响分析</w:t>
      </w:r>
    </w:p>
    <w:p>
      <w:pPr>
        <w:keepNext w:val="0"/>
        <w:keepLines w:val="0"/>
        <w:pageBreakBefore w:val="0"/>
        <w:kinsoku/>
        <w:wordWrap/>
        <w:overflowPunct/>
        <w:topLinePunct w:val="0"/>
        <w:bidi w:val="0"/>
        <w:snapToGrid w:val="0"/>
        <w:spacing w:beforeAutospacing="0" w:afterAutospacing="0" w:line="360" w:lineRule="auto"/>
        <w:ind w:firstLine="480" w:firstLineChars="200"/>
        <w:textAlignment w:val="auto"/>
        <w:outlineLvl w:val="9"/>
        <w:rPr>
          <w:rFonts w:ascii="Times New Roman" w:hAnsi="Times New Roman" w:eastAsia="宋体"/>
          <w:color w:val="000000" w:themeColor="text1"/>
          <w:sz w:val="24"/>
          <w:szCs w:val="28"/>
          <w:highlight w:val="none"/>
          <w14:textFill>
            <w14:solidFill>
              <w14:schemeClr w14:val="tx1"/>
            </w14:solidFill>
          </w14:textFill>
        </w:rPr>
      </w:pPr>
      <w:r>
        <w:rPr>
          <w:rFonts w:hint="eastAsia" w:ascii="Times New Roman" w:hAnsi="Times New Roman" w:eastAsia="宋体"/>
          <w:color w:val="000000" w:themeColor="text1"/>
          <w:sz w:val="24"/>
          <w:szCs w:val="32"/>
          <w:highlight w:val="none"/>
          <w14:textFill>
            <w14:solidFill>
              <w14:schemeClr w14:val="tx1"/>
            </w14:solidFill>
          </w14:textFill>
        </w:rPr>
        <w:t>项目运营期废气主要</w:t>
      </w:r>
      <w:r>
        <w:rPr>
          <w:rFonts w:hint="eastAsia" w:ascii="Times New Roman" w:hAnsi="Times New Roman" w:eastAsia="宋体"/>
          <w:color w:val="000000" w:themeColor="text1"/>
          <w:sz w:val="24"/>
          <w:szCs w:val="32"/>
          <w:highlight w:val="none"/>
          <w:lang w:eastAsia="zh-CN"/>
          <w14:textFill>
            <w14:solidFill>
              <w14:schemeClr w14:val="tx1"/>
            </w14:solidFill>
          </w14:textFill>
        </w:rPr>
        <w:t>来自</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河砂、碎石及废金属矿的</w:t>
      </w:r>
      <w:r>
        <w:rPr>
          <w:rFonts w:hint="eastAsia" w:ascii="Times New Roman" w:hAnsi="Times New Roman" w:eastAsia="宋体"/>
          <w:color w:val="000000" w:themeColor="text1"/>
          <w:sz w:val="24"/>
          <w:szCs w:val="32"/>
          <w:highlight w:val="none"/>
          <w:lang w:eastAsia="zh-CN"/>
          <w14:textFill>
            <w14:solidFill>
              <w14:schemeClr w14:val="tx1"/>
            </w14:solidFill>
          </w14:textFill>
        </w:rPr>
        <w:t>装卸</w:t>
      </w:r>
      <w:r>
        <w:rPr>
          <w:rFonts w:hint="eastAsia" w:ascii="Times New Roman" w:hAnsi="Times New Roman" w:eastAsia="宋体"/>
          <w:color w:val="000000" w:themeColor="text1"/>
          <w:sz w:val="24"/>
          <w:szCs w:val="32"/>
          <w:highlight w:val="none"/>
          <w14:textFill>
            <w14:solidFill>
              <w14:schemeClr w14:val="tx1"/>
            </w14:solidFill>
          </w14:textFill>
        </w:rPr>
        <w:t>及堆场产生的粉尘，</w:t>
      </w:r>
      <w:r>
        <w:rPr>
          <w:rFonts w:hint="eastAsia" w:ascii="Times New Roman" w:hAnsi="Times New Roman" w:eastAsia="宋体"/>
          <w:color w:val="000000" w:themeColor="text1"/>
          <w:sz w:val="24"/>
          <w:szCs w:val="28"/>
          <w:highlight w:val="none"/>
          <w14:textFill>
            <w14:solidFill>
              <w14:schemeClr w14:val="tx1"/>
            </w14:solidFill>
          </w14:textFill>
        </w:rPr>
        <w:t>运输车辆及船舶产生的废气。</w:t>
      </w:r>
    </w:p>
    <w:p>
      <w:pPr>
        <w:keepNext w:val="0"/>
        <w:keepLines w:val="0"/>
        <w:pageBreakBefore w:val="0"/>
        <w:kinsoku/>
        <w:wordWrap/>
        <w:overflowPunct/>
        <w:topLinePunct w:val="0"/>
        <w:bidi w:val="0"/>
        <w:spacing w:beforeAutospacing="0" w:afterAutospacing="0" w:line="360" w:lineRule="auto"/>
        <w:ind w:firstLine="480" w:firstLineChars="200"/>
        <w:textAlignment w:val="auto"/>
        <w:outlineLvl w:val="9"/>
        <w:rPr>
          <w:rFonts w:hint="eastAsia" w:ascii="Times New Roman" w:hAnsi="Times New Roman" w:eastAsia="宋体"/>
          <w:color w:val="000000" w:themeColor="text1"/>
          <w:sz w:val="24"/>
          <w:szCs w:val="32"/>
          <w:highlight w:val="none"/>
          <w:lang w:eastAsia="zh-CN"/>
          <w14:textFill>
            <w14:solidFill>
              <w14:schemeClr w14:val="tx1"/>
            </w14:solidFill>
          </w14:textFill>
        </w:rPr>
      </w:pPr>
      <w:r>
        <w:rPr>
          <w:rFonts w:hint="eastAsia" w:ascii="Times New Roman" w:hAnsi="Times New Roman" w:eastAsia="宋体"/>
          <w:color w:val="000000" w:themeColor="text1"/>
          <w:sz w:val="24"/>
          <w:szCs w:val="28"/>
          <w:highlight w:val="none"/>
          <w14:textFill>
            <w14:solidFill>
              <w14:schemeClr w14:val="tx1"/>
            </w14:solidFill>
          </w14:textFill>
        </w:rPr>
        <w:t>运输车辆及船舶产生的废气污染物排放量很小，故不对其进行定量分析，仅对措施进行定性分析。在堆场四周设置防风抑尘网，降低堆场内的风速，减少起尘量；周边</w:t>
      </w:r>
      <w:r>
        <w:rPr>
          <w:rFonts w:hint="eastAsia" w:ascii="Times New Roman" w:hAnsi="Times New Roman" w:eastAsia="宋体"/>
          <w:color w:val="000000" w:themeColor="text1"/>
          <w:sz w:val="24"/>
          <w:szCs w:val="28"/>
          <w:highlight w:val="none"/>
          <w:lang w:eastAsia="zh-CN"/>
          <w14:textFill>
            <w14:solidFill>
              <w14:schemeClr w14:val="tx1"/>
            </w14:solidFill>
          </w14:textFill>
        </w:rPr>
        <w:t>每隔</w:t>
      </w:r>
      <w:r>
        <w:rPr>
          <w:rFonts w:hint="eastAsia" w:ascii="Times New Roman" w:hAnsi="Times New Roman" w:eastAsia="宋体"/>
          <w:color w:val="000000" w:themeColor="text1"/>
          <w:sz w:val="24"/>
          <w:szCs w:val="28"/>
          <w:highlight w:val="none"/>
          <w:lang w:val="en-US" w:eastAsia="zh-CN"/>
          <w14:textFill>
            <w14:solidFill>
              <w14:schemeClr w14:val="tx1"/>
            </w14:solidFill>
          </w14:textFill>
        </w:rPr>
        <w:t>2米</w:t>
      </w:r>
      <w:r>
        <w:rPr>
          <w:rFonts w:hint="eastAsia" w:ascii="Times New Roman" w:hAnsi="Times New Roman" w:eastAsia="宋体"/>
          <w:color w:val="000000" w:themeColor="text1"/>
          <w:sz w:val="24"/>
          <w:szCs w:val="28"/>
          <w:highlight w:val="none"/>
          <w14:textFill>
            <w14:solidFill>
              <w14:schemeClr w14:val="tx1"/>
            </w14:solidFill>
          </w14:textFill>
        </w:rPr>
        <w:t>安装</w:t>
      </w:r>
      <w:r>
        <w:rPr>
          <w:rFonts w:hint="eastAsia" w:ascii="Times New Roman" w:hAnsi="Times New Roman" w:eastAsia="宋体"/>
          <w:color w:val="000000" w:themeColor="text1"/>
          <w:sz w:val="24"/>
          <w:szCs w:val="28"/>
          <w:highlight w:val="none"/>
          <w:lang w:eastAsia="zh-CN"/>
          <w14:textFill>
            <w14:solidFill>
              <w14:schemeClr w14:val="tx1"/>
            </w14:solidFill>
          </w14:textFill>
        </w:rPr>
        <w:t>有</w:t>
      </w:r>
      <w:r>
        <w:rPr>
          <w:rFonts w:hint="eastAsia" w:ascii="Times New Roman" w:hAnsi="Times New Roman" w:eastAsia="宋体"/>
          <w:color w:val="000000" w:themeColor="text1"/>
          <w:sz w:val="24"/>
          <w:szCs w:val="28"/>
          <w:highlight w:val="none"/>
          <w14:textFill>
            <w14:solidFill>
              <w14:schemeClr w14:val="tx1"/>
            </w14:solidFill>
          </w14:textFill>
        </w:rPr>
        <w:t>喷淋洒水装置，对堆场进行洒水抑尘后，堆场粉尘产生量较小，不对其进行定量分析</w:t>
      </w:r>
      <w:r>
        <w:rPr>
          <w:rFonts w:hint="eastAsia" w:ascii="Times New Roman" w:hAnsi="Times New Roman" w:eastAsia="宋体"/>
          <w:color w:val="000000" w:themeColor="text1"/>
          <w:sz w:val="24"/>
          <w:szCs w:val="28"/>
          <w:highlight w:val="none"/>
          <w:lang w:eastAsia="zh-CN"/>
          <w14:textFill>
            <w14:solidFill>
              <w14:schemeClr w14:val="tx1"/>
            </w14:solidFill>
          </w14:textFill>
        </w:rPr>
        <w:t>。</w:t>
      </w:r>
    </w:p>
    <w:p>
      <w:pPr>
        <w:pStyle w:val="149"/>
        <w:keepNext w:val="0"/>
        <w:keepLines w:val="0"/>
        <w:pageBreakBefore w:val="0"/>
        <w:kinsoku/>
        <w:wordWrap/>
        <w:overflowPunct/>
        <w:topLinePunct w:val="0"/>
        <w:bidi w:val="0"/>
        <w:spacing w:beforeAutospacing="0" w:afterAutospacing="0"/>
        <w:ind w:firstLine="420"/>
        <w:textAlignment w:val="auto"/>
        <w:outlineLvl w:val="9"/>
        <w:rPr>
          <w:rFonts w:ascii="Times New Roman" w:hAnsi="Times New Roman" w:eastAsia="宋体"/>
          <w:b/>
          <w:bCs/>
          <w:color w:val="000000" w:themeColor="text1"/>
          <w:sz w:val="24"/>
          <w:szCs w:val="28"/>
          <w:highlight w:val="none"/>
          <w14:textFill>
            <w14:solidFill>
              <w14:schemeClr w14:val="tx1"/>
            </w14:solidFill>
          </w14:textFill>
        </w:rPr>
      </w:pPr>
      <w:r>
        <w:rPr>
          <w:rFonts w:hint="eastAsia" w:ascii="Times New Roman" w:hAnsi="Times New Roman" w:eastAsia="宋体"/>
          <w:color w:val="000000" w:themeColor="text1"/>
          <w:sz w:val="24"/>
          <w:szCs w:val="28"/>
          <w:highlight w:val="none"/>
          <w14:textFill>
            <w14:solidFill>
              <w14:schemeClr w14:val="tx1"/>
            </w14:solidFill>
          </w14:textFill>
        </w:rPr>
        <w:t>由预测结果可知，污染物的最大占标率</w:t>
      </w:r>
      <w:r>
        <w:rPr>
          <w:rFonts w:ascii="Times New Roman" w:hAnsi="Times New Roman" w:eastAsia="宋体"/>
          <w:color w:val="000000" w:themeColor="text1"/>
          <w:sz w:val="24"/>
          <w:szCs w:val="28"/>
          <w:highlight w:val="none"/>
          <w14:textFill>
            <w14:solidFill>
              <w14:schemeClr w14:val="tx1"/>
            </w14:solidFill>
          </w14:textFill>
        </w:rPr>
        <w:t>Pmax=</w:t>
      </w:r>
      <w:r>
        <w:rPr>
          <w:rFonts w:hint="eastAsia" w:ascii="Times New Roman" w:hAnsi="Times New Roman" w:eastAsia="宋体"/>
          <w:color w:val="000000" w:themeColor="text1"/>
          <w:sz w:val="24"/>
          <w:szCs w:val="28"/>
          <w:highlight w:val="none"/>
          <w:lang w:val="en-US" w:eastAsia="zh-CN"/>
          <w14:textFill>
            <w14:solidFill>
              <w14:schemeClr w14:val="tx1"/>
            </w14:solidFill>
          </w14:textFill>
        </w:rPr>
        <w:t>8.24</w:t>
      </w:r>
      <w:r>
        <w:rPr>
          <w:rFonts w:hint="eastAsia" w:ascii="Times New Roman" w:hAnsi="Times New Roman" w:eastAsia="宋体"/>
          <w:color w:val="000000" w:themeColor="text1"/>
          <w:sz w:val="24"/>
          <w:szCs w:val="28"/>
          <w:highlight w:val="none"/>
          <w14:textFill>
            <w14:solidFill>
              <w14:schemeClr w14:val="tx1"/>
            </w14:solidFill>
          </w14:textFill>
        </w:rPr>
        <w:t>%</w:t>
      </w:r>
      <w:r>
        <w:rPr>
          <w:rFonts w:ascii="Times New Roman" w:hAnsi="Times New Roman" w:eastAsia="宋体"/>
          <w:color w:val="000000" w:themeColor="text1"/>
          <w:sz w:val="24"/>
          <w:szCs w:val="28"/>
          <w:highlight w:val="none"/>
          <w14:textFill>
            <w14:solidFill>
              <w14:schemeClr w14:val="tx1"/>
            </w14:solidFill>
          </w14:textFill>
        </w:rPr>
        <w:t>&lt;10%</w:t>
      </w:r>
      <w:r>
        <w:rPr>
          <w:rFonts w:hint="eastAsia" w:ascii="Times New Roman" w:hAnsi="Times New Roman" w:eastAsia="宋体"/>
          <w:color w:val="000000" w:themeColor="text1"/>
          <w:sz w:val="24"/>
          <w:szCs w:val="28"/>
          <w:highlight w:val="none"/>
          <w14:textFill>
            <w14:solidFill>
              <w14:schemeClr w14:val="tx1"/>
            </w14:solidFill>
          </w14:textFill>
        </w:rPr>
        <w:t>，因此评价等级为二级。根据</w:t>
      </w:r>
      <w:r>
        <w:rPr>
          <w:rFonts w:ascii="Times New Roman" w:hAnsi="Times New Roman" w:eastAsia="宋体"/>
          <w:color w:val="000000" w:themeColor="text1"/>
          <w:sz w:val="24"/>
          <w:szCs w:val="28"/>
          <w:highlight w:val="none"/>
          <w14:textFill>
            <w14:solidFill>
              <w14:schemeClr w14:val="tx1"/>
            </w14:solidFill>
          </w14:textFill>
        </w:rPr>
        <w:t>HJ2.2-2018</w:t>
      </w:r>
      <w:r>
        <w:rPr>
          <w:rFonts w:hint="eastAsia" w:ascii="Times New Roman" w:hAnsi="Times New Roman" w:eastAsia="宋体"/>
          <w:color w:val="000000" w:themeColor="text1"/>
          <w:sz w:val="24"/>
          <w:szCs w:val="28"/>
          <w:highlight w:val="none"/>
          <w14:textFill>
            <w14:solidFill>
              <w14:schemeClr w14:val="tx1"/>
            </w14:solidFill>
          </w14:textFill>
        </w:rPr>
        <w:t>《环境影响评价技术导则</w:t>
      </w:r>
      <w:r>
        <w:rPr>
          <w:rFonts w:hint="eastAsia" w:ascii="Times New Roman" w:hAnsi="Times New Roman" w:eastAsia="宋体"/>
          <w:color w:val="000000" w:themeColor="text1"/>
          <w:sz w:val="24"/>
          <w:szCs w:val="28"/>
          <w:highlight w:val="none"/>
          <w:lang w:eastAsia="zh-CN"/>
          <w14:textFill>
            <w14:solidFill>
              <w14:schemeClr w14:val="tx1"/>
            </w14:solidFill>
          </w14:textFill>
        </w:rPr>
        <w:t>－</w:t>
      </w:r>
      <w:r>
        <w:rPr>
          <w:rFonts w:hint="eastAsia" w:ascii="Times New Roman" w:hAnsi="Times New Roman" w:eastAsia="宋体"/>
          <w:color w:val="000000" w:themeColor="text1"/>
          <w:sz w:val="24"/>
          <w:szCs w:val="28"/>
          <w:highlight w:val="none"/>
          <w14:textFill>
            <w14:solidFill>
              <w14:schemeClr w14:val="tx1"/>
            </w14:solidFill>
          </w14:textFill>
        </w:rPr>
        <w:t>大气环境》中的相关要求，二级评价不进行进一步预测和评价，仅对污染物排放量进行核算。</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outlineLvl w:val="9"/>
        <w:rPr>
          <w:rFonts w:ascii="Times New Roman" w:hAnsi="Times New Roman" w:eastAsia="宋体"/>
          <w:b/>
          <w:bCs/>
          <w:color w:val="000000" w:themeColor="text1"/>
          <w:sz w:val="24"/>
          <w:szCs w:val="32"/>
          <w:highlight w:val="none"/>
          <w14:textFill>
            <w14:solidFill>
              <w14:schemeClr w14:val="tx1"/>
            </w14:solidFill>
          </w14:textFill>
        </w:rPr>
      </w:pPr>
      <w:r>
        <w:rPr>
          <w:rFonts w:hint="eastAsia" w:ascii="Times New Roman" w:hAnsi="Times New Roman" w:eastAsia="宋体"/>
          <w:b/>
          <w:bCs/>
          <w:color w:val="000000" w:themeColor="text1"/>
          <w:sz w:val="24"/>
          <w:szCs w:val="32"/>
          <w:highlight w:val="none"/>
          <w14:textFill>
            <w14:solidFill>
              <w14:schemeClr w14:val="tx1"/>
            </w14:solidFill>
          </w14:textFill>
        </w:rPr>
        <w:t>表</w:t>
      </w:r>
      <w:r>
        <w:rPr>
          <w:rFonts w:hint="eastAsia" w:ascii="Times New Roman" w:hAnsi="Times New Roman" w:eastAsia="宋体"/>
          <w:b/>
          <w:bCs/>
          <w:color w:val="000000" w:themeColor="text1"/>
          <w:sz w:val="24"/>
          <w:szCs w:val="32"/>
          <w:highlight w:val="none"/>
          <w:lang w:val="en-US" w:eastAsia="zh-CN"/>
          <w14:textFill>
            <w14:solidFill>
              <w14:schemeClr w14:val="tx1"/>
            </w14:solidFill>
          </w14:textFill>
        </w:rPr>
        <w:t>4.2-1</w:t>
      </w:r>
      <w:r>
        <w:rPr>
          <w:rFonts w:hint="eastAsia" w:ascii="Times New Roman" w:hAnsi="Times New Roman" w:eastAsia="宋体"/>
          <w:b/>
          <w:bCs/>
          <w:color w:val="000000" w:themeColor="text1"/>
          <w:sz w:val="24"/>
          <w:szCs w:val="32"/>
          <w:highlight w:val="none"/>
          <w14:textFill>
            <w14:solidFill>
              <w14:schemeClr w14:val="tx1"/>
            </w14:solidFill>
          </w14:textFill>
        </w:rPr>
        <w:t xml:space="preserve"> 大气污染物无组织排放量核算表</w:t>
      </w:r>
    </w:p>
    <w:tbl>
      <w:tblPr>
        <w:tblStyle w:val="33"/>
        <w:tblW w:w="906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2"/>
        <w:gridCol w:w="747"/>
        <w:gridCol w:w="747"/>
        <w:gridCol w:w="614"/>
        <w:gridCol w:w="1278"/>
        <w:gridCol w:w="3034"/>
        <w:gridCol w:w="1189"/>
        <w:gridCol w:w="9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82" w:type="dxa"/>
            <w:vMerge w:val="restart"/>
            <w:tcBorders>
              <w:top w:val="single" w:color="auto" w:sz="12" w:space="0"/>
            </w:tcBorders>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 w:val="21"/>
                <w:szCs w:val="21"/>
                <w:highlight w:val="none"/>
                <w14:textFill>
                  <w14:solidFill>
                    <w14:schemeClr w14:val="tx1"/>
                  </w14:solidFill>
                </w14:textFill>
              </w:rPr>
            </w:pPr>
            <w:r>
              <w:rPr>
                <w:rFonts w:hint="eastAsia" w:ascii="Times New Roman" w:hAnsi="Times New Roman" w:eastAsia="宋体"/>
                <w:bCs/>
                <w:color w:val="000000" w:themeColor="text1"/>
                <w:sz w:val="21"/>
                <w:szCs w:val="21"/>
                <w:highlight w:val="none"/>
                <w14:textFill>
                  <w14:solidFill>
                    <w14:schemeClr w14:val="tx1"/>
                  </w14:solidFill>
                </w14:textFill>
              </w:rPr>
              <w:t>序号</w:t>
            </w:r>
          </w:p>
        </w:tc>
        <w:tc>
          <w:tcPr>
            <w:tcW w:w="747" w:type="dxa"/>
            <w:vMerge w:val="restart"/>
            <w:tcBorders>
              <w:top w:val="single" w:color="auto" w:sz="12" w:space="0"/>
            </w:tcBorders>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 w:val="21"/>
                <w:szCs w:val="21"/>
                <w:highlight w:val="none"/>
                <w14:textFill>
                  <w14:solidFill>
                    <w14:schemeClr w14:val="tx1"/>
                  </w14:solidFill>
                </w14:textFill>
              </w:rPr>
            </w:pPr>
            <w:r>
              <w:rPr>
                <w:rFonts w:hint="eastAsia" w:ascii="Times New Roman" w:hAnsi="Times New Roman" w:eastAsia="宋体"/>
                <w:bCs/>
                <w:color w:val="000000" w:themeColor="text1"/>
                <w:sz w:val="21"/>
                <w:szCs w:val="21"/>
                <w:highlight w:val="none"/>
                <w14:textFill>
                  <w14:solidFill>
                    <w14:schemeClr w14:val="tx1"/>
                  </w14:solidFill>
                </w14:textFill>
              </w:rPr>
              <w:t>排放源</w:t>
            </w:r>
          </w:p>
        </w:tc>
        <w:tc>
          <w:tcPr>
            <w:tcW w:w="747" w:type="dxa"/>
            <w:vMerge w:val="restart"/>
            <w:tcBorders>
              <w:top w:val="single" w:color="auto" w:sz="12" w:space="0"/>
            </w:tcBorders>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 w:val="21"/>
                <w:szCs w:val="21"/>
                <w:highlight w:val="none"/>
                <w14:textFill>
                  <w14:solidFill>
                    <w14:schemeClr w14:val="tx1"/>
                  </w14:solidFill>
                </w14:textFill>
              </w:rPr>
            </w:pPr>
            <w:r>
              <w:rPr>
                <w:rFonts w:hint="eastAsia" w:ascii="Times New Roman" w:hAnsi="Times New Roman" w:eastAsia="宋体"/>
                <w:bCs/>
                <w:color w:val="000000" w:themeColor="text1"/>
                <w:sz w:val="21"/>
                <w:szCs w:val="21"/>
                <w:highlight w:val="none"/>
                <w14:textFill>
                  <w14:solidFill>
                    <w14:schemeClr w14:val="tx1"/>
                  </w14:solidFill>
                </w14:textFill>
              </w:rPr>
              <w:t>产污环节</w:t>
            </w:r>
          </w:p>
        </w:tc>
        <w:tc>
          <w:tcPr>
            <w:tcW w:w="614" w:type="dxa"/>
            <w:vMerge w:val="restart"/>
            <w:tcBorders>
              <w:top w:val="single" w:color="auto" w:sz="12" w:space="0"/>
            </w:tcBorders>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 w:val="21"/>
                <w:szCs w:val="21"/>
                <w:highlight w:val="none"/>
                <w14:textFill>
                  <w14:solidFill>
                    <w14:schemeClr w14:val="tx1"/>
                  </w14:solidFill>
                </w14:textFill>
              </w:rPr>
            </w:pPr>
            <w:r>
              <w:rPr>
                <w:rFonts w:hint="eastAsia" w:ascii="Times New Roman" w:hAnsi="Times New Roman" w:eastAsia="宋体"/>
                <w:bCs/>
                <w:color w:val="000000" w:themeColor="text1"/>
                <w:sz w:val="21"/>
                <w:szCs w:val="21"/>
                <w:highlight w:val="none"/>
                <w14:textFill>
                  <w14:solidFill>
                    <w14:schemeClr w14:val="tx1"/>
                  </w14:solidFill>
                </w14:textFill>
              </w:rPr>
              <w:t>污染物</w:t>
            </w:r>
          </w:p>
        </w:tc>
        <w:tc>
          <w:tcPr>
            <w:tcW w:w="1278" w:type="dxa"/>
            <w:vMerge w:val="restart"/>
            <w:tcBorders>
              <w:top w:val="single" w:color="auto" w:sz="12" w:space="0"/>
            </w:tcBorders>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 w:val="21"/>
                <w:szCs w:val="21"/>
                <w:highlight w:val="none"/>
                <w14:textFill>
                  <w14:solidFill>
                    <w14:schemeClr w14:val="tx1"/>
                  </w14:solidFill>
                </w14:textFill>
              </w:rPr>
            </w:pPr>
            <w:r>
              <w:rPr>
                <w:rFonts w:hint="eastAsia" w:ascii="Times New Roman" w:hAnsi="Times New Roman" w:eastAsia="宋体"/>
                <w:bCs/>
                <w:color w:val="000000" w:themeColor="text1"/>
                <w:sz w:val="21"/>
                <w:szCs w:val="21"/>
                <w:highlight w:val="none"/>
                <w14:textFill>
                  <w14:solidFill>
                    <w14:schemeClr w14:val="tx1"/>
                  </w14:solidFill>
                </w14:textFill>
              </w:rPr>
              <w:t>主要污染防治措施</w:t>
            </w:r>
          </w:p>
        </w:tc>
        <w:tc>
          <w:tcPr>
            <w:tcW w:w="4223" w:type="dxa"/>
            <w:gridSpan w:val="2"/>
            <w:tcBorders>
              <w:top w:val="single" w:color="auto" w:sz="12" w:space="0"/>
            </w:tcBorders>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 w:val="21"/>
                <w:szCs w:val="21"/>
                <w:highlight w:val="none"/>
                <w14:textFill>
                  <w14:solidFill>
                    <w14:schemeClr w14:val="tx1"/>
                  </w14:solidFill>
                </w14:textFill>
              </w:rPr>
            </w:pPr>
            <w:r>
              <w:rPr>
                <w:rFonts w:hint="eastAsia" w:ascii="Times New Roman" w:hAnsi="Times New Roman" w:eastAsia="宋体"/>
                <w:bCs/>
                <w:color w:val="000000" w:themeColor="text1"/>
                <w:sz w:val="21"/>
                <w:szCs w:val="21"/>
                <w:highlight w:val="none"/>
                <w14:textFill>
                  <w14:solidFill>
                    <w14:schemeClr w14:val="tx1"/>
                  </w14:solidFill>
                </w14:textFill>
              </w:rPr>
              <w:t>国家或地方污染物排放标准</w:t>
            </w:r>
          </w:p>
        </w:tc>
        <w:tc>
          <w:tcPr>
            <w:tcW w:w="969" w:type="dxa"/>
            <w:vMerge w:val="restart"/>
            <w:tcBorders>
              <w:top w:val="single" w:color="auto" w:sz="12" w:space="0"/>
            </w:tcBorders>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 w:val="21"/>
                <w:szCs w:val="21"/>
                <w:highlight w:val="none"/>
                <w14:textFill>
                  <w14:solidFill>
                    <w14:schemeClr w14:val="tx1"/>
                  </w14:solidFill>
                </w14:textFill>
              </w:rPr>
            </w:pPr>
            <w:r>
              <w:rPr>
                <w:rFonts w:hint="eastAsia" w:ascii="Times New Roman" w:hAnsi="Times New Roman" w:eastAsia="宋体"/>
                <w:bCs/>
                <w:color w:val="000000" w:themeColor="text1"/>
                <w:sz w:val="21"/>
                <w:szCs w:val="21"/>
                <w:highlight w:val="none"/>
                <w14:textFill>
                  <w14:solidFill>
                    <w14:schemeClr w14:val="tx1"/>
                  </w14:solidFill>
                </w14:textFill>
              </w:rPr>
              <w:t>年排放量</w:t>
            </w:r>
            <w:r>
              <w:rPr>
                <w:rFonts w:ascii="Times New Roman" w:hAnsi="Times New Roman" w:eastAsia="宋体"/>
                <w:bCs/>
                <w:color w:val="000000" w:themeColor="text1"/>
                <w:sz w:val="21"/>
                <w:szCs w:val="21"/>
                <w:highlight w:val="none"/>
                <w14:textFill>
                  <w14:solidFill>
                    <w14:schemeClr w14:val="tx1"/>
                  </w14:solidFill>
                </w14:textFill>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82" w:type="dxa"/>
            <w:vMerge w:val="continue"/>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 w:val="21"/>
                <w:szCs w:val="21"/>
                <w:highlight w:val="none"/>
                <w14:textFill>
                  <w14:solidFill>
                    <w14:schemeClr w14:val="tx1"/>
                  </w14:solidFill>
                </w14:textFill>
              </w:rPr>
            </w:pPr>
          </w:p>
        </w:tc>
        <w:tc>
          <w:tcPr>
            <w:tcW w:w="747" w:type="dxa"/>
            <w:vMerge w:val="continue"/>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 w:val="21"/>
                <w:szCs w:val="21"/>
                <w:highlight w:val="none"/>
                <w14:textFill>
                  <w14:solidFill>
                    <w14:schemeClr w14:val="tx1"/>
                  </w14:solidFill>
                </w14:textFill>
              </w:rPr>
            </w:pPr>
          </w:p>
        </w:tc>
        <w:tc>
          <w:tcPr>
            <w:tcW w:w="747" w:type="dxa"/>
            <w:vMerge w:val="continue"/>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 w:val="21"/>
                <w:szCs w:val="21"/>
                <w:highlight w:val="none"/>
                <w14:textFill>
                  <w14:solidFill>
                    <w14:schemeClr w14:val="tx1"/>
                  </w14:solidFill>
                </w14:textFill>
              </w:rPr>
            </w:pPr>
          </w:p>
        </w:tc>
        <w:tc>
          <w:tcPr>
            <w:tcW w:w="614" w:type="dxa"/>
            <w:vMerge w:val="continue"/>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 w:val="21"/>
                <w:szCs w:val="21"/>
                <w:highlight w:val="none"/>
                <w14:textFill>
                  <w14:solidFill>
                    <w14:schemeClr w14:val="tx1"/>
                  </w14:solidFill>
                </w14:textFill>
              </w:rPr>
            </w:pPr>
          </w:p>
        </w:tc>
        <w:tc>
          <w:tcPr>
            <w:tcW w:w="1278" w:type="dxa"/>
            <w:vMerge w:val="continue"/>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 w:val="21"/>
                <w:szCs w:val="21"/>
                <w:highlight w:val="none"/>
                <w14:textFill>
                  <w14:solidFill>
                    <w14:schemeClr w14:val="tx1"/>
                  </w14:solidFill>
                </w14:textFill>
              </w:rPr>
            </w:pPr>
          </w:p>
        </w:tc>
        <w:tc>
          <w:tcPr>
            <w:tcW w:w="3034" w:type="dxa"/>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 w:val="21"/>
                <w:szCs w:val="21"/>
                <w:highlight w:val="none"/>
                <w14:textFill>
                  <w14:solidFill>
                    <w14:schemeClr w14:val="tx1"/>
                  </w14:solidFill>
                </w14:textFill>
              </w:rPr>
            </w:pPr>
            <w:r>
              <w:rPr>
                <w:rFonts w:hint="eastAsia" w:ascii="Times New Roman" w:hAnsi="Times New Roman" w:eastAsia="宋体"/>
                <w:bCs/>
                <w:color w:val="000000" w:themeColor="text1"/>
                <w:sz w:val="21"/>
                <w:szCs w:val="21"/>
                <w:highlight w:val="none"/>
                <w14:textFill>
                  <w14:solidFill>
                    <w14:schemeClr w14:val="tx1"/>
                  </w14:solidFill>
                </w14:textFill>
              </w:rPr>
              <w:t>标准名称</w:t>
            </w:r>
          </w:p>
        </w:tc>
        <w:tc>
          <w:tcPr>
            <w:tcW w:w="1189" w:type="dxa"/>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 w:val="21"/>
                <w:szCs w:val="21"/>
                <w:highlight w:val="none"/>
                <w14:textFill>
                  <w14:solidFill>
                    <w14:schemeClr w14:val="tx1"/>
                  </w14:solidFill>
                </w14:textFill>
              </w:rPr>
            </w:pPr>
            <w:r>
              <w:rPr>
                <w:rFonts w:hint="eastAsia" w:ascii="Times New Roman" w:hAnsi="Times New Roman" w:eastAsia="宋体"/>
                <w:bCs/>
                <w:color w:val="000000" w:themeColor="text1"/>
                <w:sz w:val="21"/>
                <w:szCs w:val="21"/>
                <w:highlight w:val="none"/>
                <w14:textFill>
                  <w14:solidFill>
                    <w14:schemeClr w14:val="tx1"/>
                  </w14:solidFill>
                </w14:textFill>
              </w:rPr>
              <w:t>浓度限值</w:t>
            </w:r>
            <w:r>
              <w:rPr>
                <w:rFonts w:ascii="Times New Roman" w:hAnsi="Times New Roman" w:eastAsia="宋体"/>
                <w:bCs/>
                <w:color w:val="000000" w:themeColor="text1"/>
                <w:sz w:val="21"/>
                <w:szCs w:val="21"/>
                <w:highlight w:val="none"/>
                <w14:textFill>
                  <w14:solidFill>
                    <w14:schemeClr w14:val="tx1"/>
                  </w14:solidFill>
                </w14:textFill>
              </w:rPr>
              <w:t>(mg/m</w:t>
            </w:r>
            <w:r>
              <w:rPr>
                <w:rFonts w:ascii="Times New Roman" w:hAnsi="Times New Roman" w:eastAsia="宋体"/>
                <w:bCs/>
                <w:color w:val="000000" w:themeColor="text1"/>
                <w:sz w:val="21"/>
                <w:szCs w:val="21"/>
                <w:highlight w:val="none"/>
                <w:vertAlign w:val="superscript"/>
                <w14:textFill>
                  <w14:solidFill>
                    <w14:schemeClr w14:val="tx1"/>
                  </w14:solidFill>
                </w14:textFill>
              </w:rPr>
              <w:t>3</w:t>
            </w:r>
            <w:r>
              <w:rPr>
                <w:rFonts w:ascii="Times New Roman" w:hAnsi="Times New Roman" w:eastAsia="宋体"/>
                <w:bCs/>
                <w:color w:val="000000" w:themeColor="text1"/>
                <w:sz w:val="21"/>
                <w:szCs w:val="21"/>
                <w:highlight w:val="none"/>
                <w14:textFill>
                  <w14:solidFill>
                    <w14:schemeClr w14:val="tx1"/>
                  </w14:solidFill>
                </w14:textFill>
              </w:rPr>
              <w:t>)</w:t>
            </w:r>
          </w:p>
        </w:tc>
        <w:tc>
          <w:tcPr>
            <w:tcW w:w="969" w:type="dxa"/>
            <w:vMerge w:val="continue"/>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82" w:type="dxa"/>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eastAsia" w:ascii="Times New Roman" w:hAnsi="Times New Roman" w:eastAsia="宋体"/>
                <w:bCs/>
                <w:color w:val="000000" w:themeColor="text1"/>
                <w:sz w:val="21"/>
                <w:szCs w:val="21"/>
                <w:highlight w:val="none"/>
                <w:lang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1</w:t>
            </w:r>
          </w:p>
        </w:tc>
        <w:tc>
          <w:tcPr>
            <w:tcW w:w="747" w:type="dxa"/>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 w:val="21"/>
                <w:szCs w:val="21"/>
                <w:highlight w:val="none"/>
                <w14:textFill>
                  <w14:solidFill>
                    <w14:schemeClr w14:val="tx1"/>
                  </w14:solidFill>
                </w14:textFill>
              </w:rPr>
            </w:pPr>
            <w:r>
              <w:rPr>
                <w:rFonts w:hint="eastAsia" w:ascii="Times New Roman" w:hAnsi="Times New Roman" w:eastAsia="宋体"/>
                <w:bCs/>
                <w:color w:val="000000" w:themeColor="text1"/>
                <w:sz w:val="21"/>
                <w:szCs w:val="21"/>
                <w:highlight w:val="none"/>
                <w14:textFill>
                  <w14:solidFill>
                    <w14:schemeClr w14:val="tx1"/>
                  </w14:solidFill>
                </w14:textFill>
              </w:rPr>
              <w:t>散货堆场</w:t>
            </w:r>
          </w:p>
        </w:tc>
        <w:tc>
          <w:tcPr>
            <w:tcW w:w="747" w:type="dxa"/>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 w:val="21"/>
                <w:szCs w:val="21"/>
                <w:highlight w:val="none"/>
                <w14:textFill>
                  <w14:solidFill>
                    <w14:schemeClr w14:val="tx1"/>
                  </w14:solidFill>
                </w14:textFill>
              </w:rPr>
            </w:pPr>
            <w:r>
              <w:rPr>
                <w:rFonts w:hint="eastAsia" w:ascii="Times New Roman" w:hAnsi="Times New Roman" w:eastAsia="宋体"/>
                <w:bCs/>
                <w:color w:val="000000" w:themeColor="text1"/>
                <w:sz w:val="21"/>
                <w:szCs w:val="21"/>
                <w:highlight w:val="none"/>
                <w14:textFill>
                  <w14:solidFill>
                    <w14:schemeClr w14:val="tx1"/>
                  </w14:solidFill>
                </w14:textFill>
              </w:rPr>
              <w:t>/</w:t>
            </w:r>
          </w:p>
        </w:tc>
        <w:tc>
          <w:tcPr>
            <w:tcW w:w="614" w:type="dxa"/>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 w:val="21"/>
                <w:szCs w:val="21"/>
                <w:highlight w:val="none"/>
                <w14:textFill>
                  <w14:solidFill>
                    <w14:schemeClr w14:val="tx1"/>
                  </w14:solidFill>
                </w14:textFill>
              </w:rPr>
            </w:pPr>
            <w:r>
              <w:rPr>
                <w:rFonts w:hint="eastAsia" w:ascii="Times New Roman" w:hAnsi="Times New Roman" w:eastAsia="宋体"/>
                <w:bCs/>
                <w:color w:val="000000" w:themeColor="text1"/>
                <w:sz w:val="21"/>
                <w:szCs w:val="21"/>
                <w:highlight w:val="none"/>
                <w14:textFill>
                  <w14:solidFill>
                    <w14:schemeClr w14:val="tx1"/>
                  </w14:solidFill>
                </w14:textFill>
              </w:rPr>
              <w:t>颗粒物</w:t>
            </w:r>
          </w:p>
        </w:tc>
        <w:tc>
          <w:tcPr>
            <w:tcW w:w="1278" w:type="dxa"/>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 w:val="21"/>
                <w:szCs w:val="21"/>
                <w:highlight w:val="none"/>
                <w14:textFill>
                  <w14:solidFill>
                    <w14:schemeClr w14:val="tx1"/>
                  </w14:solidFill>
                </w14:textFill>
              </w:rPr>
            </w:pPr>
            <w:r>
              <w:rPr>
                <w:rFonts w:ascii="Times New Roman" w:hAnsi="Times New Roman" w:eastAsia="宋体"/>
                <w:bCs/>
                <w:color w:val="000000" w:themeColor="text1"/>
                <w:sz w:val="21"/>
                <w:szCs w:val="21"/>
                <w:highlight w:val="none"/>
                <w14:textFill>
                  <w14:solidFill>
                    <w14:schemeClr w14:val="tx1"/>
                  </w14:solidFill>
                </w14:textFill>
              </w:rPr>
              <w:t>/</w:t>
            </w:r>
          </w:p>
        </w:tc>
        <w:tc>
          <w:tcPr>
            <w:tcW w:w="3034" w:type="dxa"/>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ascii="Times New Roman" w:hAnsi="Times New Roman" w:eastAsia="宋体"/>
                <w:bCs/>
                <w:color w:val="000000" w:themeColor="text1"/>
                <w:sz w:val="21"/>
                <w:szCs w:val="21"/>
                <w:highlight w:val="none"/>
                <w14:textFill>
                  <w14:solidFill>
                    <w14:schemeClr w14:val="tx1"/>
                  </w14:solidFill>
                </w14:textFill>
              </w:rPr>
            </w:pPr>
            <w:r>
              <w:rPr>
                <w:rFonts w:hint="default" w:ascii="Times New Roman" w:hAnsi="Times New Roman" w:eastAsia="宋体"/>
                <w:color w:val="000000" w:themeColor="text1"/>
                <w:sz w:val="21"/>
                <w:szCs w:val="21"/>
                <w:highlight w:val="none"/>
                <w14:textFill>
                  <w14:solidFill>
                    <w14:schemeClr w14:val="tx1"/>
                  </w14:solidFill>
                </w14:textFill>
              </w:rPr>
              <w:t>《大气污染物综合排放标准》（GB16297-1996）</w:t>
            </w:r>
          </w:p>
        </w:tc>
        <w:tc>
          <w:tcPr>
            <w:tcW w:w="1189" w:type="dxa"/>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default"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1.0</w:t>
            </w:r>
          </w:p>
        </w:tc>
        <w:tc>
          <w:tcPr>
            <w:tcW w:w="969" w:type="dxa"/>
            <w:vAlign w:val="center"/>
          </w:tcPr>
          <w:p>
            <w:pPr>
              <w:pStyle w:val="150"/>
              <w:keepNext w:val="0"/>
              <w:keepLines w:val="0"/>
              <w:pageBreakBefore w:val="0"/>
              <w:kinsoku/>
              <w:wordWrap/>
              <w:overflowPunct/>
              <w:topLinePunct w:val="0"/>
              <w:bidi w:val="0"/>
              <w:spacing w:beforeAutospacing="0" w:afterAutospacing="0" w:line="240" w:lineRule="auto"/>
              <w:ind w:firstLine="0" w:firstLineChars="0"/>
              <w:jc w:val="center"/>
              <w:textAlignment w:val="auto"/>
              <w:outlineLvl w:val="9"/>
              <w:rPr>
                <w:rFonts w:hint="default"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2.472</w:t>
            </w:r>
          </w:p>
        </w:tc>
      </w:tr>
    </w:tbl>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firstLine="480" w:firstLineChars="200"/>
        <w:textAlignment w:val="auto"/>
        <w:outlineLvl w:val="9"/>
        <w:rPr>
          <w:rFonts w:hint="eastAsia" w:ascii="Times New Roman" w:hAnsi="Times New Roman" w:eastAsia="宋体" w:cs="Times New Roman"/>
          <w:color w:val="000000" w:themeColor="text1"/>
          <w:kern w:val="2"/>
          <w:sz w:val="24"/>
          <w:szCs w:val="28"/>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8"/>
          <w:highlight w:val="none"/>
          <w:lang w:val="en-US" w:eastAsia="zh-CN" w:bidi="ar-SA"/>
          <w14:textFill>
            <w14:solidFill>
              <w14:schemeClr w14:val="tx1"/>
            </w14:solidFill>
          </w14:textFill>
        </w:rPr>
        <w:t>对本项目而言，对周边大气环境的风险来源主要是环保降尘设施出现故障，从而引起粉尘大量排放到环境空气中，易造成较为严重的环境污染。项目大气污染物非正常排放量核算如下表所示：</w:t>
      </w:r>
    </w:p>
    <w:p>
      <w:pPr>
        <w:keepNext w:val="0"/>
        <w:keepLines w:val="0"/>
        <w:pageBreakBefore w:val="0"/>
        <w:widowControl w:val="0"/>
        <w:kinsoku/>
        <w:wordWrap/>
        <w:overflowPunct/>
        <w:topLinePunct w:val="0"/>
        <w:autoSpaceDE/>
        <w:autoSpaceDN/>
        <w:bidi w:val="0"/>
        <w:adjustRightInd/>
        <w:snapToGrid/>
        <w:spacing w:beforeAutospacing="0" w:afterAutospacing="0" w:line="240" w:lineRule="auto"/>
        <w:ind w:firstLine="0" w:firstLineChars="0"/>
        <w:jc w:val="center"/>
        <w:textAlignment w:val="auto"/>
        <w:outlineLvl w:val="9"/>
        <w:rPr>
          <w:rFonts w:hint="eastAsia" w:ascii="Times New Roman" w:hAnsi="Times New Roman" w:eastAsia="宋体" w:cs="Times New Roman"/>
          <w:b/>
          <w:bCs/>
          <w:color w:val="000000" w:themeColor="text1"/>
          <w:sz w:val="24"/>
          <w:szCs w:val="32"/>
          <w:highlight w:val="none"/>
          <w:lang w:eastAsia="zh-CN"/>
          <w14:textFill>
            <w14:solidFill>
              <w14:schemeClr w14:val="tx1"/>
            </w14:solidFill>
          </w14:textFill>
        </w:rPr>
      </w:pPr>
      <w:r>
        <w:rPr>
          <w:rFonts w:hint="eastAsia" w:ascii="Times New Roman" w:hAnsi="Times New Roman" w:eastAsia="宋体" w:cs="Times New Roman"/>
          <w:b/>
          <w:bCs/>
          <w:color w:val="000000" w:themeColor="text1"/>
          <w:sz w:val="24"/>
          <w:szCs w:val="32"/>
          <w:highlight w:val="none"/>
          <w14:textFill>
            <w14:solidFill>
              <w14:schemeClr w14:val="tx1"/>
            </w14:solidFill>
          </w14:textFill>
        </w:rPr>
        <w:t>表</w:t>
      </w:r>
      <w:r>
        <w:rPr>
          <w:rFonts w:hint="eastAsia" w:ascii="Times New Roman" w:hAnsi="Times New Roman" w:eastAsia="宋体" w:cs="Times New Roman"/>
          <w:b/>
          <w:bCs/>
          <w:color w:val="000000" w:themeColor="text1"/>
          <w:sz w:val="24"/>
          <w:szCs w:val="32"/>
          <w:highlight w:val="none"/>
          <w:lang w:val="en-US" w:eastAsia="zh-CN"/>
          <w14:textFill>
            <w14:solidFill>
              <w14:schemeClr w14:val="tx1"/>
            </w14:solidFill>
          </w14:textFill>
        </w:rPr>
        <w:t>4.2</w:t>
      </w:r>
      <w:r>
        <w:rPr>
          <w:rFonts w:hint="eastAsia" w:ascii="Times New Roman" w:hAnsi="Times New Roman" w:eastAsia="宋体" w:cs="Times New Roman"/>
          <w:b/>
          <w:bCs/>
          <w:color w:val="000000" w:themeColor="text1"/>
          <w:sz w:val="24"/>
          <w:szCs w:val="32"/>
          <w:highlight w:val="none"/>
          <w14:textFill>
            <w14:solidFill>
              <w14:schemeClr w14:val="tx1"/>
            </w14:solidFill>
          </w14:textFill>
        </w:rPr>
        <w:t>-</w:t>
      </w:r>
      <w:r>
        <w:rPr>
          <w:rFonts w:hint="eastAsia" w:ascii="Times New Roman" w:hAnsi="Times New Roman" w:eastAsia="宋体" w:cs="Times New Roman"/>
          <w:b/>
          <w:bCs/>
          <w:color w:val="000000" w:themeColor="text1"/>
          <w:sz w:val="24"/>
          <w:szCs w:val="32"/>
          <w:highlight w:val="none"/>
          <w:lang w:val="en-US" w:eastAsia="zh-CN"/>
          <w14:textFill>
            <w14:solidFill>
              <w14:schemeClr w14:val="tx1"/>
            </w14:solidFill>
          </w14:textFill>
        </w:rPr>
        <w:t xml:space="preserve">2 </w:t>
      </w:r>
      <w:r>
        <w:rPr>
          <w:rFonts w:hint="default" w:ascii="Times New Roman" w:hAnsi="Times New Roman" w:eastAsia="宋体" w:cs="Times New Roman"/>
          <w:b/>
          <w:bCs/>
          <w:color w:val="000000" w:themeColor="text1"/>
          <w:sz w:val="24"/>
          <w:szCs w:val="32"/>
          <w:highlight w:val="none"/>
          <w14:textFill>
            <w14:solidFill>
              <w14:schemeClr w14:val="tx1"/>
            </w14:solidFill>
          </w14:textFill>
        </w:rPr>
        <w:t>污染源非正常排放量核算一览表</w:t>
      </w:r>
    </w:p>
    <w:tbl>
      <w:tblPr>
        <w:tblStyle w:val="33"/>
        <w:tblW w:w="9051" w:type="dxa"/>
        <w:tblInd w:w="0" w:type="dxa"/>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8"/>
        <w:gridCol w:w="1196"/>
        <w:gridCol w:w="1496"/>
        <w:gridCol w:w="897"/>
        <w:gridCol w:w="1429"/>
        <w:gridCol w:w="1007"/>
        <w:gridCol w:w="971"/>
        <w:gridCol w:w="1367"/>
      </w:tblGrid>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序号</w:t>
            </w:r>
          </w:p>
        </w:tc>
        <w:tc>
          <w:tcPr>
            <w:tcW w:w="11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污染源</w:t>
            </w:r>
          </w:p>
        </w:tc>
        <w:tc>
          <w:tcPr>
            <w:tcW w:w="14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非正常排放原因</w:t>
            </w:r>
          </w:p>
        </w:tc>
        <w:tc>
          <w:tcPr>
            <w:tcW w:w="8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污染物</w:t>
            </w:r>
          </w:p>
        </w:tc>
        <w:tc>
          <w:tcPr>
            <w:tcW w:w="14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非正常排放浓度/(mg/m</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³</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tc>
        <w:tc>
          <w:tcPr>
            <w:tcW w:w="10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sz w:val="21"/>
                <w:szCs w:val="21"/>
                <w:highlight w:val="none"/>
                <w:lang w:val="pt-B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非正常排放速率</w:t>
            </w:r>
            <w:r>
              <w:rPr>
                <w:rFonts w:hint="default" w:ascii="Times New Roman" w:hAnsi="Times New Roman" w:eastAsia="宋体" w:cs="Times New Roman"/>
                <w:color w:val="000000" w:themeColor="text1"/>
                <w:sz w:val="21"/>
                <w:szCs w:val="21"/>
                <w:highlight w:val="none"/>
                <w:lang w:val="pt-BR"/>
                <w14:textFill>
                  <w14:solidFill>
                    <w14:schemeClr w14:val="tx1"/>
                  </w14:solidFill>
                </w14:textFill>
              </w:rPr>
              <w:t>/(kg/h)</w:t>
            </w:r>
          </w:p>
        </w:tc>
        <w:tc>
          <w:tcPr>
            <w:tcW w:w="9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单次持续时间/(h)</w:t>
            </w:r>
          </w:p>
        </w:tc>
        <w:tc>
          <w:tcPr>
            <w:tcW w:w="13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应对措施</w:t>
            </w:r>
          </w:p>
        </w:tc>
      </w:tr>
      <w:tr>
        <w:tblPrEx>
          <w:tblBorders>
            <w:top w:val="single" w:color="auto" w:sz="18" w:space="0"/>
            <w:left w:val="none" w:color="auto" w:sz="0" w:space="0"/>
            <w:bottom w:val="single" w:color="auto" w:sz="1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8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1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装卸、</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堆场</w:t>
            </w:r>
          </w:p>
        </w:tc>
        <w:tc>
          <w:tcPr>
            <w:tcW w:w="149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环保降尘措施失效</w:t>
            </w:r>
          </w:p>
        </w:tc>
        <w:tc>
          <w:tcPr>
            <w:tcW w:w="89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颗粒物</w:t>
            </w:r>
          </w:p>
        </w:tc>
        <w:tc>
          <w:tcPr>
            <w:tcW w:w="14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outlineLvl w:val="9"/>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c>
          <w:tcPr>
            <w:tcW w:w="100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5.84</w:t>
            </w:r>
          </w:p>
        </w:tc>
        <w:tc>
          <w:tcPr>
            <w:tcW w:w="97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outlineLvl w:val="9"/>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w:t>
            </w:r>
          </w:p>
        </w:tc>
        <w:tc>
          <w:tcPr>
            <w:tcW w:w="136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40" w:lineRule="auto"/>
              <w:jc w:val="center"/>
              <w:textAlignment w:val="auto"/>
              <w:outlineLvl w:val="9"/>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定期检查</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，失效时停止装卸，</w:t>
            </w:r>
            <w:r>
              <w:rPr>
                <w:rFonts w:hint="default" w:ascii="Times New Roman" w:hAnsi="Times New Roman" w:eastAsia="宋体" w:cs="Times New Roman"/>
                <w:color w:val="000000" w:themeColor="text1"/>
                <w:sz w:val="21"/>
                <w:szCs w:val="21"/>
                <w:highlight w:val="none"/>
                <w14:textFill>
                  <w14:solidFill>
                    <w14:schemeClr w14:val="tx1"/>
                  </w14:solidFill>
                </w14:textFill>
              </w:rPr>
              <w:t>及时排除故障</w:t>
            </w:r>
          </w:p>
        </w:tc>
      </w:tr>
    </w:tbl>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outlineLvl w:val="9"/>
        <w:rPr>
          <w:rFonts w:hint="eastAsia" w:ascii="Times New Roman" w:hAnsi="Times New Roman" w:eastAsia="宋体"/>
          <w:b/>
          <w:bCs/>
          <w:color w:val="000000" w:themeColor="text1"/>
          <w:sz w:val="32"/>
          <w:szCs w:val="40"/>
          <w:highlight w:val="none"/>
          <w:lang w:eastAsia="zh-CN"/>
          <w14:textFill>
            <w14:solidFill>
              <w14:schemeClr w14:val="tx1"/>
            </w14:solidFill>
          </w14:textFill>
        </w:rPr>
      </w:pPr>
      <w:r>
        <w:rPr>
          <w:rFonts w:hint="eastAsia" w:ascii="Times New Roman" w:hAnsi="Times New Roman" w:eastAsia="宋体"/>
          <w:b/>
          <w:bCs/>
          <w:color w:val="000000" w:themeColor="text1"/>
          <w:sz w:val="32"/>
          <w:szCs w:val="40"/>
          <w:highlight w:val="none"/>
          <w:lang w:val="en-US" w:eastAsia="zh-CN"/>
          <w14:textFill>
            <w14:solidFill>
              <w14:schemeClr w14:val="tx1"/>
            </w14:solidFill>
          </w14:textFill>
        </w:rPr>
        <w:t>5</w:t>
      </w:r>
      <w:r>
        <w:rPr>
          <w:rFonts w:hint="eastAsia" w:ascii="Times New Roman" w:hAnsi="Times New Roman" w:eastAsia="宋体"/>
          <w:b/>
          <w:bCs/>
          <w:color w:val="000000" w:themeColor="text1"/>
          <w:sz w:val="32"/>
          <w:szCs w:val="40"/>
          <w:highlight w:val="none"/>
          <w:lang w:eastAsia="zh-CN"/>
          <w14:textFill>
            <w14:solidFill>
              <w14:schemeClr w14:val="tx1"/>
            </w14:solidFill>
          </w14:textFill>
        </w:rPr>
        <w:t>、</w:t>
      </w:r>
      <w:r>
        <w:rPr>
          <w:rFonts w:hint="eastAsia" w:ascii="Times New Roman" w:hAnsi="Times New Roman" w:eastAsia="宋体"/>
          <w:b/>
          <w:bCs/>
          <w:color w:val="000000" w:themeColor="text1"/>
          <w:sz w:val="32"/>
          <w:szCs w:val="40"/>
          <w:highlight w:val="none"/>
          <w:lang w:val="en-US" w:eastAsia="zh-CN"/>
          <w14:textFill>
            <w14:solidFill>
              <w14:schemeClr w14:val="tx1"/>
            </w14:solidFill>
          </w14:textFill>
        </w:rPr>
        <w:t>大气污染治理措施评述</w:t>
      </w:r>
    </w:p>
    <w:p>
      <w:pPr>
        <w:pStyle w:val="11"/>
        <w:pageBreakBefore w:val="0"/>
        <w:kinsoku/>
        <w:bidi w:val="0"/>
        <w:spacing w:beforeAutospacing="0" w:afterAutospacing="0"/>
        <w:rPr>
          <w:rFonts w:hint="default" w:ascii="Times New Roman" w:hAnsi="Times New Roman" w:eastAsia="宋体"/>
          <w:color w:val="000000" w:themeColor="text1"/>
          <w:sz w:val="30"/>
          <w:szCs w:val="30"/>
          <w:lang w:val="en-US" w:eastAsia="zh-CN"/>
          <w14:textFill>
            <w14:solidFill>
              <w14:schemeClr w14:val="tx1"/>
            </w14:solidFill>
          </w14:textFill>
        </w:rPr>
      </w:pPr>
      <w:r>
        <w:rPr>
          <w:rFonts w:hint="eastAsia" w:ascii="Times New Roman" w:hAnsi="Times New Roman" w:eastAsia="宋体"/>
          <w:color w:val="000000" w:themeColor="text1"/>
          <w:sz w:val="30"/>
          <w:szCs w:val="30"/>
          <w:lang w:val="en-US" w:eastAsia="zh-CN"/>
          <w14:textFill>
            <w14:solidFill>
              <w14:schemeClr w14:val="tx1"/>
            </w14:solidFill>
          </w14:textFill>
        </w:rPr>
        <w:t>5.1施工期</w:t>
      </w:r>
    </w:p>
    <w:p>
      <w:pPr>
        <w:keepNext w:val="0"/>
        <w:keepLines w:val="0"/>
        <w:pageBreakBefore w:val="0"/>
        <w:kinsoku/>
        <w:wordWrap/>
        <w:overflowPunct/>
        <w:topLinePunct w:val="0"/>
        <w:bidi w:val="0"/>
        <w:spacing w:beforeAutospacing="0" w:afterAutospacing="0"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（1）道路运输扬尘防治措施</w:t>
      </w:r>
    </w:p>
    <w:p>
      <w:pPr>
        <w:keepNext w:val="0"/>
        <w:keepLines w:val="0"/>
        <w:pageBreakBefore w:val="0"/>
        <w:kinsoku/>
        <w:wordWrap/>
        <w:overflowPunct/>
        <w:topLinePunct w:val="0"/>
        <w:bidi w:val="0"/>
        <w:spacing w:beforeAutospacing="0" w:afterAutospacing="0"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①运送土石方和建筑原料的车辆应实行密闭运输，车辆进出、装卸场地时应限速行驶，并做到净车上路，减少扬尘量。</w:t>
      </w:r>
    </w:p>
    <w:p>
      <w:pPr>
        <w:keepNext w:val="0"/>
        <w:keepLines w:val="0"/>
        <w:pageBreakBefore w:val="0"/>
        <w:kinsoku/>
        <w:wordWrap/>
        <w:overflowPunct/>
        <w:topLinePunct w:val="0"/>
        <w:bidi w:val="0"/>
        <w:spacing w:beforeAutospacing="0" w:afterAutospacing="0"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②运输车辆的载重等应符合《城市道路管理条例》有关规定，防止超载，防止路面破损引起运输过程颠簸遗撒。</w:t>
      </w:r>
    </w:p>
    <w:p>
      <w:pPr>
        <w:keepNext w:val="0"/>
        <w:keepLines w:val="0"/>
        <w:pageBreakBefore w:val="0"/>
        <w:kinsoku/>
        <w:wordWrap/>
        <w:overflowPunct/>
        <w:topLinePunct w:val="0"/>
        <w:bidi w:val="0"/>
        <w:spacing w:beforeAutospacing="0" w:afterAutospacing="0"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（2）施工场内施工扬尘防治措施</w:t>
      </w:r>
    </w:p>
    <w:p>
      <w:pPr>
        <w:keepNext w:val="0"/>
        <w:keepLines w:val="0"/>
        <w:pageBreakBefore w:val="0"/>
        <w:kinsoku/>
        <w:wordWrap/>
        <w:overflowPunct/>
        <w:topLinePunct w:val="0"/>
        <w:bidi w:val="0"/>
        <w:spacing w:beforeAutospacing="0" w:afterAutospacing="0"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①在施工现场周围构筑不低于2.5m高的围挡，降低扬尘对周边大气环境的影响。</w:t>
      </w:r>
    </w:p>
    <w:p>
      <w:pPr>
        <w:keepNext w:val="0"/>
        <w:keepLines w:val="0"/>
        <w:pageBreakBefore w:val="0"/>
        <w:kinsoku/>
        <w:wordWrap/>
        <w:overflowPunct/>
        <w:topLinePunct w:val="0"/>
        <w:bidi w:val="0"/>
        <w:spacing w:beforeAutospacing="0" w:afterAutospacing="0"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②对于施工便道等裸露</w:t>
      </w:r>
      <w:r>
        <w:rPr>
          <w:rFonts w:hint="eastAsia" w:ascii="Times New Roman" w:hAnsi="Times New Roman" w:eastAsia="宋体" w:cs="Times New Roman"/>
          <w:color w:val="000000" w:themeColor="text1"/>
          <w:sz w:val="24"/>
          <w:szCs w:val="24"/>
          <w:highlight w:val="none"/>
          <w:lang w:eastAsia="zh-CN"/>
          <w14:textFill>
            <w14:solidFill>
              <w14:schemeClr w14:val="tx1"/>
            </w14:solidFill>
          </w14:textFill>
        </w:rPr>
        <w:t>场地平整区</w:t>
      </w:r>
      <w:r>
        <w:rPr>
          <w:rFonts w:hint="default" w:ascii="Times New Roman" w:hAnsi="Times New Roman" w:eastAsia="宋体" w:cs="Times New Roman"/>
          <w:color w:val="000000" w:themeColor="text1"/>
          <w:sz w:val="24"/>
          <w:szCs w:val="24"/>
          <w:highlight w:val="none"/>
          <w14:textFill>
            <w14:solidFill>
              <w14:schemeClr w14:val="tx1"/>
            </w14:solidFill>
          </w14:textFill>
        </w:rPr>
        <w:t>地表压实处理并洒水。施工场内便道采用焦渣、砂石或水泥混凝土等，并指定专人定期喷水，使其保持一定的湿度，防止扬尘。</w:t>
      </w:r>
    </w:p>
    <w:p>
      <w:pPr>
        <w:keepNext w:val="0"/>
        <w:keepLines w:val="0"/>
        <w:pageBreakBefore w:val="0"/>
        <w:kinsoku/>
        <w:wordWrap/>
        <w:overflowPunct/>
        <w:topLinePunct w:val="0"/>
        <w:bidi w:val="0"/>
        <w:spacing w:beforeAutospacing="0" w:afterAutospacing="0"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③天气预报4级风以上天气应停止产生扬尘的施工作业，例如土方工程、粉状建筑材料的相关作业。</w:t>
      </w:r>
    </w:p>
    <w:p>
      <w:pPr>
        <w:keepNext w:val="0"/>
        <w:keepLines w:val="0"/>
        <w:pageBreakBefore w:val="0"/>
        <w:kinsoku/>
        <w:wordWrap/>
        <w:overflowPunct/>
        <w:topLinePunct w:val="0"/>
        <w:bidi w:val="0"/>
        <w:spacing w:beforeAutospacing="0" w:afterAutospacing="0"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④合理安排工期，尽可能地加快施工速度，减少施工时间，并建议施工单位采取逐片施工方式，避免大面积地表长时间裸露产生的扬尘。</w:t>
      </w:r>
    </w:p>
    <w:p>
      <w:pPr>
        <w:keepNext w:val="0"/>
        <w:keepLines w:val="0"/>
        <w:pageBreakBefore w:val="0"/>
        <w:kinsoku/>
        <w:wordWrap/>
        <w:overflowPunct/>
        <w:topLinePunct w:val="0"/>
        <w:bidi w:val="0"/>
        <w:spacing w:beforeAutospacing="0" w:afterAutospacing="0"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（3）堆场扬尘防治措施</w:t>
      </w:r>
    </w:p>
    <w:p>
      <w:pPr>
        <w:keepNext w:val="0"/>
        <w:keepLines w:val="0"/>
        <w:pageBreakBefore w:val="0"/>
        <w:kinsoku/>
        <w:wordWrap/>
        <w:overflowPunct/>
        <w:topLinePunct w:val="0"/>
        <w:bidi w:val="0"/>
        <w:spacing w:beforeAutospacing="0" w:afterAutospacing="0"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①若在工地内露天堆置砂石，则应采取覆盖防尘布、覆盖防尘网等措施，必要时进行喷淋，防止风蚀起尘。</w:t>
      </w:r>
    </w:p>
    <w:p>
      <w:pPr>
        <w:keepNext w:val="0"/>
        <w:keepLines w:val="0"/>
        <w:pageBreakBefore w:val="0"/>
        <w:kinsoku/>
        <w:wordWrap/>
        <w:overflowPunct/>
        <w:topLinePunct w:val="0"/>
        <w:bidi w:val="0"/>
        <w:spacing w:beforeAutospacing="0" w:afterAutospacing="0"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②对于散装粉状建筑材料利用仓库、封闭堆场、储藏罐等形式，并堆放在下风向，避免作业起尘和风蚀起尘。</w:t>
      </w:r>
    </w:p>
    <w:p>
      <w:pPr>
        <w:keepNext w:val="0"/>
        <w:keepLines w:val="0"/>
        <w:pageBreakBefore w:val="0"/>
        <w:kinsoku/>
        <w:wordWrap/>
        <w:overflowPunct/>
        <w:topLinePunct w:val="0"/>
        <w:bidi w:val="0"/>
        <w:spacing w:beforeAutospacing="0" w:afterAutospacing="0" w:line="360" w:lineRule="auto"/>
        <w:ind w:firstLine="480" w:firstLineChars="200"/>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③采用商品混凝土，避免现场搅拌混凝土产生的废气与粉尘，并减少建筑材料堆存量及扬尘的产生。</w:t>
      </w:r>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通过以上环境保护措施可有效降低施工期废气对大气环境的影响。</w:t>
      </w:r>
    </w:p>
    <w:p>
      <w:pPr>
        <w:pStyle w:val="11"/>
        <w:pageBreakBefore w:val="0"/>
        <w:kinsoku/>
        <w:bidi w:val="0"/>
        <w:spacing w:beforeAutospacing="0" w:afterAutospacing="0"/>
        <w:rPr>
          <w:rFonts w:hint="default" w:ascii="Times New Roman" w:hAnsi="Times New Roman" w:eastAsia="宋体"/>
          <w:color w:val="000000" w:themeColor="text1"/>
          <w:sz w:val="30"/>
          <w:szCs w:val="30"/>
          <w:lang w:val="en-US" w:eastAsia="zh-CN"/>
          <w14:textFill>
            <w14:solidFill>
              <w14:schemeClr w14:val="tx1"/>
            </w14:solidFill>
          </w14:textFill>
        </w:rPr>
      </w:pPr>
      <w:r>
        <w:rPr>
          <w:rFonts w:hint="eastAsia" w:ascii="Times New Roman" w:hAnsi="Times New Roman" w:eastAsia="宋体"/>
          <w:color w:val="000000" w:themeColor="text1"/>
          <w:sz w:val="30"/>
          <w:szCs w:val="30"/>
          <w:lang w:val="en-US" w:eastAsia="zh-CN"/>
          <w14:textFill>
            <w14:solidFill>
              <w14:schemeClr w14:val="tx1"/>
            </w14:solidFill>
          </w14:textFill>
        </w:rPr>
        <w:t>5.2运营期</w:t>
      </w:r>
    </w:p>
    <w:p>
      <w:pPr>
        <w:keepNext w:val="0"/>
        <w:keepLines w:val="0"/>
        <w:pageBreakBefore w:val="0"/>
        <w:kinsoku/>
        <w:wordWrap/>
        <w:overflowPunct/>
        <w:topLinePunct w:val="0"/>
        <w:bidi w:val="0"/>
        <w:spacing w:beforeAutospacing="0" w:afterAutospacing="0" w:line="360" w:lineRule="auto"/>
        <w:ind w:firstLine="480" w:firstLineChars="200"/>
        <w:textAlignment w:val="auto"/>
        <w:outlineLvl w:val="9"/>
        <w:rPr>
          <w:rFonts w:hint="eastAsia" w:ascii="Times New Roman" w:hAnsi="Times New Roman" w:eastAsia="宋体"/>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olor w:val="000000" w:themeColor="text1"/>
          <w:sz w:val="24"/>
          <w:szCs w:val="24"/>
          <w:highlight w:val="none"/>
          <w:lang w:eastAsia="zh-CN"/>
          <w14:textFill>
            <w14:solidFill>
              <w14:schemeClr w14:val="tx1"/>
            </w14:solidFill>
          </w14:textFill>
        </w:rPr>
        <w:t>本项目货物为</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河砂、碎石及废金属矿</w:t>
      </w:r>
      <w:r>
        <w:rPr>
          <w:rFonts w:hint="eastAsia" w:ascii="Times New Roman" w:hAnsi="Times New Roman" w:eastAsia="宋体"/>
          <w:color w:val="000000" w:themeColor="text1"/>
          <w:sz w:val="24"/>
          <w:szCs w:val="24"/>
          <w:highlight w:val="none"/>
          <w:lang w:eastAsia="zh-CN"/>
          <w14:textFill>
            <w14:solidFill>
              <w14:schemeClr w14:val="tx1"/>
            </w14:solidFill>
          </w14:textFill>
        </w:rPr>
        <w:t>产生的颗粒物较大较重，不易起尘，本项目货物经由货船运至码头后，有吊机将货物装上货车并运至堆场卸货，在</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河砂、碎石及废金属矿</w:t>
      </w:r>
      <w:r>
        <w:rPr>
          <w:rFonts w:hint="eastAsia" w:ascii="Times New Roman" w:hAnsi="Times New Roman" w:eastAsia="宋体"/>
          <w:color w:val="000000" w:themeColor="text1"/>
          <w:sz w:val="24"/>
          <w:szCs w:val="24"/>
          <w:highlight w:val="none"/>
          <w:lang w:eastAsia="zh-CN"/>
          <w14:textFill>
            <w14:solidFill>
              <w14:schemeClr w14:val="tx1"/>
            </w14:solidFill>
          </w14:textFill>
        </w:rPr>
        <w:t>装卸前对货物表面进行预洒水，降低货物装卸过程中的起尘量</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olor w:val="000000" w:themeColor="text1"/>
          <w:sz w:val="24"/>
          <w:szCs w:val="24"/>
          <w:highlight w:val="none"/>
          <w:lang w:eastAsia="zh-CN"/>
          <w14:textFill>
            <w14:solidFill>
              <w14:schemeClr w14:val="tx1"/>
            </w14:solidFill>
          </w14:textFill>
        </w:rPr>
        <w:t>货物堆场四周设置</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4m高的防风抑尘网，且限制堆场高度在3.5m以下。</w:t>
      </w:r>
      <w:r>
        <w:rPr>
          <w:rFonts w:hint="eastAsia" w:ascii="Times New Roman" w:hAnsi="Times New Roman" w:eastAsia="宋体"/>
          <w:color w:val="000000" w:themeColor="text1"/>
          <w:sz w:val="24"/>
          <w:szCs w:val="24"/>
          <w:highlight w:val="none"/>
          <w:lang w:eastAsia="zh-CN"/>
          <w14:textFill>
            <w14:solidFill>
              <w14:schemeClr w14:val="tx1"/>
            </w14:solidFill>
          </w14:textFill>
        </w:rPr>
        <w:t>可以降低堆场内的风速，减少起尘量。堆场四周每隔</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2m设有喷淋装置，定期对堆场内的河砂、碎石及废金属矿进行洒水，防止起尘。</w:t>
      </w:r>
    </w:p>
    <w:p>
      <w:pPr>
        <w:keepNext w:val="0"/>
        <w:keepLines w:val="0"/>
        <w:pageBreakBefore w:val="0"/>
        <w:kinsoku/>
        <w:wordWrap/>
        <w:overflowPunct/>
        <w:topLinePunct w:val="0"/>
        <w:bidi w:val="0"/>
        <w:spacing w:beforeAutospacing="0" w:afterAutospacing="0" w:line="360" w:lineRule="auto"/>
        <w:ind w:firstLine="480" w:firstLineChars="200"/>
        <w:textAlignment w:val="auto"/>
        <w:outlineLvl w:val="9"/>
        <w:rPr>
          <w:rFonts w:hint="eastAsia" w:ascii="Times New Roman" w:hAnsi="Times New Roman" w:eastAsia="宋体"/>
          <w:color w:val="000000" w:themeColor="text1"/>
          <w:sz w:val="24"/>
          <w:szCs w:val="24"/>
          <w:highlight w:val="none"/>
          <w:lang w:eastAsia="zh-CN"/>
          <w14:textFill>
            <w14:solidFill>
              <w14:schemeClr w14:val="tx1"/>
            </w14:solidFill>
          </w14:textFill>
        </w:rPr>
      </w:pPr>
      <w:r>
        <w:rPr>
          <w:rFonts w:hint="eastAsia" w:ascii="Times New Roman" w:hAnsi="Times New Roman" w:eastAsia="宋体"/>
          <w:color w:val="000000" w:themeColor="text1"/>
          <w:sz w:val="24"/>
          <w:szCs w:val="24"/>
          <w:highlight w:val="none"/>
          <w:lang w:eastAsia="zh-CN"/>
          <w14:textFill>
            <w14:solidFill>
              <w14:schemeClr w14:val="tx1"/>
            </w14:solidFill>
          </w14:textFill>
        </w:rPr>
        <w:t>根据《排污许可申请与核发规范 码头》中对堆场废气处理的建议措施中的“防风抑尘：包括防尘网，挡风围墙、防护林等”，湿式除尘/抑尘推荐措施为水雾、干雾、喷枪洒水、高杆喷雾、远程射雾器、洒水车、水力冲洗等污染防治设施。本项目对</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河砂、碎石及废金属矿</w:t>
      </w:r>
      <w:r>
        <w:rPr>
          <w:rFonts w:hint="eastAsia" w:ascii="Times New Roman" w:hAnsi="Times New Roman" w:eastAsia="宋体"/>
          <w:color w:val="000000" w:themeColor="text1"/>
          <w:sz w:val="24"/>
          <w:szCs w:val="24"/>
          <w:highlight w:val="none"/>
          <w:lang w:eastAsia="zh-CN"/>
          <w14:textFill>
            <w14:solidFill>
              <w14:schemeClr w14:val="tx1"/>
            </w14:solidFill>
          </w14:textFill>
        </w:rPr>
        <w:t>采取的洒水抑尘、防尘网抑尘等措施是可行的。</w:t>
      </w:r>
    </w:p>
    <w:p>
      <w:pPr>
        <w:keepNext w:val="0"/>
        <w:keepLines w:val="0"/>
        <w:pageBreakBefore w:val="0"/>
        <w:kinsoku/>
        <w:wordWrap/>
        <w:overflowPunct/>
        <w:topLinePunct w:val="0"/>
        <w:bidi w:val="0"/>
        <w:spacing w:beforeAutospacing="0" w:afterAutospacing="0" w:line="360" w:lineRule="auto"/>
        <w:ind w:firstLine="480" w:firstLineChars="200"/>
        <w:textAlignment w:val="auto"/>
        <w:outlineLvl w:val="9"/>
        <w:rPr>
          <w:rFonts w:hint="eastAsia" w:ascii="Times New Roman" w:hAnsi="Times New Roman" w:eastAsia="宋体"/>
          <w:color w:val="000000" w:themeColor="text1"/>
          <w:sz w:val="24"/>
          <w:szCs w:val="24"/>
          <w:highlight w:val="none"/>
          <w:lang w:eastAsia="zh-CN"/>
          <w14:textFill>
            <w14:solidFill>
              <w14:schemeClr w14:val="tx1"/>
            </w14:solidFill>
          </w14:textFill>
        </w:rPr>
      </w:pPr>
      <w:r>
        <w:rPr>
          <w:rFonts w:hint="eastAsia" w:ascii="Times New Roman" w:hAnsi="Times New Roman" w:eastAsia="宋体"/>
          <w:color w:val="000000" w:themeColor="text1"/>
          <w:sz w:val="24"/>
          <w:szCs w:val="24"/>
          <w:highlight w:val="none"/>
          <w:lang w:eastAsia="zh-CN"/>
          <w14:textFill>
            <w14:solidFill>
              <w14:schemeClr w14:val="tx1"/>
            </w14:solidFill>
          </w14:textFill>
        </w:rPr>
        <w:t>本项目码头与堆场间的货物运输方式为采取货车进行运输，为减少货物在运输过程中产生的扬尘，项目应在运输过程中对货物进行覆盖、密闭等方式进行抑尘，对货物可在装货完成后进行洒水湿润以减少运输过程中产生的扬尘。运输过程控制车速，并对运输行驶道路及时进行清扫。因本项目货物运输路线跨过公路，需在项目运行前与交通主管部门沟通具体运输路线。</w:t>
      </w:r>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firstLine="480" w:firstLineChars="200"/>
        <w:jc w:val="both"/>
        <w:textAlignment w:val="auto"/>
        <w:outlineLvl w:val="9"/>
        <w:rPr>
          <w:rFonts w:hint="eastAsia" w:ascii="Times New Roman" w:hAnsi="Times New Roman" w:eastAsia="宋体"/>
          <w:color w:val="000000" w:themeColor="text1"/>
          <w:sz w:val="24"/>
          <w:szCs w:val="24"/>
          <w:highlight w:val="none"/>
          <w:lang w:eastAsia="zh-CN"/>
          <w14:textFill>
            <w14:solidFill>
              <w14:schemeClr w14:val="tx1"/>
            </w14:solidFill>
          </w14:textFill>
        </w:rPr>
      </w:pPr>
      <w:r>
        <w:rPr>
          <w:rFonts w:hint="eastAsia" w:ascii="Times New Roman" w:hAnsi="Times New Roman" w:eastAsia="宋体"/>
          <w:color w:val="000000" w:themeColor="text1"/>
          <w:sz w:val="24"/>
          <w:szCs w:val="24"/>
          <w:highlight w:val="none"/>
          <w14:textFill>
            <w14:solidFill>
              <w14:schemeClr w14:val="tx1"/>
            </w14:solidFill>
          </w14:textFill>
        </w:rPr>
        <w:t>装卸设备选型时，应选用排气污染物符合《非道路移动机械用柴油机排气污染物排放限值及测量方法（中国</w:t>
      </w:r>
      <w:r>
        <w:rPr>
          <w:rFonts w:ascii="Times New Roman" w:hAnsi="Times New Roman" w:eastAsia="宋体"/>
          <w:color w:val="000000" w:themeColor="text1"/>
          <w:sz w:val="24"/>
          <w:szCs w:val="24"/>
          <w:highlight w:val="none"/>
          <w14:textFill>
            <w14:solidFill>
              <w14:schemeClr w14:val="tx1"/>
            </w14:solidFill>
          </w14:textFill>
        </w:rPr>
        <w:t>I</w:t>
      </w:r>
      <w:r>
        <w:rPr>
          <w:rFonts w:hint="eastAsia" w:ascii="Times New Roman" w:hAnsi="Times New Roman" w:eastAsia="宋体"/>
          <w:color w:val="000000" w:themeColor="text1"/>
          <w:sz w:val="24"/>
          <w:szCs w:val="24"/>
          <w:highlight w:val="none"/>
          <w14:textFill>
            <w14:solidFill>
              <w14:schemeClr w14:val="tx1"/>
            </w14:solidFill>
          </w14:textFill>
        </w:rPr>
        <w:t>、</w:t>
      </w:r>
      <w:r>
        <w:rPr>
          <w:rFonts w:ascii="Times New Roman" w:hAnsi="Times New Roman" w:eastAsia="宋体"/>
          <w:color w:val="000000" w:themeColor="text1"/>
          <w:sz w:val="24"/>
          <w:szCs w:val="24"/>
          <w:highlight w:val="none"/>
          <w14:textFill>
            <w14:solidFill>
              <w14:schemeClr w14:val="tx1"/>
            </w14:solidFill>
          </w14:textFill>
        </w:rPr>
        <w:t>II</w:t>
      </w:r>
      <w:r>
        <w:rPr>
          <w:rFonts w:hint="eastAsia" w:ascii="Times New Roman" w:hAnsi="Times New Roman" w:eastAsia="宋体"/>
          <w:color w:val="000000" w:themeColor="text1"/>
          <w:sz w:val="24"/>
          <w:szCs w:val="24"/>
          <w:highlight w:val="none"/>
          <w14:textFill>
            <w14:solidFill>
              <w14:schemeClr w14:val="tx1"/>
            </w14:solidFill>
          </w14:textFill>
        </w:rPr>
        <w:t>阶段）》（</w:t>
      </w:r>
      <w:r>
        <w:rPr>
          <w:rFonts w:ascii="Times New Roman" w:hAnsi="Times New Roman" w:eastAsia="宋体"/>
          <w:color w:val="000000" w:themeColor="text1"/>
          <w:sz w:val="24"/>
          <w:szCs w:val="24"/>
          <w:highlight w:val="none"/>
          <w14:textFill>
            <w14:solidFill>
              <w14:schemeClr w14:val="tx1"/>
            </w14:solidFill>
          </w14:textFill>
        </w:rPr>
        <w:t>GB20891-2007</w:t>
      </w:r>
      <w:r>
        <w:rPr>
          <w:rFonts w:hint="eastAsia" w:ascii="Times New Roman" w:hAnsi="Times New Roman" w:eastAsia="宋体"/>
          <w:color w:val="000000" w:themeColor="text1"/>
          <w:sz w:val="24"/>
          <w:szCs w:val="24"/>
          <w:highlight w:val="none"/>
          <w14:textFill>
            <w14:solidFill>
              <w14:schemeClr w14:val="tx1"/>
            </w14:solidFill>
          </w14:textFill>
        </w:rPr>
        <w:t>）表</w:t>
      </w:r>
      <w:r>
        <w:rPr>
          <w:rFonts w:ascii="Times New Roman" w:hAnsi="Times New Roman" w:eastAsia="宋体"/>
          <w:color w:val="000000" w:themeColor="text1"/>
          <w:sz w:val="24"/>
          <w:szCs w:val="24"/>
          <w:highlight w:val="none"/>
          <w14:textFill>
            <w14:solidFill>
              <w14:schemeClr w14:val="tx1"/>
            </w14:solidFill>
          </w14:textFill>
        </w:rPr>
        <w:t>2</w:t>
      </w:r>
      <w:r>
        <w:rPr>
          <w:rFonts w:hint="eastAsia" w:ascii="Times New Roman" w:hAnsi="Times New Roman" w:eastAsia="宋体"/>
          <w:color w:val="000000" w:themeColor="text1"/>
          <w:sz w:val="24"/>
          <w:szCs w:val="24"/>
          <w:highlight w:val="none"/>
          <w14:textFill>
            <w14:solidFill>
              <w14:schemeClr w14:val="tx1"/>
            </w14:solidFill>
          </w14:textFill>
        </w:rPr>
        <w:t>限值的设备</w:t>
      </w:r>
      <w:r>
        <w:rPr>
          <w:rFonts w:hint="eastAsia" w:ascii="Times New Roman" w:hAnsi="Times New Roman" w:eastAsia="宋体"/>
          <w:color w:val="000000" w:themeColor="text1"/>
          <w:sz w:val="24"/>
          <w:szCs w:val="24"/>
          <w:highlight w:val="none"/>
          <w:lang w:eastAsia="zh-CN"/>
          <w14:textFill>
            <w14:solidFill>
              <w14:schemeClr w14:val="tx1"/>
            </w14:solidFill>
          </w14:textFill>
        </w:rPr>
        <w:t>并</w:t>
      </w:r>
      <w:r>
        <w:rPr>
          <w:rFonts w:hint="eastAsia" w:ascii="Times New Roman" w:hAnsi="Times New Roman" w:eastAsia="宋体"/>
          <w:color w:val="000000" w:themeColor="text1"/>
          <w:sz w:val="24"/>
          <w:szCs w:val="24"/>
          <w:highlight w:val="none"/>
          <w14:textFill>
            <w14:solidFill>
              <w14:schemeClr w14:val="tx1"/>
            </w14:solidFill>
          </w14:textFill>
        </w:rPr>
        <w:t>加强装卸设备的日常维护，防止因设备异常造成尾气量增加。</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textAlignment w:val="auto"/>
        <w:outlineLvl w:val="9"/>
        <w:rPr>
          <w:rFonts w:hint="eastAsia" w:ascii="Times New Roman" w:hAnsi="Times New Roman" w:eastAsia="宋体"/>
          <w:b/>
          <w:bCs/>
          <w:color w:val="000000" w:themeColor="text1"/>
          <w:sz w:val="32"/>
          <w:szCs w:val="40"/>
          <w:highlight w:val="none"/>
          <w:lang w:eastAsia="zh-CN"/>
          <w14:textFill>
            <w14:solidFill>
              <w14:schemeClr w14:val="tx1"/>
            </w14:solidFill>
          </w14:textFill>
        </w:rPr>
      </w:pPr>
      <w:r>
        <w:rPr>
          <w:rFonts w:hint="eastAsia" w:ascii="Times New Roman" w:hAnsi="Times New Roman" w:eastAsia="宋体"/>
          <w:b/>
          <w:bCs/>
          <w:color w:val="000000" w:themeColor="text1"/>
          <w:sz w:val="32"/>
          <w:szCs w:val="40"/>
          <w:highlight w:val="none"/>
          <w:lang w:val="en-US" w:eastAsia="zh-CN"/>
          <w14:textFill>
            <w14:solidFill>
              <w14:schemeClr w14:val="tx1"/>
            </w14:solidFill>
          </w14:textFill>
        </w:rPr>
        <w:t>6</w:t>
      </w:r>
      <w:r>
        <w:rPr>
          <w:rFonts w:hint="eastAsia" w:ascii="Times New Roman" w:hAnsi="Times New Roman" w:eastAsia="宋体"/>
          <w:b/>
          <w:bCs/>
          <w:color w:val="000000" w:themeColor="text1"/>
          <w:sz w:val="32"/>
          <w:szCs w:val="40"/>
          <w:highlight w:val="none"/>
          <w:lang w:eastAsia="zh-CN"/>
          <w14:textFill>
            <w14:solidFill>
              <w14:schemeClr w14:val="tx1"/>
            </w14:solidFill>
          </w14:textFill>
        </w:rPr>
        <w:t>、</w:t>
      </w:r>
      <w:r>
        <w:rPr>
          <w:rFonts w:hint="eastAsia" w:ascii="Times New Roman" w:hAnsi="Times New Roman" w:eastAsia="宋体"/>
          <w:b/>
          <w:bCs/>
          <w:color w:val="000000" w:themeColor="text1"/>
          <w:sz w:val="32"/>
          <w:szCs w:val="40"/>
          <w:highlight w:val="none"/>
          <w:lang w:val="en-US" w:eastAsia="zh-CN"/>
          <w14:textFill>
            <w14:solidFill>
              <w14:schemeClr w14:val="tx1"/>
            </w14:solidFill>
          </w14:textFill>
        </w:rPr>
        <w:t>结论</w:t>
      </w:r>
    </w:p>
    <w:p>
      <w:pPr>
        <w:pStyle w:val="148"/>
        <w:keepNext w:val="0"/>
        <w:keepLines w:val="0"/>
        <w:pageBreakBefore w:val="0"/>
        <w:kinsoku/>
        <w:wordWrap/>
        <w:overflowPunct/>
        <w:topLinePunct w:val="0"/>
        <w:bidi w:val="0"/>
        <w:spacing w:beforeAutospacing="0" w:afterAutospacing="0"/>
        <w:ind w:firstLine="420"/>
        <w:jc w:val="both"/>
        <w:textAlignment w:val="auto"/>
        <w:outlineLvl w:val="9"/>
        <w:rPr>
          <w:rFonts w:hint="eastAsia" w:ascii="Times New Roman" w:hAnsi="Times New Roman" w:eastAsia="宋体"/>
          <w:color w:val="000000" w:themeColor="text1"/>
          <w:sz w:val="24"/>
          <w:szCs w:val="28"/>
          <w:highlight w:val="none"/>
          <w:lang w:eastAsia="zh-CN"/>
          <w14:textFill>
            <w14:solidFill>
              <w14:schemeClr w14:val="tx1"/>
            </w14:solidFill>
          </w14:textFill>
        </w:rPr>
      </w:pPr>
      <w:r>
        <w:rPr>
          <w:rFonts w:hint="eastAsia" w:ascii="Times New Roman" w:hAnsi="Times New Roman" w:eastAsia="宋体"/>
          <w:bCs w:val="0"/>
          <w:color w:val="000000" w:themeColor="text1"/>
          <w:kern w:val="2"/>
          <w:sz w:val="24"/>
          <w:szCs w:val="28"/>
          <w:highlight w:val="none"/>
          <w14:textFill>
            <w14:solidFill>
              <w14:schemeClr w14:val="tx1"/>
            </w14:solidFill>
          </w14:textFill>
        </w:rPr>
        <w:t>项目在建设施工过程中，项目建设及汽车运输过程的扬尘，经过措施后对周边大气环境影响较小。</w:t>
      </w:r>
      <w:r>
        <w:rPr>
          <w:rFonts w:hint="eastAsia" w:ascii="Times New Roman" w:hAnsi="Times New Roman" w:eastAsia="宋体"/>
          <w:color w:val="000000" w:themeColor="text1"/>
          <w:sz w:val="24"/>
          <w:szCs w:val="28"/>
          <w:highlight w:val="none"/>
          <w14:textFill>
            <w14:solidFill>
              <w14:schemeClr w14:val="tx1"/>
            </w14:solidFill>
          </w14:textFill>
        </w:rPr>
        <w:t>散货卸料粉尘及散货堆场粉尘经抑尘措施后满足</w:t>
      </w:r>
      <w:r>
        <w:rPr>
          <w:rFonts w:hint="default" w:ascii="Times New Roman" w:hAnsi="Times New Roman" w:eastAsia="宋体"/>
          <w:color w:val="000000" w:themeColor="text1"/>
          <w:sz w:val="24"/>
          <w:szCs w:val="24"/>
          <w:highlight w:val="none"/>
          <w14:textFill>
            <w14:solidFill>
              <w14:schemeClr w14:val="tx1"/>
            </w14:solidFill>
          </w14:textFill>
        </w:rPr>
        <w:t>《大气污染物综合排放标准》（GB16297-1996）表2中无组织排放</w:t>
      </w:r>
      <w:r>
        <w:rPr>
          <w:rFonts w:hint="eastAsia" w:ascii="Times New Roman" w:hAnsi="Times New Roman" w:eastAsia="宋体"/>
          <w:color w:val="000000" w:themeColor="text1"/>
          <w:sz w:val="24"/>
          <w:szCs w:val="24"/>
          <w:highlight w:val="none"/>
          <w14:textFill>
            <w14:solidFill>
              <w14:schemeClr w14:val="tx1"/>
            </w14:solidFill>
          </w14:textFill>
        </w:rPr>
        <w:t>的标</w:t>
      </w:r>
      <w:r>
        <w:rPr>
          <w:rFonts w:hint="eastAsia" w:ascii="Times New Roman" w:hAnsi="Times New Roman" w:eastAsia="宋体"/>
          <w:color w:val="000000" w:themeColor="text1"/>
          <w:sz w:val="24"/>
          <w:szCs w:val="28"/>
          <w:highlight w:val="none"/>
          <w14:textFill>
            <w14:solidFill>
              <w14:schemeClr w14:val="tx1"/>
            </w14:solidFill>
          </w14:textFill>
        </w:rPr>
        <w:t>准限值。因此，项目对区域大气环境影响较小</w:t>
      </w:r>
      <w:r>
        <w:rPr>
          <w:rFonts w:hint="eastAsia" w:ascii="Times New Roman" w:hAnsi="Times New Roman" w:eastAsia="宋体"/>
          <w:color w:val="000000" w:themeColor="text1"/>
          <w:sz w:val="24"/>
          <w:szCs w:val="28"/>
          <w:highlight w:val="none"/>
          <w:lang w:eastAsia="zh-CN"/>
          <w14:textFill>
            <w14:solidFill>
              <w14:schemeClr w14:val="tx1"/>
            </w14:solidFill>
          </w14:textFill>
        </w:rPr>
        <w:t>，从环境保护的角度本项目是可行的。</w:t>
      </w:r>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firstLine="480" w:firstLineChars="200"/>
        <w:jc w:val="both"/>
        <w:textAlignment w:val="auto"/>
        <w:outlineLvl w:val="9"/>
        <w:rPr>
          <w:rFonts w:hint="eastAsia" w:ascii="Times New Roman" w:hAnsi="Times New Roman" w:eastAsia="宋体"/>
          <w:color w:val="000000" w:themeColor="text1"/>
          <w:sz w:val="24"/>
          <w:szCs w:val="24"/>
          <w:highlight w:val="none"/>
          <w:lang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beforeAutospacing="0" w:afterAutospacing="0" w:line="360" w:lineRule="auto"/>
        <w:ind w:firstLine="480" w:firstLineChars="200"/>
        <w:jc w:val="both"/>
        <w:textAlignment w:val="auto"/>
        <w:outlineLvl w:val="9"/>
        <w:rPr>
          <w:rFonts w:hint="eastAsia" w:ascii="Times New Roman" w:hAnsi="Times New Roman" w:eastAsia="宋体"/>
          <w:color w:val="000000" w:themeColor="text1"/>
          <w:sz w:val="24"/>
          <w:szCs w:val="24"/>
          <w:highlight w:val="none"/>
          <w:lang w:eastAsia="zh-CN"/>
          <w14:textFill>
            <w14:solidFill>
              <w14:schemeClr w14:val="tx1"/>
            </w14:solidFill>
          </w14:textFill>
        </w:rPr>
      </w:pPr>
    </w:p>
    <w:p>
      <w:pPr>
        <w:pageBreakBefore w:val="0"/>
        <w:kinsoku/>
        <w:bidi w:val="0"/>
        <w:spacing w:beforeAutospacing="0" w:afterAutospacing="0"/>
        <w:rPr>
          <w:rFonts w:hint="eastAsia" w:ascii="Times New Roman" w:hAnsi="Times New Roman" w:eastAsia="宋体" w:cs="黑体"/>
          <w:color w:val="000000" w:themeColor="text1"/>
          <w:sz w:val="28"/>
          <w:szCs w:val="28"/>
          <w:highlight w:val="none"/>
          <w14:textFill>
            <w14:solidFill>
              <w14:schemeClr w14:val="tx1"/>
            </w14:solidFill>
          </w14:textFill>
        </w:rPr>
      </w:pPr>
      <w:r>
        <w:rPr>
          <w:rFonts w:hint="eastAsia" w:ascii="Times New Roman" w:hAnsi="Times New Roman" w:eastAsia="宋体" w:cs="黑体"/>
          <w:color w:val="000000" w:themeColor="text1"/>
          <w:sz w:val="28"/>
          <w:szCs w:val="28"/>
          <w:highlight w:val="none"/>
          <w14:textFill>
            <w14:solidFill>
              <w14:schemeClr w14:val="tx1"/>
            </w14:solidFill>
          </w14:textFill>
        </w:rPr>
        <w:br w:type="page"/>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textAlignment w:val="auto"/>
        <w:outlineLvl w:val="0"/>
        <w:rPr>
          <w:rFonts w:hint="default"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pPr>
      <w:r>
        <w:rPr>
          <w:rFonts w:hint="eastAsia" w:ascii="Times New Roman" w:hAnsi="Times New Roman" w:eastAsia="宋体" w:cs="Times New Roman"/>
          <w:b/>
          <w:bCs w:val="0"/>
          <w:color w:val="000000" w:themeColor="text1"/>
          <w:sz w:val="32"/>
          <w:szCs w:val="32"/>
          <w:highlight w:val="none"/>
          <w:lang w:val="en-US" w:eastAsia="zh-CN"/>
          <w14:textFill>
            <w14:solidFill>
              <w14:schemeClr w14:val="tx1"/>
            </w14:solidFill>
          </w14:textFill>
        </w:rPr>
        <w:t>附表1</w:t>
      </w:r>
    </w:p>
    <w:p>
      <w:pPr>
        <w:pStyle w:val="23"/>
        <w:keepNext w:val="0"/>
        <w:keepLines w:val="0"/>
        <w:pageBreakBefore w:val="0"/>
        <w:widowControl w:val="0"/>
        <w:kinsoku/>
        <w:wordWrap/>
        <w:overflowPunct/>
        <w:topLinePunct w:val="0"/>
        <w:autoSpaceDE/>
        <w:autoSpaceDN/>
        <w:bidi w:val="0"/>
        <w:adjustRightInd/>
        <w:spacing w:before="0" w:beforeAutospacing="0" w:after="0" w:afterAutospacing="0"/>
        <w:ind w:firstLine="0" w:firstLineChars="0"/>
        <w:textAlignment w:val="auto"/>
        <w:outlineLvl w:val="9"/>
        <w:rPr>
          <w:rFonts w:ascii="Times New Roman" w:hAnsi="Times New Roman" w:eastAsia="宋体" w:cs="黑体"/>
          <w:color w:val="000000" w:themeColor="text1"/>
          <w:sz w:val="32"/>
          <w:szCs w:val="32"/>
          <w:highlight w:val="none"/>
          <w14:textFill>
            <w14:solidFill>
              <w14:schemeClr w14:val="tx1"/>
            </w14:solidFill>
          </w14:textFill>
        </w:rPr>
      </w:pPr>
      <w:r>
        <w:rPr>
          <w:rFonts w:hint="eastAsia" w:ascii="Times New Roman" w:hAnsi="Times New Roman" w:eastAsia="宋体" w:cs="黑体"/>
          <w:color w:val="000000" w:themeColor="text1"/>
          <w:sz w:val="32"/>
          <w:szCs w:val="32"/>
          <w:highlight w:val="none"/>
          <w14:textFill>
            <w14:solidFill>
              <w14:schemeClr w14:val="tx1"/>
            </w14:solidFill>
          </w14:textFill>
        </w:rPr>
        <w:t>大气环境影响评价自查表</w:t>
      </w:r>
    </w:p>
    <w:tbl>
      <w:tblPr>
        <w:tblStyle w:val="34"/>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6"/>
        <w:gridCol w:w="1154"/>
        <w:gridCol w:w="857"/>
        <w:gridCol w:w="109"/>
        <w:gridCol w:w="252"/>
        <w:gridCol w:w="672"/>
        <w:gridCol w:w="143"/>
        <w:gridCol w:w="14"/>
        <w:gridCol w:w="157"/>
        <w:gridCol w:w="786"/>
        <w:gridCol w:w="319"/>
        <w:gridCol w:w="46"/>
        <w:gridCol w:w="683"/>
        <w:gridCol w:w="148"/>
        <w:gridCol w:w="295"/>
        <w:gridCol w:w="179"/>
        <w:gridCol w:w="133"/>
        <w:gridCol w:w="597"/>
        <w:gridCol w:w="123"/>
        <w:gridCol w:w="477"/>
        <w:gridCol w:w="73"/>
        <w:gridCol w:w="205"/>
        <w:gridCol w:w="302"/>
        <w:gridCol w:w="4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550" w:type="dxa"/>
            <w:gridSpan w:val="2"/>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工作内容</w:t>
            </w:r>
          </w:p>
        </w:tc>
        <w:tc>
          <w:tcPr>
            <w:tcW w:w="6972" w:type="dxa"/>
            <w:gridSpan w:val="22"/>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dxa"/>
            <w:vMerge w:val="restart"/>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评价等级与范围</w:t>
            </w:r>
          </w:p>
        </w:tc>
        <w:tc>
          <w:tcPr>
            <w:tcW w:w="1154" w:type="dxa"/>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评价等级</w:t>
            </w:r>
          </w:p>
        </w:tc>
        <w:tc>
          <w:tcPr>
            <w:tcW w:w="2047" w:type="dxa"/>
            <w:gridSpan w:val="6"/>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一级□</w:t>
            </w:r>
          </w:p>
        </w:tc>
        <w:tc>
          <w:tcPr>
            <w:tcW w:w="2613" w:type="dxa"/>
            <w:gridSpan w:val="8"/>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二级</w:t>
            </w:r>
            <w:r>
              <w:rPr>
                <w:rFonts w:ascii="Times New Roman" w:hAnsi="Times New Roman" w:eastAsia="宋体"/>
                <w:color w:val="000000" w:themeColor="text1"/>
                <w:sz w:val="21"/>
                <w:szCs w:val="21"/>
                <w:highlight w:val="none"/>
                <w14:textFill>
                  <w14:solidFill>
                    <w14:schemeClr w14:val="tx1"/>
                  </w14:solidFill>
                </w14:textFill>
              </w:rPr>
              <w:sym w:font="Wingdings 2" w:char="0052"/>
            </w:r>
          </w:p>
        </w:tc>
        <w:tc>
          <w:tcPr>
            <w:tcW w:w="2312" w:type="dxa"/>
            <w:gridSpan w:val="8"/>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三级</w:t>
            </w:r>
            <w:r>
              <w:rPr>
                <w:rFonts w:ascii="Times New Roman" w:hAnsi="Times New Roman" w:eastAsia="宋体"/>
                <w:color w:val="000000" w:themeColor="text1"/>
                <w:sz w:val="21"/>
                <w:szCs w:val="21"/>
                <w:highlight w:val="none"/>
                <w14:textFill>
                  <w14:solidFill>
                    <w14:schemeClr w14:val="tx1"/>
                  </w14:solidFill>
                </w14:textFill>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dxa"/>
            <w:vMerge w:val="continue"/>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p>
        </w:tc>
        <w:tc>
          <w:tcPr>
            <w:tcW w:w="1154" w:type="dxa"/>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评价范围</w:t>
            </w:r>
          </w:p>
        </w:tc>
        <w:tc>
          <w:tcPr>
            <w:tcW w:w="2047" w:type="dxa"/>
            <w:gridSpan w:val="6"/>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边长=50km□</w:t>
            </w:r>
          </w:p>
        </w:tc>
        <w:tc>
          <w:tcPr>
            <w:tcW w:w="2613" w:type="dxa"/>
            <w:gridSpan w:val="8"/>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边长5~50km</w:t>
            </w:r>
            <w:r>
              <w:rPr>
                <w:rFonts w:ascii="Times New Roman" w:hAnsi="Times New Roman" w:eastAsia="宋体"/>
                <w:color w:val="000000" w:themeColor="text1"/>
                <w:sz w:val="21"/>
                <w:szCs w:val="21"/>
                <w:highlight w:val="none"/>
                <w14:textFill>
                  <w14:solidFill>
                    <w14:schemeClr w14:val="tx1"/>
                  </w14:solidFill>
                </w14:textFill>
              </w:rPr>
              <w:sym w:font="Wingdings 2" w:char="00A3"/>
            </w:r>
          </w:p>
        </w:tc>
        <w:tc>
          <w:tcPr>
            <w:tcW w:w="2312" w:type="dxa"/>
            <w:gridSpan w:val="8"/>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边长=5km</w:t>
            </w:r>
            <w:r>
              <w:rPr>
                <w:rFonts w:ascii="Times New Roman" w:hAnsi="Times New Roman" w:eastAsia="宋体"/>
                <w:color w:val="000000" w:themeColor="text1"/>
                <w:sz w:val="21"/>
                <w:szCs w:val="21"/>
                <w:highlight w:val="none"/>
                <w14:textFill>
                  <w14:solidFill>
                    <w14:schemeClr w14:val="tx1"/>
                  </w14:solidFill>
                </w14:textFill>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dxa"/>
            <w:vMerge w:val="restart"/>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评价因子</w:t>
            </w:r>
          </w:p>
        </w:tc>
        <w:tc>
          <w:tcPr>
            <w:tcW w:w="1154" w:type="dxa"/>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SO</w:t>
            </w:r>
            <w:r>
              <w:rPr>
                <w:rFonts w:ascii="Times New Roman" w:hAnsi="Times New Roman" w:eastAsia="宋体"/>
                <w:color w:val="000000" w:themeColor="text1"/>
                <w:sz w:val="21"/>
                <w:szCs w:val="21"/>
                <w:highlight w:val="none"/>
                <w:vertAlign w:val="subscript"/>
                <w14:textFill>
                  <w14:solidFill>
                    <w14:schemeClr w14:val="tx1"/>
                  </w14:solidFill>
                </w14:textFill>
              </w:rPr>
              <w:t>2</w:t>
            </w:r>
            <w:r>
              <w:rPr>
                <w:rFonts w:ascii="Times New Roman" w:hAnsi="Times New Roman" w:eastAsia="宋体"/>
                <w:color w:val="000000" w:themeColor="text1"/>
                <w:sz w:val="21"/>
                <w:szCs w:val="21"/>
                <w:highlight w:val="none"/>
                <w14:textFill>
                  <w14:solidFill>
                    <w14:schemeClr w14:val="tx1"/>
                  </w14:solidFill>
                </w14:textFill>
              </w:rPr>
              <w:t>+NO</w:t>
            </w:r>
            <w:r>
              <w:rPr>
                <w:rFonts w:ascii="Times New Roman" w:hAnsi="Times New Roman" w:eastAsia="宋体"/>
                <w:color w:val="000000" w:themeColor="text1"/>
                <w:sz w:val="21"/>
                <w:szCs w:val="21"/>
                <w:highlight w:val="none"/>
                <w:vertAlign w:val="subscript"/>
                <w14:textFill>
                  <w14:solidFill>
                    <w14:schemeClr w14:val="tx1"/>
                  </w14:solidFill>
                </w14:textFill>
              </w:rPr>
              <w:t>x</w:t>
            </w:r>
            <w:r>
              <w:rPr>
                <w:rFonts w:ascii="Times New Roman" w:hAnsi="Times New Roman" w:eastAsia="宋体"/>
                <w:color w:val="000000" w:themeColor="text1"/>
                <w:sz w:val="21"/>
                <w:szCs w:val="21"/>
                <w:highlight w:val="none"/>
                <w14:textFill>
                  <w14:solidFill>
                    <w14:schemeClr w14:val="tx1"/>
                  </w14:solidFill>
                </w14:textFill>
              </w:rPr>
              <w:t>排放量</w:t>
            </w:r>
          </w:p>
        </w:tc>
        <w:tc>
          <w:tcPr>
            <w:tcW w:w="2047" w:type="dxa"/>
            <w:gridSpan w:val="6"/>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≥2000t/a□</w:t>
            </w:r>
          </w:p>
        </w:tc>
        <w:tc>
          <w:tcPr>
            <w:tcW w:w="2613" w:type="dxa"/>
            <w:gridSpan w:val="8"/>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500~2000t/a□</w:t>
            </w:r>
          </w:p>
        </w:tc>
        <w:tc>
          <w:tcPr>
            <w:tcW w:w="2312" w:type="dxa"/>
            <w:gridSpan w:val="8"/>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＜500t/a</w:t>
            </w:r>
            <w:r>
              <w:rPr>
                <w:rFonts w:ascii="Times New Roman" w:hAnsi="Times New Roman" w:eastAsia="宋体"/>
                <w:color w:val="000000" w:themeColor="text1"/>
                <w:sz w:val="21"/>
                <w:szCs w:val="21"/>
                <w:highlight w:val="none"/>
                <w14:textFill>
                  <w14:solidFill>
                    <w14:schemeClr w14:val="tx1"/>
                  </w14:solidFill>
                </w14:textFill>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dxa"/>
            <w:vMerge w:val="continue"/>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p>
        </w:tc>
        <w:tc>
          <w:tcPr>
            <w:tcW w:w="1154" w:type="dxa"/>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评价因子</w:t>
            </w:r>
          </w:p>
        </w:tc>
        <w:tc>
          <w:tcPr>
            <w:tcW w:w="4481" w:type="dxa"/>
            <w:gridSpan w:val="13"/>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基本污染物（</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TSP</w:t>
            </w:r>
            <w:r>
              <w:rPr>
                <w:rFonts w:ascii="Times New Roman" w:hAnsi="Times New Roman" w:eastAsia="宋体"/>
                <w:color w:val="000000" w:themeColor="text1"/>
                <w:sz w:val="21"/>
                <w:szCs w:val="21"/>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其他污染物（</w:t>
            </w:r>
            <w:r>
              <w:rPr>
                <w:rFonts w:hint="eastAsia" w:ascii="Times New Roman" w:hAnsi="Times New Roman" w:eastAsia="宋体"/>
                <w:color w:val="000000" w:themeColor="text1"/>
                <w:sz w:val="21"/>
                <w:szCs w:val="21"/>
                <w:highlight w:val="none"/>
                <w14:textFill>
                  <w14:solidFill>
                    <w14:schemeClr w14:val="tx1"/>
                  </w14:solidFill>
                </w14:textFill>
              </w:rPr>
              <w:t xml:space="preserve">            </w:t>
            </w:r>
            <w:r>
              <w:rPr>
                <w:rFonts w:ascii="Times New Roman" w:hAnsi="Times New Roman" w:eastAsia="宋体"/>
                <w:color w:val="000000" w:themeColor="text1"/>
                <w:sz w:val="21"/>
                <w:szCs w:val="21"/>
                <w:highlight w:val="none"/>
                <w14:textFill>
                  <w14:solidFill>
                    <w14:schemeClr w14:val="tx1"/>
                  </w14:solidFill>
                </w14:textFill>
              </w:rPr>
              <w:t>）</w:t>
            </w:r>
          </w:p>
        </w:tc>
        <w:tc>
          <w:tcPr>
            <w:tcW w:w="2491" w:type="dxa"/>
            <w:gridSpan w:val="9"/>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14:textFill>
                  <w14:solidFill>
                    <w14:schemeClr w14:val="tx1"/>
                  </w14:solidFill>
                </w14:textFill>
              </w:rPr>
              <w:t xml:space="preserve">  </w:t>
            </w:r>
            <w:r>
              <w:rPr>
                <w:rFonts w:ascii="Times New Roman" w:hAnsi="Times New Roman" w:eastAsia="宋体"/>
                <w:color w:val="000000" w:themeColor="text1"/>
                <w:sz w:val="21"/>
                <w:szCs w:val="21"/>
                <w:highlight w:val="none"/>
                <w14:textFill>
                  <w14:solidFill>
                    <w14:schemeClr w14:val="tx1"/>
                  </w14:solidFill>
                </w14:textFill>
              </w:rPr>
              <w:t>包括二次PM2.5□</w:t>
            </w:r>
          </w:p>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不包括二次PM2.5</w:t>
            </w:r>
            <w:r>
              <w:rPr>
                <w:rFonts w:ascii="Times New Roman" w:hAnsi="Times New Roman" w:eastAsia="宋体"/>
                <w:color w:val="000000" w:themeColor="text1"/>
                <w:sz w:val="21"/>
                <w:szCs w:val="21"/>
                <w:highlight w:val="none"/>
                <w14:textFill>
                  <w14:solidFill>
                    <w14:schemeClr w14:val="tx1"/>
                  </w14:solidFill>
                </w14:textFill>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dxa"/>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评价标准</w:t>
            </w:r>
          </w:p>
        </w:tc>
        <w:tc>
          <w:tcPr>
            <w:tcW w:w="1154" w:type="dxa"/>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评价标准</w:t>
            </w:r>
          </w:p>
        </w:tc>
        <w:tc>
          <w:tcPr>
            <w:tcW w:w="1218" w:type="dxa"/>
            <w:gridSpan w:val="3"/>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国家标准</w:t>
            </w:r>
            <w:r>
              <w:rPr>
                <w:rFonts w:ascii="Times New Roman" w:hAnsi="Times New Roman" w:eastAsia="宋体"/>
                <w:color w:val="000000" w:themeColor="text1"/>
                <w:sz w:val="21"/>
                <w:szCs w:val="21"/>
                <w:highlight w:val="none"/>
                <w14:textFill>
                  <w14:solidFill>
                    <w14:schemeClr w14:val="tx1"/>
                  </w14:solidFill>
                </w14:textFill>
              </w:rPr>
              <w:sym w:font="Wingdings 2" w:char="0052"/>
            </w:r>
          </w:p>
        </w:tc>
        <w:tc>
          <w:tcPr>
            <w:tcW w:w="1772" w:type="dxa"/>
            <w:gridSpan w:val="5"/>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地方标准</w:t>
            </w:r>
            <w:r>
              <w:rPr>
                <w:rFonts w:ascii="Times New Roman" w:hAnsi="Times New Roman" w:eastAsia="宋体"/>
                <w:color w:val="000000" w:themeColor="text1"/>
                <w:sz w:val="21"/>
                <w:szCs w:val="21"/>
                <w:highlight w:val="none"/>
                <w14:textFill>
                  <w14:solidFill>
                    <w14:schemeClr w14:val="tx1"/>
                  </w14:solidFill>
                </w14:textFill>
              </w:rPr>
              <w:sym w:font="Wingdings 2" w:char="00A3"/>
            </w:r>
          </w:p>
        </w:tc>
        <w:tc>
          <w:tcPr>
            <w:tcW w:w="2400" w:type="dxa"/>
            <w:gridSpan w:val="8"/>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附录D</w:t>
            </w:r>
            <w:r>
              <w:rPr>
                <w:rFonts w:ascii="Times New Roman" w:hAnsi="Times New Roman" w:eastAsia="宋体"/>
                <w:color w:val="000000" w:themeColor="text1"/>
                <w:sz w:val="21"/>
                <w:szCs w:val="21"/>
                <w:highlight w:val="none"/>
                <w14:textFill>
                  <w14:solidFill>
                    <w14:schemeClr w14:val="tx1"/>
                  </w14:solidFill>
                </w14:textFill>
              </w:rPr>
              <w:sym w:font="Wingdings 2" w:char="00A3"/>
            </w:r>
          </w:p>
        </w:tc>
        <w:tc>
          <w:tcPr>
            <w:tcW w:w="1582" w:type="dxa"/>
            <w:gridSpan w:val="6"/>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其他标准</w:t>
            </w:r>
            <w:r>
              <w:rPr>
                <w:rFonts w:ascii="Times New Roman" w:hAnsi="Times New Roman" w:eastAsia="宋体"/>
                <w:color w:val="000000" w:themeColor="text1"/>
                <w:sz w:val="21"/>
                <w:szCs w:val="21"/>
                <w:highlight w:val="none"/>
                <w14:textFill>
                  <w14:solidFill>
                    <w14:schemeClr w14:val="tx1"/>
                  </w14:solidFill>
                </w14:textFill>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dxa"/>
            <w:vMerge w:val="restart"/>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现状评价</w:t>
            </w:r>
          </w:p>
        </w:tc>
        <w:tc>
          <w:tcPr>
            <w:tcW w:w="1154" w:type="dxa"/>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环境功能区</w:t>
            </w:r>
          </w:p>
        </w:tc>
        <w:tc>
          <w:tcPr>
            <w:tcW w:w="2033" w:type="dxa"/>
            <w:gridSpan w:val="5"/>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一类区□</w:t>
            </w:r>
          </w:p>
        </w:tc>
        <w:tc>
          <w:tcPr>
            <w:tcW w:w="2627" w:type="dxa"/>
            <w:gridSpan w:val="9"/>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二类区</w:t>
            </w:r>
            <w:r>
              <w:rPr>
                <w:rFonts w:ascii="Times New Roman" w:hAnsi="Times New Roman" w:eastAsia="宋体"/>
                <w:color w:val="000000" w:themeColor="text1"/>
                <w:sz w:val="21"/>
                <w:szCs w:val="21"/>
                <w:highlight w:val="none"/>
                <w14:textFill>
                  <w14:solidFill>
                    <w14:schemeClr w14:val="tx1"/>
                  </w14:solidFill>
                </w14:textFill>
              </w:rPr>
              <w:sym w:font="Wingdings 2" w:char="0052"/>
            </w:r>
          </w:p>
        </w:tc>
        <w:tc>
          <w:tcPr>
            <w:tcW w:w="2312" w:type="dxa"/>
            <w:gridSpan w:val="8"/>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一类区和二类区□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dxa"/>
            <w:vMerge w:val="continue"/>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p>
        </w:tc>
        <w:tc>
          <w:tcPr>
            <w:tcW w:w="1154" w:type="dxa"/>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评价基准年</w:t>
            </w:r>
          </w:p>
        </w:tc>
        <w:tc>
          <w:tcPr>
            <w:tcW w:w="6972" w:type="dxa"/>
            <w:gridSpan w:val="22"/>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20</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22</w:t>
            </w:r>
            <w:r>
              <w:rPr>
                <w:rFonts w:ascii="Times New Roman" w:hAnsi="Times New Roman" w:eastAsia="宋体"/>
                <w:color w:val="000000" w:themeColor="text1"/>
                <w:sz w:val="21"/>
                <w:szCs w:val="21"/>
                <w:highlight w:val="none"/>
                <w14:textFill>
                  <w14:solidFill>
                    <w14:schemeClr w14:val="tx1"/>
                  </w14:solidFill>
                </w14:textFill>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dxa"/>
            <w:vMerge w:val="continue"/>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p>
        </w:tc>
        <w:tc>
          <w:tcPr>
            <w:tcW w:w="1154" w:type="dxa"/>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环境空气质量现状调查数据来源</w:t>
            </w:r>
          </w:p>
        </w:tc>
        <w:tc>
          <w:tcPr>
            <w:tcW w:w="2033" w:type="dxa"/>
            <w:gridSpan w:val="5"/>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长期例行监测数据□</w:t>
            </w:r>
          </w:p>
        </w:tc>
        <w:tc>
          <w:tcPr>
            <w:tcW w:w="2627" w:type="dxa"/>
            <w:gridSpan w:val="9"/>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主管部门发布的数据</w:t>
            </w:r>
            <w:r>
              <w:rPr>
                <w:rFonts w:ascii="Times New Roman" w:hAnsi="Times New Roman" w:eastAsia="宋体"/>
                <w:color w:val="000000" w:themeColor="text1"/>
                <w:sz w:val="21"/>
                <w:szCs w:val="21"/>
                <w:highlight w:val="none"/>
                <w14:textFill>
                  <w14:solidFill>
                    <w14:schemeClr w14:val="tx1"/>
                  </w14:solidFill>
                </w14:textFill>
              </w:rPr>
              <w:sym w:font="Wingdings 2" w:char="00A3"/>
            </w:r>
          </w:p>
        </w:tc>
        <w:tc>
          <w:tcPr>
            <w:tcW w:w="2312" w:type="dxa"/>
            <w:gridSpan w:val="8"/>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现状补充监测</w:t>
            </w:r>
            <w:r>
              <w:rPr>
                <w:rFonts w:ascii="Times New Roman" w:hAnsi="Times New Roman" w:eastAsia="宋体"/>
                <w:color w:val="000000" w:themeColor="text1"/>
                <w:sz w:val="21"/>
                <w:szCs w:val="21"/>
                <w:highlight w:val="none"/>
                <w14:textFill>
                  <w14:solidFill>
                    <w14:schemeClr w14:val="tx1"/>
                  </w14:solidFill>
                </w14:textFill>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dxa"/>
            <w:vMerge w:val="continue"/>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p>
        </w:tc>
        <w:tc>
          <w:tcPr>
            <w:tcW w:w="1154" w:type="dxa"/>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现状评价</w:t>
            </w:r>
          </w:p>
        </w:tc>
        <w:tc>
          <w:tcPr>
            <w:tcW w:w="4660" w:type="dxa"/>
            <w:gridSpan w:val="14"/>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达标区</w:t>
            </w:r>
            <w:r>
              <w:rPr>
                <w:rFonts w:ascii="Times New Roman" w:hAnsi="Times New Roman" w:eastAsia="宋体"/>
                <w:color w:val="000000" w:themeColor="text1"/>
                <w:sz w:val="21"/>
                <w:szCs w:val="21"/>
                <w:highlight w:val="none"/>
                <w14:textFill>
                  <w14:solidFill>
                    <w14:schemeClr w14:val="tx1"/>
                  </w14:solidFill>
                </w14:textFill>
              </w:rPr>
              <w:sym w:font="Wingdings 2" w:char="0052"/>
            </w:r>
          </w:p>
        </w:tc>
        <w:tc>
          <w:tcPr>
            <w:tcW w:w="2312" w:type="dxa"/>
            <w:gridSpan w:val="8"/>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不达标区□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dxa"/>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污染源</w:t>
            </w:r>
          </w:p>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调查</w:t>
            </w:r>
          </w:p>
        </w:tc>
        <w:tc>
          <w:tcPr>
            <w:tcW w:w="1154" w:type="dxa"/>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调查内容</w:t>
            </w:r>
          </w:p>
        </w:tc>
        <w:tc>
          <w:tcPr>
            <w:tcW w:w="2204" w:type="dxa"/>
            <w:gridSpan w:val="7"/>
            <w:vAlign w:val="center"/>
          </w:tcPr>
          <w:p>
            <w:pPr>
              <w:keepNext w:val="0"/>
              <w:keepLines w:val="0"/>
              <w:pageBreakBefore w:val="0"/>
              <w:widowControl w:val="0"/>
              <w:kinsoku/>
              <w:wordWrap/>
              <w:overflowPunct/>
              <w:topLinePunct w:val="0"/>
              <w:autoSpaceDE/>
              <w:autoSpaceDN/>
              <w:bidi w:val="0"/>
              <w:adjustRightInd/>
              <w:spacing w:beforeAutospacing="0" w:afterAutospacing="0"/>
              <w:jc w:val="right"/>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本项目正常排放源</w:t>
            </w:r>
            <w:r>
              <w:rPr>
                <w:rFonts w:ascii="Times New Roman" w:hAnsi="Times New Roman" w:eastAsia="宋体"/>
                <w:color w:val="000000" w:themeColor="text1"/>
                <w:sz w:val="21"/>
                <w:szCs w:val="21"/>
                <w:highlight w:val="none"/>
                <w14:textFill>
                  <w14:solidFill>
                    <w14:schemeClr w14:val="tx1"/>
                  </w14:solidFill>
                </w14:textFill>
              </w:rPr>
              <w:sym w:font="Wingdings 2" w:char="0052"/>
            </w:r>
          </w:p>
          <w:p>
            <w:pPr>
              <w:keepNext w:val="0"/>
              <w:keepLines w:val="0"/>
              <w:pageBreakBefore w:val="0"/>
              <w:widowControl w:val="0"/>
              <w:kinsoku/>
              <w:wordWrap/>
              <w:overflowPunct/>
              <w:topLinePunct w:val="0"/>
              <w:autoSpaceDE/>
              <w:autoSpaceDN/>
              <w:bidi w:val="0"/>
              <w:adjustRightInd/>
              <w:spacing w:beforeAutospacing="0" w:afterAutospacing="0"/>
              <w:jc w:val="right"/>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本项目非正常排放源</w:t>
            </w:r>
            <w:r>
              <w:rPr>
                <w:rFonts w:ascii="Times New Roman" w:hAnsi="Times New Roman" w:eastAsia="宋体"/>
                <w:color w:val="000000" w:themeColor="text1"/>
                <w:sz w:val="21"/>
                <w:szCs w:val="21"/>
                <w:highlight w:val="none"/>
                <w14:textFill>
                  <w14:solidFill>
                    <w14:schemeClr w14:val="tx1"/>
                  </w14:solidFill>
                </w14:textFill>
              </w:rPr>
              <w:sym w:font="Wingdings 2" w:char="00A3"/>
            </w:r>
          </w:p>
          <w:p>
            <w:pPr>
              <w:keepNext w:val="0"/>
              <w:keepLines w:val="0"/>
              <w:pageBreakBefore w:val="0"/>
              <w:widowControl w:val="0"/>
              <w:kinsoku/>
              <w:wordWrap/>
              <w:overflowPunct/>
              <w:topLinePunct w:val="0"/>
              <w:autoSpaceDE/>
              <w:autoSpaceDN/>
              <w:bidi w:val="0"/>
              <w:adjustRightInd/>
              <w:spacing w:beforeAutospacing="0" w:afterAutospacing="0"/>
              <w:jc w:val="right"/>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现有污染源□</w:t>
            </w:r>
          </w:p>
        </w:tc>
        <w:tc>
          <w:tcPr>
            <w:tcW w:w="1834" w:type="dxa"/>
            <w:gridSpan w:val="4"/>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拟替代的污染源□</w:t>
            </w:r>
          </w:p>
        </w:tc>
        <w:tc>
          <w:tcPr>
            <w:tcW w:w="2230" w:type="dxa"/>
            <w:gridSpan w:val="9"/>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其他在建、拟建项目</w:t>
            </w:r>
          </w:p>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污染源□</w:t>
            </w:r>
          </w:p>
        </w:tc>
        <w:tc>
          <w:tcPr>
            <w:tcW w:w="704" w:type="dxa"/>
            <w:gridSpan w:val="2"/>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区域污染源□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dxa"/>
            <w:vMerge w:val="restart"/>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大气环境影响预测与评价</w:t>
            </w:r>
          </w:p>
        </w:tc>
        <w:tc>
          <w:tcPr>
            <w:tcW w:w="1154" w:type="dxa"/>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预测模型</w:t>
            </w:r>
          </w:p>
        </w:tc>
        <w:tc>
          <w:tcPr>
            <w:tcW w:w="966" w:type="dxa"/>
            <w:gridSpan w:val="2"/>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AERMOD□</w:t>
            </w:r>
          </w:p>
        </w:tc>
        <w:tc>
          <w:tcPr>
            <w:tcW w:w="924" w:type="dxa"/>
            <w:gridSpan w:val="2"/>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ADMS□</w:t>
            </w:r>
          </w:p>
        </w:tc>
        <w:tc>
          <w:tcPr>
            <w:tcW w:w="1465" w:type="dxa"/>
            <w:gridSpan w:val="6"/>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AUSTAL2000□</w:t>
            </w:r>
          </w:p>
        </w:tc>
        <w:tc>
          <w:tcPr>
            <w:tcW w:w="1438" w:type="dxa"/>
            <w:gridSpan w:val="5"/>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EDMS/AEDT□</w:t>
            </w:r>
          </w:p>
        </w:tc>
        <w:tc>
          <w:tcPr>
            <w:tcW w:w="1197" w:type="dxa"/>
            <w:gridSpan w:val="3"/>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CALPUFF□</w:t>
            </w:r>
          </w:p>
        </w:tc>
        <w:tc>
          <w:tcPr>
            <w:tcW w:w="580" w:type="dxa"/>
            <w:gridSpan w:val="3"/>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网格模型□</w:t>
            </w:r>
          </w:p>
        </w:tc>
        <w:tc>
          <w:tcPr>
            <w:tcW w:w="402" w:type="dxa"/>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其他</w:t>
            </w:r>
            <w:r>
              <w:rPr>
                <w:rFonts w:ascii="Times New Roman" w:hAnsi="Times New Roman" w:eastAsia="宋体"/>
                <w:color w:val="000000" w:themeColor="text1"/>
                <w:sz w:val="21"/>
                <w:szCs w:val="21"/>
                <w:highlight w:val="none"/>
                <w14:textFill>
                  <w14:solidFill>
                    <w14:schemeClr w14:val="tx1"/>
                  </w14:solidFill>
                </w14:textFill>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dxa"/>
            <w:vMerge w:val="continue"/>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p>
        </w:tc>
        <w:tc>
          <w:tcPr>
            <w:tcW w:w="1154" w:type="dxa"/>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预测范围</w:t>
            </w:r>
          </w:p>
        </w:tc>
        <w:tc>
          <w:tcPr>
            <w:tcW w:w="2033" w:type="dxa"/>
            <w:gridSpan w:val="5"/>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边长≥50km□</w:t>
            </w:r>
          </w:p>
        </w:tc>
        <w:tc>
          <w:tcPr>
            <w:tcW w:w="2627" w:type="dxa"/>
            <w:gridSpan w:val="9"/>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hint="eastAsia" w:ascii="Times New Roman" w:hAnsi="Times New Roman" w:eastAsia="宋体"/>
                <w:color w:val="000000" w:themeColor="text1"/>
                <w:sz w:val="21"/>
                <w:szCs w:val="21"/>
                <w:highlight w:val="none"/>
                <w:lang w:eastAsia="zh-CN"/>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边长5~50km</w:t>
            </w:r>
            <w:r>
              <w:rPr>
                <w:rFonts w:hint="eastAsia" w:ascii="Times New Roman" w:hAnsi="Times New Roman" w:eastAsia="宋体"/>
                <w:color w:val="000000" w:themeColor="text1"/>
                <w:sz w:val="21"/>
                <w:szCs w:val="21"/>
                <w:highlight w:val="none"/>
                <w:lang w:eastAsia="zh-CN"/>
                <w14:textFill>
                  <w14:solidFill>
                    <w14:schemeClr w14:val="tx1"/>
                  </w14:solidFill>
                </w14:textFill>
              </w:rPr>
              <w:t>□</w:t>
            </w:r>
          </w:p>
        </w:tc>
        <w:tc>
          <w:tcPr>
            <w:tcW w:w="2312" w:type="dxa"/>
            <w:gridSpan w:val="8"/>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边长=5km</w:t>
            </w:r>
            <w:r>
              <w:rPr>
                <w:rFonts w:ascii="Times New Roman" w:hAnsi="Times New Roman" w:eastAsia="宋体"/>
                <w:color w:val="000000" w:themeColor="text1"/>
                <w:sz w:val="21"/>
                <w:szCs w:val="21"/>
                <w:highlight w:val="none"/>
                <w14:textFill>
                  <w14:solidFill>
                    <w14:schemeClr w14:val="tx1"/>
                  </w14:solidFill>
                </w14:textFill>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dxa"/>
            <w:vMerge w:val="continue"/>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p>
        </w:tc>
        <w:tc>
          <w:tcPr>
            <w:tcW w:w="1154" w:type="dxa"/>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预测因子</w:t>
            </w:r>
          </w:p>
        </w:tc>
        <w:tc>
          <w:tcPr>
            <w:tcW w:w="4660" w:type="dxa"/>
            <w:gridSpan w:val="14"/>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预测因子（</w:t>
            </w:r>
            <w:r>
              <w:rPr>
                <w:rFonts w:hint="eastAsia" w:ascii="Times New Roman" w:hAnsi="Times New Roman" w:eastAsia="宋体"/>
                <w:color w:val="000000" w:themeColor="text1"/>
                <w:sz w:val="21"/>
                <w:szCs w:val="21"/>
                <w:highlight w:val="none"/>
                <w14:textFill>
                  <w14:solidFill>
                    <w14:schemeClr w14:val="tx1"/>
                  </w14:solidFill>
                </w14:textFill>
              </w:rPr>
              <w:t>PM10</w:t>
            </w:r>
            <w:r>
              <w:rPr>
                <w:rFonts w:ascii="Times New Roman" w:hAnsi="Times New Roman" w:eastAsia="宋体"/>
                <w:color w:val="000000" w:themeColor="text1"/>
                <w:sz w:val="21"/>
                <w:szCs w:val="21"/>
                <w:highlight w:val="none"/>
                <w14:textFill>
                  <w14:solidFill>
                    <w14:schemeClr w14:val="tx1"/>
                  </w14:solidFill>
                </w14:textFill>
              </w:rPr>
              <w:t>）</w:t>
            </w:r>
          </w:p>
        </w:tc>
        <w:tc>
          <w:tcPr>
            <w:tcW w:w="2312" w:type="dxa"/>
            <w:gridSpan w:val="8"/>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b/>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包括二次PM2.5□</w:t>
            </w:r>
          </w:p>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不包括二次PM2.5</w:t>
            </w:r>
            <w:r>
              <w:rPr>
                <w:rFonts w:ascii="Times New Roman" w:hAnsi="Times New Roman" w:eastAsia="宋体"/>
                <w:color w:val="000000" w:themeColor="text1"/>
                <w:sz w:val="21"/>
                <w:szCs w:val="21"/>
                <w:highlight w:val="none"/>
                <w14:textFill>
                  <w14:solidFill>
                    <w14:schemeClr w14:val="tx1"/>
                  </w14:solidFill>
                </w14:textFill>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dxa"/>
            <w:vMerge w:val="continue"/>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p>
        </w:tc>
        <w:tc>
          <w:tcPr>
            <w:tcW w:w="1154" w:type="dxa"/>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正常排放短期浓度贡献值</w:t>
            </w:r>
          </w:p>
        </w:tc>
        <w:tc>
          <w:tcPr>
            <w:tcW w:w="4660" w:type="dxa"/>
            <w:gridSpan w:val="14"/>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C</w:t>
            </w:r>
            <w:r>
              <w:rPr>
                <w:rFonts w:ascii="Times New Roman" w:hAnsi="Times New Roman" w:eastAsia="宋体"/>
                <w:color w:val="000000" w:themeColor="text1"/>
                <w:sz w:val="21"/>
                <w:szCs w:val="21"/>
                <w:highlight w:val="none"/>
                <w:vertAlign w:val="subscript"/>
                <w14:textFill>
                  <w14:solidFill>
                    <w14:schemeClr w14:val="tx1"/>
                  </w14:solidFill>
                </w14:textFill>
              </w:rPr>
              <w:t>本项目</w:t>
            </w:r>
            <w:r>
              <w:rPr>
                <w:rFonts w:ascii="Times New Roman" w:hAnsi="Times New Roman" w:eastAsia="宋体"/>
                <w:color w:val="000000" w:themeColor="text1"/>
                <w:sz w:val="21"/>
                <w:szCs w:val="21"/>
                <w:highlight w:val="none"/>
                <w14:textFill>
                  <w14:solidFill>
                    <w14:schemeClr w14:val="tx1"/>
                  </w14:solidFill>
                </w14:textFill>
              </w:rPr>
              <w:t>最大占标率≤100%</w:t>
            </w:r>
            <w:r>
              <w:rPr>
                <w:rFonts w:ascii="Times New Roman" w:hAnsi="Times New Roman" w:eastAsia="宋体"/>
                <w:color w:val="000000" w:themeColor="text1"/>
                <w:sz w:val="21"/>
                <w:szCs w:val="21"/>
                <w:highlight w:val="none"/>
                <w14:textFill>
                  <w14:solidFill>
                    <w14:schemeClr w14:val="tx1"/>
                  </w14:solidFill>
                </w14:textFill>
              </w:rPr>
              <w:sym w:font="Wingdings 2" w:char="0052"/>
            </w:r>
          </w:p>
        </w:tc>
        <w:tc>
          <w:tcPr>
            <w:tcW w:w="2312" w:type="dxa"/>
            <w:gridSpan w:val="8"/>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C</w:t>
            </w:r>
            <w:r>
              <w:rPr>
                <w:rFonts w:ascii="Times New Roman" w:hAnsi="Times New Roman" w:eastAsia="宋体"/>
                <w:color w:val="000000" w:themeColor="text1"/>
                <w:sz w:val="21"/>
                <w:szCs w:val="21"/>
                <w:highlight w:val="none"/>
                <w:vertAlign w:val="subscript"/>
                <w14:textFill>
                  <w14:solidFill>
                    <w14:schemeClr w14:val="tx1"/>
                  </w14:solidFill>
                </w14:textFill>
              </w:rPr>
              <w:t>本项目</w:t>
            </w:r>
            <w:r>
              <w:rPr>
                <w:rFonts w:ascii="Times New Roman" w:hAnsi="Times New Roman" w:eastAsia="宋体"/>
                <w:color w:val="000000" w:themeColor="text1"/>
                <w:sz w:val="21"/>
                <w:szCs w:val="21"/>
                <w:highlight w:val="none"/>
                <w14:textFill>
                  <w14:solidFill>
                    <w14:schemeClr w14:val="tx1"/>
                  </w14:solidFill>
                </w14:textFill>
              </w:rPr>
              <w:t>最大占标率＞100%□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dxa"/>
            <w:vMerge w:val="continue"/>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p>
        </w:tc>
        <w:tc>
          <w:tcPr>
            <w:tcW w:w="1154" w:type="dxa"/>
            <w:vMerge w:val="restart"/>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正常排放年均浓度贡献值</w:t>
            </w:r>
          </w:p>
        </w:tc>
        <w:tc>
          <w:tcPr>
            <w:tcW w:w="857" w:type="dxa"/>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一类区</w:t>
            </w:r>
          </w:p>
        </w:tc>
        <w:tc>
          <w:tcPr>
            <w:tcW w:w="3803" w:type="dxa"/>
            <w:gridSpan w:val="13"/>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C</w:t>
            </w:r>
            <w:r>
              <w:rPr>
                <w:rFonts w:ascii="Times New Roman" w:hAnsi="Times New Roman" w:eastAsia="宋体"/>
                <w:color w:val="000000" w:themeColor="text1"/>
                <w:sz w:val="21"/>
                <w:szCs w:val="21"/>
                <w:highlight w:val="none"/>
                <w:vertAlign w:val="subscript"/>
                <w14:textFill>
                  <w14:solidFill>
                    <w14:schemeClr w14:val="tx1"/>
                  </w14:solidFill>
                </w14:textFill>
              </w:rPr>
              <w:t>本项目</w:t>
            </w:r>
            <w:r>
              <w:rPr>
                <w:rFonts w:ascii="Times New Roman" w:hAnsi="Times New Roman" w:eastAsia="宋体"/>
                <w:color w:val="000000" w:themeColor="text1"/>
                <w:sz w:val="21"/>
                <w:szCs w:val="21"/>
                <w:highlight w:val="none"/>
                <w14:textFill>
                  <w14:solidFill>
                    <w14:schemeClr w14:val="tx1"/>
                  </w14:solidFill>
                </w14:textFill>
              </w:rPr>
              <w:t>最大占标率≤10%□</w:t>
            </w:r>
          </w:p>
        </w:tc>
        <w:tc>
          <w:tcPr>
            <w:tcW w:w="2312" w:type="dxa"/>
            <w:gridSpan w:val="8"/>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C</w:t>
            </w:r>
            <w:r>
              <w:rPr>
                <w:rFonts w:ascii="Times New Roman" w:hAnsi="Times New Roman" w:eastAsia="宋体"/>
                <w:color w:val="000000" w:themeColor="text1"/>
                <w:sz w:val="21"/>
                <w:szCs w:val="21"/>
                <w:highlight w:val="none"/>
                <w:vertAlign w:val="subscript"/>
                <w14:textFill>
                  <w14:solidFill>
                    <w14:schemeClr w14:val="tx1"/>
                  </w14:solidFill>
                </w14:textFill>
              </w:rPr>
              <w:t>本项目</w:t>
            </w:r>
            <w:r>
              <w:rPr>
                <w:rFonts w:ascii="Times New Roman" w:hAnsi="Times New Roman" w:eastAsia="宋体"/>
                <w:color w:val="000000" w:themeColor="text1"/>
                <w:sz w:val="21"/>
                <w:szCs w:val="21"/>
                <w:highlight w:val="none"/>
                <w14:textFill>
                  <w14:solidFill>
                    <w14:schemeClr w14:val="tx1"/>
                  </w14:solidFill>
                </w14:textFill>
              </w:rPr>
              <w:t>最大占标率＞10%□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dxa"/>
            <w:vMerge w:val="continue"/>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p>
        </w:tc>
        <w:tc>
          <w:tcPr>
            <w:tcW w:w="1154" w:type="dxa"/>
            <w:vMerge w:val="continue"/>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p>
        </w:tc>
        <w:tc>
          <w:tcPr>
            <w:tcW w:w="857" w:type="dxa"/>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二类区</w:t>
            </w:r>
          </w:p>
        </w:tc>
        <w:tc>
          <w:tcPr>
            <w:tcW w:w="3803" w:type="dxa"/>
            <w:gridSpan w:val="13"/>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C</w:t>
            </w:r>
            <w:r>
              <w:rPr>
                <w:rFonts w:ascii="Times New Roman" w:hAnsi="Times New Roman" w:eastAsia="宋体"/>
                <w:color w:val="000000" w:themeColor="text1"/>
                <w:sz w:val="21"/>
                <w:szCs w:val="21"/>
                <w:highlight w:val="none"/>
                <w:vertAlign w:val="subscript"/>
                <w14:textFill>
                  <w14:solidFill>
                    <w14:schemeClr w14:val="tx1"/>
                  </w14:solidFill>
                </w14:textFill>
              </w:rPr>
              <w:t>本项目</w:t>
            </w:r>
            <w:r>
              <w:rPr>
                <w:rFonts w:ascii="Times New Roman" w:hAnsi="Times New Roman" w:eastAsia="宋体"/>
                <w:color w:val="000000" w:themeColor="text1"/>
                <w:sz w:val="21"/>
                <w:szCs w:val="21"/>
                <w:highlight w:val="none"/>
                <w14:textFill>
                  <w14:solidFill>
                    <w14:schemeClr w14:val="tx1"/>
                  </w14:solidFill>
                </w14:textFill>
              </w:rPr>
              <w:t>最大占标率≤30%</w:t>
            </w:r>
            <w:r>
              <w:rPr>
                <w:rFonts w:ascii="Times New Roman" w:hAnsi="Times New Roman" w:eastAsia="宋体"/>
                <w:color w:val="000000" w:themeColor="text1"/>
                <w:sz w:val="21"/>
                <w:szCs w:val="21"/>
                <w:highlight w:val="none"/>
                <w14:textFill>
                  <w14:solidFill>
                    <w14:schemeClr w14:val="tx1"/>
                  </w14:solidFill>
                </w14:textFill>
              </w:rPr>
              <w:sym w:font="Wingdings 2" w:char="00A3"/>
            </w:r>
          </w:p>
        </w:tc>
        <w:tc>
          <w:tcPr>
            <w:tcW w:w="2312" w:type="dxa"/>
            <w:gridSpan w:val="8"/>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C</w:t>
            </w:r>
            <w:r>
              <w:rPr>
                <w:rFonts w:ascii="Times New Roman" w:hAnsi="Times New Roman" w:eastAsia="宋体"/>
                <w:color w:val="000000" w:themeColor="text1"/>
                <w:sz w:val="21"/>
                <w:szCs w:val="21"/>
                <w:highlight w:val="none"/>
                <w:vertAlign w:val="subscript"/>
                <w14:textFill>
                  <w14:solidFill>
                    <w14:schemeClr w14:val="tx1"/>
                  </w14:solidFill>
                </w14:textFill>
              </w:rPr>
              <w:t>本项目</w:t>
            </w:r>
            <w:r>
              <w:rPr>
                <w:rFonts w:ascii="Times New Roman" w:hAnsi="Times New Roman" w:eastAsia="宋体"/>
                <w:color w:val="000000" w:themeColor="text1"/>
                <w:sz w:val="21"/>
                <w:szCs w:val="21"/>
                <w:highlight w:val="none"/>
                <w14:textFill>
                  <w14:solidFill>
                    <w14:schemeClr w14:val="tx1"/>
                  </w14:solidFill>
                </w14:textFill>
              </w:rPr>
              <w:t>最大占标率＞30%□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dxa"/>
            <w:vMerge w:val="continue"/>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p>
        </w:tc>
        <w:tc>
          <w:tcPr>
            <w:tcW w:w="1154" w:type="dxa"/>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非正常排放1h浓度贡献值</w:t>
            </w:r>
          </w:p>
        </w:tc>
        <w:tc>
          <w:tcPr>
            <w:tcW w:w="1890" w:type="dxa"/>
            <w:gridSpan w:val="4"/>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非正常持续时长</w:t>
            </w:r>
          </w:p>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（）h</w:t>
            </w:r>
          </w:p>
        </w:tc>
        <w:tc>
          <w:tcPr>
            <w:tcW w:w="2770" w:type="dxa"/>
            <w:gridSpan w:val="10"/>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c</w:t>
            </w:r>
            <w:r>
              <w:rPr>
                <w:rFonts w:ascii="Times New Roman" w:hAnsi="Times New Roman" w:eastAsia="宋体"/>
                <w:color w:val="000000" w:themeColor="text1"/>
                <w:sz w:val="21"/>
                <w:szCs w:val="21"/>
                <w:highlight w:val="none"/>
                <w:vertAlign w:val="subscript"/>
                <w14:textFill>
                  <w14:solidFill>
                    <w14:schemeClr w14:val="tx1"/>
                  </w14:solidFill>
                </w14:textFill>
              </w:rPr>
              <w:t>非正常</w:t>
            </w:r>
            <w:r>
              <w:rPr>
                <w:rFonts w:ascii="Times New Roman" w:hAnsi="Times New Roman" w:eastAsia="宋体"/>
                <w:color w:val="000000" w:themeColor="text1"/>
                <w:sz w:val="21"/>
                <w:szCs w:val="21"/>
                <w:highlight w:val="none"/>
                <w14:textFill>
                  <w14:solidFill>
                    <w14:schemeClr w14:val="tx1"/>
                  </w14:solidFill>
                </w14:textFill>
              </w:rPr>
              <w:t>占标率≤100%</w:t>
            </w:r>
            <w:r>
              <w:rPr>
                <w:rFonts w:ascii="Times New Roman" w:hAnsi="Times New Roman" w:eastAsia="宋体"/>
                <w:color w:val="000000" w:themeColor="text1"/>
                <w:sz w:val="21"/>
                <w:szCs w:val="21"/>
                <w:highlight w:val="none"/>
                <w14:textFill>
                  <w14:solidFill>
                    <w14:schemeClr w14:val="tx1"/>
                  </w14:solidFill>
                </w14:textFill>
              </w:rPr>
              <w:sym w:font="Wingdings 2" w:char="00A3"/>
            </w:r>
          </w:p>
        </w:tc>
        <w:tc>
          <w:tcPr>
            <w:tcW w:w="2312" w:type="dxa"/>
            <w:gridSpan w:val="8"/>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c</w:t>
            </w:r>
            <w:r>
              <w:rPr>
                <w:rFonts w:ascii="Times New Roman" w:hAnsi="Times New Roman" w:eastAsia="宋体"/>
                <w:color w:val="000000" w:themeColor="text1"/>
                <w:sz w:val="21"/>
                <w:szCs w:val="21"/>
                <w:highlight w:val="none"/>
                <w:vertAlign w:val="subscript"/>
                <w14:textFill>
                  <w14:solidFill>
                    <w14:schemeClr w14:val="tx1"/>
                  </w14:solidFill>
                </w14:textFill>
              </w:rPr>
              <w:t>非正常</w:t>
            </w:r>
            <w:r>
              <w:rPr>
                <w:rFonts w:ascii="Times New Roman" w:hAnsi="Times New Roman" w:eastAsia="宋体"/>
                <w:color w:val="000000" w:themeColor="text1"/>
                <w:sz w:val="21"/>
                <w:szCs w:val="21"/>
                <w:highlight w:val="none"/>
                <w14:textFill>
                  <w14:solidFill>
                    <w14:schemeClr w14:val="tx1"/>
                  </w14:solidFill>
                </w14:textFill>
              </w:rPr>
              <w:t>占标率＞100%□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dxa"/>
            <w:vMerge w:val="continue"/>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p>
        </w:tc>
        <w:tc>
          <w:tcPr>
            <w:tcW w:w="1154" w:type="dxa"/>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保证率日平均浓度和年平均浓度叠加值</w:t>
            </w:r>
          </w:p>
        </w:tc>
        <w:tc>
          <w:tcPr>
            <w:tcW w:w="4660" w:type="dxa"/>
            <w:gridSpan w:val="14"/>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C</w:t>
            </w:r>
            <w:r>
              <w:rPr>
                <w:rFonts w:ascii="Times New Roman" w:hAnsi="Times New Roman" w:eastAsia="宋体"/>
                <w:color w:val="000000" w:themeColor="text1"/>
                <w:sz w:val="21"/>
                <w:szCs w:val="21"/>
                <w:highlight w:val="none"/>
                <w:vertAlign w:val="subscript"/>
                <w14:textFill>
                  <w14:solidFill>
                    <w14:schemeClr w14:val="tx1"/>
                  </w14:solidFill>
                </w14:textFill>
              </w:rPr>
              <w:t>叠加</w:t>
            </w:r>
            <w:r>
              <w:rPr>
                <w:rFonts w:ascii="Times New Roman" w:hAnsi="Times New Roman" w:eastAsia="宋体"/>
                <w:color w:val="000000" w:themeColor="text1"/>
                <w:sz w:val="21"/>
                <w:szCs w:val="21"/>
                <w:highlight w:val="none"/>
                <w14:textFill>
                  <w14:solidFill>
                    <w14:schemeClr w14:val="tx1"/>
                  </w14:solidFill>
                </w14:textFill>
              </w:rPr>
              <w:t>达标</w:t>
            </w:r>
            <w:r>
              <w:rPr>
                <w:rFonts w:ascii="Times New Roman" w:hAnsi="Times New Roman" w:eastAsia="宋体"/>
                <w:color w:val="000000" w:themeColor="text1"/>
                <w:sz w:val="21"/>
                <w:szCs w:val="21"/>
                <w:highlight w:val="none"/>
                <w14:textFill>
                  <w14:solidFill>
                    <w14:schemeClr w14:val="tx1"/>
                  </w14:solidFill>
                </w14:textFill>
              </w:rPr>
              <w:sym w:font="Wingdings 2" w:char="00A3"/>
            </w:r>
          </w:p>
        </w:tc>
        <w:tc>
          <w:tcPr>
            <w:tcW w:w="2312" w:type="dxa"/>
            <w:gridSpan w:val="8"/>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C</w:t>
            </w:r>
            <w:r>
              <w:rPr>
                <w:rFonts w:ascii="Times New Roman" w:hAnsi="Times New Roman" w:eastAsia="宋体"/>
                <w:color w:val="000000" w:themeColor="text1"/>
                <w:sz w:val="21"/>
                <w:szCs w:val="21"/>
                <w:highlight w:val="none"/>
                <w:vertAlign w:val="subscript"/>
                <w14:textFill>
                  <w14:solidFill>
                    <w14:schemeClr w14:val="tx1"/>
                  </w14:solidFill>
                </w14:textFill>
              </w:rPr>
              <w:t>叠加</w:t>
            </w:r>
            <w:r>
              <w:rPr>
                <w:rFonts w:ascii="Times New Roman" w:hAnsi="Times New Roman" w:eastAsia="宋体"/>
                <w:color w:val="000000" w:themeColor="text1"/>
                <w:sz w:val="21"/>
                <w:szCs w:val="21"/>
                <w:highlight w:val="none"/>
                <w14:textFill>
                  <w14:solidFill>
                    <w14:schemeClr w14:val="tx1"/>
                  </w14:solidFill>
                </w14:textFill>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dxa"/>
            <w:vMerge w:val="continue"/>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p>
        </w:tc>
        <w:tc>
          <w:tcPr>
            <w:tcW w:w="1154" w:type="dxa"/>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区域环境质量的整体变化情况</w:t>
            </w:r>
          </w:p>
        </w:tc>
        <w:tc>
          <w:tcPr>
            <w:tcW w:w="4660" w:type="dxa"/>
            <w:gridSpan w:val="14"/>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k≤-20%</w:t>
            </w:r>
            <w:r>
              <w:rPr>
                <w:rFonts w:ascii="Times New Roman" w:hAnsi="Times New Roman" w:eastAsia="宋体"/>
                <w:color w:val="000000" w:themeColor="text1"/>
                <w:sz w:val="21"/>
                <w:szCs w:val="21"/>
                <w:highlight w:val="none"/>
                <w14:textFill>
                  <w14:solidFill>
                    <w14:schemeClr w14:val="tx1"/>
                  </w14:solidFill>
                </w14:textFill>
              </w:rPr>
              <w:sym w:font="Wingdings 2" w:char="00A3"/>
            </w:r>
          </w:p>
        </w:tc>
        <w:tc>
          <w:tcPr>
            <w:tcW w:w="2312" w:type="dxa"/>
            <w:gridSpan w:val="8"/>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k＞-20%□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dxa"/>
            <w:vMerge w:val="restart"/>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环境监测计划</w:t>
            </w:r>
          </w:p>
        </w:tc>
        <w:tc>
          <w:tcPr>
            <w:tcW w:w="1154" w:type="dxa"/>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污染源监测</w:t>
            </w:r>
          </w:p>
        </w:tc>
        <w:tc>
          <w:tcPr>
            <w:tcW w:w="3309" w:type="dxa"/>
            <w:gridSpan w:val="9"/>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监测因子：（</w:t>
            </w:r>
            <w:r>
              <w:rPr>
                <w:rFonts w:hint="eastAsia" w:ascii="Times New Roman" w:hAnsi="Times New Roman" w:eastAsia="宋体"/>
                <w:color w:val="000000" w:themeColor="text1"/>
                <w:sz w:val="21"/>
                <w:szCs w:val="21"/>
                <w:highlight w:val="none"/>
                <w14:textFill>
                  <w14:solidFill>
                    <w14:schemeClr w14:val="tx1"/>
                  </w14:solidFill>
                </w14:textFill>
              </w:rPr>
              <w:t>颗粒物</w:t>
            </w:r>
            <w:r>
              <w:rPr>
                <w:rFonts w:ascii="Times New Roman" w:hAnsi="Times New Roman" w:eastAsia="宋体"/>
                <w:color w:val="000000" w:themeColor="text1"/>
                <w:sz w:val="21"/>
                <w:szCs w:val="21"/>
                <w:highlight w:val="none"/>
                <w14:textFill>
                  <w14:solidFill>
                    <w14:schemeClr w14:val="tx1"/>
                  </w14:solidFill>
                </w14:textFill>
              </w:rPr>
              <w:t>）</w:t>
            </w:r>
          </w:p>
        </w:tc>
        <w:tc>
          <w:tcPr>
            <w:tcW w:w="2204" w:type="dxa"/>
            <w:gridSpan w:val="8"/>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有组织废气监测</w:t>
            </w:r>
            <w:r>
              <w:rPr>
                <w:rFonts w:ascii="Times New Roman" w:hAnsi="Times New Roman" w:eastAsia="宋体"/>
                <w:color w:val="000000" w:themeColor="text1"/>
                <w:sz w:val="21"/>
                <w:szCs w:val="21"/>
                <w:highlight w:val="none"/>
                <w14:textFill>
                  <w14:solidFill>
                    <w14:schemeClr w14:val="tx1"/>
                  </w14:solidFill>
                </w14:textFill>
              </w:rPr>
              <w:sym w:font="Wingdings 2" w:char="00A3"/>
            </w:r>
          </w:p>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无组织废气监测</w:t>
            </w:r>
            <w:r>
              <w:rPr>
                <w:rFonts w:ascii="Times New Roman" w:hAnsi="Times New Roman" w:eastAsia="宋体"/>
                <w:color w:val="000000" w:themeColor="text1"/>
                <w:sz w:val="21"/>
                <w:szCs w:val="21"/>
                <w:highlight w:val="none"/>
                <w14:textFill>
                  <w14:solidFill>
                    <w14:schemeClr w14:val="tx1"/>
                  </w14:solidFill>
                </w14:textFill>
              </w:rPr>
              <w:sym w:font="Wingdings 2" w:char="0052"/>
            </w:r>
          </w:p>
        </w:tc>
        <w:tc>
          <w:tcPr>
            <w:tcW w:w="1459" w:type="dxa"/>
            <w:gridSpan w:val="5"/>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无监测□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dxa"/>
            <w:vMerge w:val="continue"/>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p>
        </w:tc>
        <w:tc>
          <w:tcPr>
            <w:tcW w:w="1154" w:type="dxa"/>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环境质量监测</w:t>
            </w:r>
          </w:p>
        </w:tc>
        <w:tc>
          <w:tcPr>
            <w:tcW w:w="3309" w:type="dxa"/>
            <w:gridSpan w:val="9"/>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监测因子：（）</w:t>
            </w:r>
          </w:p>
        </w:tc>
        <w:tc>
          <w:tcPr>
            <w:tcW w:w="2204" w:type="dxa"/>
            <w:gridSpan w:val="8"/>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监测点位数（</w:t>
            </w:r>
            <w:r>
              <w:rPr>
                <w:rFonts w:hint="eastAsia" w:ascii="Times New Roman" w:hAnsi="Times New Roman" w:eastAsia="宋体"/>
                <w:color w:val="000000" w:themeColor="text1"/>
                <w:sz w:val="21"/>
                <w:szCs w:val="21"/>
                <w:highlight w:val="none"/>
                <w14:textFill>
                  <w14:solidFill>
                    <w14:schemeClr w14:val="tx1"/>
                  </w14:solidFill>
                </w14:textFill>
              </w:rPr>
              <w:t xml:space="preserve">  </w:t>
            </w:r>
            <w:r>
              <w:rPr>
                <w:rFonts w:ascii="Times New Roman" w:hAnsi="Times New Roman" w:eastAsia="宋体"/>
                <w:color w:val="000000" w:themeColor="text1"/>
                <w:sz w:val="21"/>
                <w:szCs w:val="21"/>
                <w:highlight w:val="none"/>
                <w14:textFill>
                  <w14:solidFill>
                    <w14:schemeClr w14:val="tx1"/>
                  </w14:solidFill>
                </w14:textFill>
              </w:rPr>
              <w:t>）</w:t>
            </w:r>
          </w:p>
        </w:tc>
        <w:tc>
          <w:tcPr>
            <w:tcW w:w="1459" w:type="dxa"/>
            <w:gridSpan w:val="5"/>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无监测□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dxa"/>
            <w:vMerge w:val="restart"/>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评价结论</w:t>
            </w:r>
          </w:p>
        </w:tc>
        <w:tc>
          <w:tcPr>
            <w:tcW w:w="1154" w:type="dxa"/>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环境影响</w:t>
            </w:r>
          </w:p>
        </w:tc>
        <w:tc>
          <w:tcPr>
            <w:tcW w:w="6972" w:type="dxa"/>
            <w:gridSpan w:val="22"/>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可以接受</w:t>
            </w:r>
            <w:r>
              <w:rPr>
                <w:rFonts w:ascii="Times New Roman" w:hAnsi="Times New Roman" w:eastAsia="宋体"/>
                <w:color w:val="000000" w:themeColor="text1"/>
                <w:sz w:val="21"/>
                <w:szCs w:val="21"/>
                <w:highlight w:val="none"/>
                <w14:textFill>
                  <w14:solidFill>
                    <w14:schemeClr w14:val="tx1"/>
                  </w14:solidFill>
                </w14:textFill>
              </w:rPr>
              <w:sym w:font="Wingdings 2" w:char="0052"/>
            </w:r>
            <w:r>
              <w:rPr>
                <w:rFonts w:hint="eastAsia" w:ascii="Times New Roman" w:hAnsi="Times New Roman" w:eastAsia="宋体"/>
                <w:color w:val="000000" w:themeColor="text1"/>
                <w:sz w:val="21"/>
                <w:szCs w:val="21"/>
                <w:highlight w:val="none"/>
                <w14:textFill>
                  <w14:solidFill>
                    <w14:schemeClr w14:val="tx1"/>
                  </w14:solidFill>
                </w14:textFill>
              </w:rPr>
              <w:t xml:space="preserve">     </w:t>
            </w:r>
            <w:r>
              <w:rPr>
                <w:rFonts w:ascii="Times New Roman" w:hAnsi="Times New Roman" w:eastAsia="宋体"/>
                <w:color w:val="000000" w:themeColor="text1"/>
                <w:sz w:val="21"/>
                <w:szCs w:val="21"/>
                <w:highlight w:val="none"/>
                <w14:textFill>
                  <w14:solidFill>
                    <w14:schemeClr w14:val="tx1"/>
                  </w14:solidFill>
                </w14:textFill>
              </w:rPr>
              <w:t>不可以接受□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dxa"/>
            <w:vMerge w:val="continue"/>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p>
        </w:tc>
        <w:tc>
          <w:tcPr>
            <w:tcW w:w="1154" w:type="dxa"/>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大气环境防护距离</w:t>
            </w:r>
          </w:p>
        </w:tc>
        <w:tc>
          <w:tcPr>
            <w:tcW w:w="6972" w:type="dxa"/>
            <w:gridSpan w:val="22"/>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距（</w:t>
            </w:r>
            <w:r>
              <w:rPr>
                <w:rFonts w:hint="eastAsia" w:ascii="Times New Roman" w:hAnsi="Times New Roman" w:eastAsia="宋体"/>
                <w:color w:val="000000" w:themeColor="text1"/>
                <w:sz w:val="21"/>
                <w:szCs w:val="21"/>
                <w:highlight w:val="none"/>
                <w14:textFill>
                  <w14:solidFill>
                    <w14:schemeClr w14:val="tx1"/>
                  </w14:solidFill>
                </w14:textFill>
              </w:rPr>
              <w:t xml:space="preserve">  </w:t>
            </w:r>
            <w:r>
              <w:rPr>
                <w:rFonts w:ascii="Times New Roman" w:hAnsi="Times New Roman" w:eastAsia="宋体"/>
                <w:color w:val="000000" w:themeColor="text1"/>
                <w:sz w:val="21"/>
                <w:szCs w:val="21"/>
                <w:highlight w:val="none"/>
                <w14:textFill>
                  <w14:solidFill>
                    <w14:schemeClr w14:val="tx1"/>
                  </w14:solidFill>
                </w14:textFill>
              </w:rPr>
              <w:t>）厂界最远（</w:t>
            </w:r>
            <w:r>
              <w:rPr>
                <w:rFonts w:hint="eastAsia" w:ascii="Times New Roman" w:hAnsi="Times New Roman" w:eastAsia="宋体"/>
                <w:color w:val="000000" w:themeColor="text1"/>
                <w:sz w:val="21"/>
                <w:szCs w:val="21"/>
                <w:highlight w:val="none"/>
                <w14:textFill>
                  <w14:solidFill>
                    <w14:schemeClr w14:val="tx1"/>
                  </w14:solidFill>
                </w14:textFill>
              </w:rPr>
              <w:t xml:space="preserve">  </w:t>
            </w:r>
            <w:r>
              <w:rPr>
                <w:rFonts w:ascii="Times New Roman" w:hAnsi="Times New Roman" w:eastAsia="宋体"/>
                <w:color w:val="000000" w:themeColor="text1"/>
                <w:sz w:val="21"/>
                <w:szCs w:val="21"/>
                <w:highlight w:val="none"/>
                <w14:textFill>
                  <w14:solidFill>
                    <w14:schemeClr w14:val="tx1"/>
                  </w14:solidFill>
                </w14:textFill>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96" w:type="dxa"/>
            <w:vMerge w:val="continue"/>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p>
        </w:tc>
        <w:tc>
          <w:tcPr>
            <w:tcW w:w="1154" w:type="dxa"/>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污染源年排放量</w:t>
            </w:r>
          </w:p>
        </w:tc>
        <w:tc>
          <w:tcPr>
            <w:tcW w:w="1890" w:type="dxa"/>
            <w:gridSpan w:val="4"/>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SO</w:t>
            </w:r>
            <w:r>
              <w:rPr>
                <w:rFonts w:ascii="Times New Roman" w:hAnsi="Times New Roman" w:eastAsia="宋体"/>
                <w:color w:val="000000" w:themeColor="text1"/>
                <w:sz w:val="21"/>
                <w:szCs w:val="21"/>
                <w:highlight w:val="none"/>
                <w:vertAlign w:val="subscript"/>
                <w14:textFill>
                  <w14:solidFill>
                    <w14:schemeClr w14:val="tx1"/>
                  </w14:solidFill>
                </w14:textFill>
              </w:rPr>
              <w:t>2</w:t>
            </w:r>
            <w:r>
              <w:rPr>
                <w:rFonts w:ascii="Times New Roman" w:hAnsi="Times New Roman" w:eastAsia="宋体"/>
                <w:color w:val="000000" w:themeColor="text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 xml:space="preserve"> </w:t>
            </w:r>
            <w:r>
              <w:rPr>
                <w:rFonts w:ascii="Times New Roman" w:hAnsi="Times New Roman" w:eastAsia="宋体"/>
                <w:color w:val="000000" w:themeColor="text1"/>
                <w:sz w:val="21"/>
                <w:szCs w:val="21"/>
                <w:highlight w:val="none"/>
                <w14:textFill>
                  <w14:solidFill>
                    <w14:schemeClr w14:val="tx1"/>
                  </w14:solidFill>
                </w14:textFill>
              </w:rPr>
              <w:t>）t/a</w:t>
            </w:r>
          </w:p>
        </w:tc>
        <w:tc>
          <w:tcPr>
            <w:tcW w:w="2296" w:type="dxa"/>
            <w:gridSpan w:val="8"/>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NO</w:t>
            </w:r>
            <w:r>
              <w:rPr>
                <w:rFonts w:hint="eastAsia" w:ascii="Times New Roman" w:hAnsi="Times New Roman" w:eastAsia="宋体"/>
                <w:color w:val="000000" w:themeColor="text1"/>
                <w:sz w:val="21"/>
                <w:szCs w:val="21"/>
                <w:highlight w:val="none"/>
                <w:vertAlign w:val="subscript"/>
                <w:lang w:val="en-US" w:eastAsia="zh-CN"/>
                <w14:textFill>
                  <w14:solidFill>
                    <w14:schemeClr w14:val="tx1"/>
                  </w14:solidFill>
                </w14:textFill>
              </w:rPr>
              <w:t>x</w:t>
            </w:r>
            <w:r>
              <w:rPr>
                <w:rFonts w:ascii="Times New Roman" w:hAnsi="Times New Roman" w:eastAsia="宋体"/>
                <w:color w:val="000000" w:themeColor="text1"/>
                <w:sz w:val="21"/>
                <w:szCs w:val="21"/>
                <w:highlight w:val="none"/>
                <w14:textFill>
                  <w14:solidFill>
                    <w14:schemeClr w14:val="tx1"/>
                  </w14:solidFill>
                </w14:textFill>
              </w:rPr>
              <w:t>：（</w:t>
            </w:r>
            <w:r>
              <w:rPr>
                <w:rFonts w:hint="eastAsia" w:ascii="Times New Roman" w:hAnsi="Times New Roman" w:eastAsia="宋体"/>
                <w:color w:val="000000" w:themeColor="text1"/>
                <w:sz w:val="21"/>
                <w:szCs w:val="21"/>
                <w:highlight w:val="none"/>
                <w14:textFill>
                  <w14:solidFill>
                    <w14:schemeClr w14:val="tx1"/>
                  </w14:solidFill>
                </w14:textFill>
              </w:rPr>
              <w:t xml:space="preserve">   </w:t>
            </w:r>
            <w:r>
              <w:rPr>
                <w:rFonts w:ascii="Times New Roman" w:hAnsi="Times New Roman" w:eastAsia="宋体"/>
                <w:color w:val="000000" w:themeColor="text1"/>
                <w:sz w:val="21"/>
                <w:szCs w:val="21"/>
                <w:highlight w:val="none"/>
                <w14:textFill>
                  <w14:solidFill>
                    <w14:schemeClr w14:val="tx1"/>
                  </w14:solidFill>
                </w14:textFill>
              </w:rPr>
              <w:t>）t/a</w:t>
            </w:r>
          </w:p>
        </w:tc>
        <w:tc>
          <w:tcPr>
            <w:tcW w:w="1877" w:type="dxa"/>
            <w:gridSpan w:val="7"/>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颗粒物：（</w:t>
            </w:r>
            <w:r>
              <w:rPr>
                <w:rFonts w:hint="eastAsia" w:ascii="Times New Roman" w:hAnsi="Times New Roman" w:eastAsia="宋体"/>
                <w:color w:val="000000" w:themeColor="text1"/>
                <w:sz w:val="21"/>
                <w:szCs w:val="21"/>
                <w:highlight w:val="none"/>
                <w14:textFill>
                  <w14:solidFill>
                    <w14:schemeClr w14:val="tx1"/>
                  </w14:solidFill>
                </w14:textFill>
              </w:rPr>
              <w:t xml:space="preserve"> </w:t>
            </w: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1.542</w:t>
            </w:r>
            <w:r>
              <w:rPr>
                <w:rFonts w:ascii="Times New Roman" w:hAnsi="Times New Roman" w:eastAsia="宋体"/>
                <w:color w:val="000000" w:themeColor="text1"/>
                <w:sz w:val="21"/>
                <w:szCs w:val="21"/>
                <w:highlight w:val="none"/>
                <w14:textFill>
                  <w14:solidFill>
                    <w14:schemeClr w14:val="tx1"/>
                  </w14:solidFill>
                </w14:textFill>
              </w:rPr>
              <w:t>）t/a</w:t>
            </w:r>
          </w:p>
        </w:tc>
        <w:tc>
          <w:tcPr>
            <w:tcW w:w="909" w:type="dxa"/>
            <w:gridSpan w:val="3"/>
            <w:vAlign w:val="center"/>
          </w:tcPr>
          <w:p>
            <w:pPr>
              <w:keepNext w:val="0"/>
              <w:keepLines w:val="0"/>
              <w:pageBreakBefore w:val="0"/>
              <w:widowControl w:val="0"/>
              <w:kinsoku/>
              <w:wordWrap/>
              <w:overflowPunct/>
              <w:topLinePunct w:val="0"/>
              <w:autoSpaceDE/>
              <w:autoSpaceDN/>
              <w:bidi w:val="0"/>
              <w:adjustRightInd/>
              <w:spacing w:beforeAutospacing="0" w:afterAutospacing="0"/>
              <w:jc w:val="center"/>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VOCs</w:t>
            </w:r>
            <w:r>
              <w:rPr>
                <w:rFonts w:ascii="Times New Roman" w:hAnsi="Times New Roman" w:eastAsia="宋体"/>
                <w:color w:val="000000" w:themeColor="text1"/>
                <w:sz w:val="21"/>
                <w:szCs w:val="21"/>
                <w:highlight w:val="none"/>
                <w14:textFill>
                  <w14:solidFill>
                    <w14:schemeClr w14:val="tx1"/>
                  </w14:solidFill>
                </w14:textFill>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522" w:type="dxa"/>
            <w:gridSpan w:val="24"/>
            <w:vAlign w:val="center"/>
          </w:tcPr>
          <w:p>
            <w:pPr>
              <w:keepNext w:val="0"/>
              <w:keepLines w:val="0"/>
              <w:pageBreakBefore w:val="0"/>
              <w:widowControl w:val="0"/>
              <w:kinsoku/>
              <w:wordWrap/>
              <w:overflowPunct/>
              <w:topLinePunct w:val="0"/>
              <w:autoSpaceDE/>
              <w:autoSpaceDN/>
              <w:bidi w:val="0"/>
              <w:adjustRightInd/>
              <w:spacing w:beforeAutospacing="0" w:afterAutospacing="0"/>
              <w:jc w:val="left"/>
              <w:textAlignment w:val="auto"/>
              <w:outlineLvl w:val="9"/>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注：“□”为勾选项，填“√”；“（）”为内容填写项</w:t>
            </w:r>
          </w:p>
        </w:tc>
      </w:tr>
    </w:tbl>
    <w:p>
      <w:pPr>
        <w:pStyle w:val="10"/>
        <w:pageBreakBefore w:val="0"/>
        <w:kinsoku/>
        <w:bidi w:val="0"/>
        <w:spacing w:before="0" w:beforeAutospacing="0" w:after="0" w:afterAutospacing="0"/>
        <w:rPr>
          <w:rFonts w:hint="default" w:ascii="Times New Roman" w:hAnsi="Times New Roman" w:eastAsia="宋体"/>
          <w:color w:val="000000" w:themeColor="text1"/>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keepNext/>
        <w:keepLines w:val="0"/>
        <w:pageBreakBefore w:val="0"/>
        <w:widowControl w:val="0"/>
        <w:kinsoku/>
        <w:wordWrap/>
        <w:overflowPunct w:val="0"/>
        <w:topLinePunct w:val="0"/>
        <w:autoSpaceDE/>
        <w:autoSpaceDN/>
        <w:bidi w:val="0"/>
        <w:adjustRightInd/>
        <w:snapToGrid w:val="0"/>
        <w:spacing w:beforeAutospacing="0" w:afterAutospacing="0" w:line="260" w:lineRule="auto"/>
        <w:ind w:left="431" w:hanging="431"/>
        <w:textAlignment w:val="auto"/>
        <w:outlineLvl w:val="9"/>
        <w:rPr>
          <w:rFonts w:hint="eastAsia" w:ascii="Times New Roman" w:hAnsi="Times New Roman" w:eastAsia="宋体"/>
          <w:color w:val="000000" w:themeColor="text1"/>
          <w:highlight w:val="none"/>
          <w:lang w:eastAsia="zh-CN"/>
          <w14:textFill>
            <w14:solidFill>
              <w14:schemeClr w14:val="tx1"/>
            </w14:solidFill>
          </w14:textFill>
        </w:rPr>
      </w:pPr>
    </w:p>
    <w:bookmarkEnd w:id="116"/>
    <w:sectPr>
      <w:headerReference r:id="rId8" w:type="default"/>
      <w:footerReference r:id="rId9" w:type="default"/>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Impact">
    <w:panose1 w:val="020B0806030902050204"/>
    <w:charset w:val="00"/>
    <w:family w:val="swiss"/>
    <w:pitch w:val="default"/>
    <w:sig w:usb0="00000287" w:usb1="00000000" w:usb2="00000000" w:usb3="00000000" w:csb0="2000009F" w:csb1="DFD7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0"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5"/>
                            <w:rPr>
                              <w:rStyle w:val="37"/>
                              <w:rFonts w:ascii="宋体" w:hAnsi="宋体"/>
                              <w:sz w:val="28"/>
                              <w:szCs w:val="28"/>
                            </w:rPr>
                          </w:pPr>
                          <w:r>
                            <w:rPr>
                              <w:rStyle w:val="37"/>
                              <w:rFonts w:hint="eastAsia" w:ascii="宋体" w:hAnsi="宋体"/>
                              <w:sz w:val="28"/>
                              <w:szCs w:val="28"/>
                            </w:rPr>
                            <w:t>—</w:t>
                          </w:r>
                          <w:r>
                            <w:rPr>
                              <w:rStyle w:val="37"/>
                              <w:rFonts w:hint="eastAsia" w:ascii="宋体" w:hAnsi="宋体"/>
                              <w:sz w:val="20"/>
                            </w:rPr>
                            <w:t xml:space="preserve">  </w:t>
                          </w:r>
                          <w:r>
                            <w:rPr>
                              <w:rFonts w:ascii="宋体" w:hAnsi="宋体"/>
                              <w:sz w:val="26"/>
                              <w:szCs w:val="26"/>
                            </w:rPr>
                            <w:fldChar w:fldCharType="begin"/>
                          </w:r>
                          <w:r>
                            <w:rPr>
                              <w:rStyle w:val="37"/>
                              <w:rFonts w:ascii="宋体" w:hAnsi="宋体"/>
                              <w:sz w:val="26"/>
                              <w:szCs w:val="26"/>
                            </w:rPr>
                            <w:instrText xml:space="preserve">PAGE  </w:instrText>
                          </w:r>
                          <w:r>
                            <w:rPr>
                              <w:rFonts w:ascii="宋体" w:hAnsi="宋体"/>
                              <w:sz w:val="26"/>
                              <w:szCs w:val="26"/>
                            </w:rPr>
                            <w:fldChar w:fldCharType="separate"/>
                          </w:r>
                          <w:r>
                            <w:rPr>
                              <w:rStyle w:val="37"/>
                              <w:rFonts w:ascii="宋体" w:hAnsi="宋体"/>
                              <w:sz w:val="26"/>
                              <w:szCs w:val="26"/>
                            </w:rPr>
                            <w:t>9</w:t>
                          </w:r>
                          <w:r>
                            <w:rPr>
                              <w:rFonts w:ascii="宋体" w:hAnsi="宋体"/>
                              <w:sz w:val="26"/>
                              <w:szCs w:val="26"/>
                            </w:rPr>
                            <w:fldChar w:fldCharType="end"/>
                          </w:r>
                          <w:r>
                            <w:rPr>
                              <w:rStyle w:val="37"/>
                              <w:rFonts w:hint="eastAsia" w:ascii="宋体" w:hAnsi="宋体"/>
                              <w:sz w:val="20"/>
                            </w:rPr>
                            <w:t xml:space="preserve">  </w:t>
                          </w:r>
                          <w:r>
                            <w:rPr>
                              <w:rStyle w:val="37"/>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1"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GA5R1ndAQAAvwMAAA4AAAAAAAAA&#10;AQAgAAAAHgEAAGRycy9lMm9Eb2MueG1sUEsFBgAAAAAGAAYAWQEAAG0FAAAAAA==&#10;">
              <v:fill on="f" focussize="0,0"/>
              <v:stroke on="f"/>
              <v:imagedata o:title=""/>
              <o:lock v:ext="edit" aspectratio="f"/>
              <v:textbox inset="0mm,0mm,0mm,0mm" style="mso-fit-shape-to-text:t;">
                <w:txbxContent>
                  <w:p>
                    <w:pPr>
                      <w:pStyle w:val="25"/>
                      <w:rPr>
                        <w:rStyle w:val="37"/>
                        <w:rFonts w:ascii="宋体" w:hAnsi="宋体"/>
                        <w:sz w:val="28"/>
                        <w:szCs w:val="28"/>
                      </w:rPr>
                    </w:pPr>
                    <w:r>
                      <w:rPr>
                        <w:rStyle w:val="37"/>
                        <w:rFonts w:hint="eastAsia" w:ascii="宋体" w:hAnsi="宋体"/>
                        <w:sz w:val="28"/>
                        <w:szCs w:val="28"/>
                      </w:rPr>
                      <w:t>—</w:t>
                    </w:r>
                    <w:r>
                      <w:rPr>
                        <w:rStyle w:val="37"/>
                        <w:rFonts w:hint="eastAsia" w:ascii="宋体" w:hAnsi="宋体"/>
                        <w:sz w:val="20"/>
                      </w:rPr>
                      <w:t xml:space="preserve">  </w:t>
                    </w:r>
                    <w:r>
                      <w:rPr>
                        <w:rFonts w:ascii="宋体" w:hAnsi="宋体"/>
                        <w:sz w:val="26"/>
                        <w:szCs w:val="26"/>
                      </w:rPr>
                      <w:fldChar w:fldCharType="begin"/>
                    </w:r>
                    <w:r>
                      <w:rPr>
                        <w:rStyle w:val="37"/>
                        <w:rFonts w:ascii="宋体" w:hAnsi="宋体"/>
                        <w:sz w:val="26"/>
                        <w:szCs w:val="26"/>
                      </w:rPr>
                      <w:instrText xml:space="preserve">PAGE  </w:instrText>
                    </w:r>
                    <w:r>
                      <w:rPr>
                        <w:rFonts w:ascii="宋体" w:hAnsi="宋体"/>
                        <w:sz w:val="26"/>
                        <w:szCs w:val="26"/>
                      </w:rPr>
                      <w:fldChar w:fldCharType="separate"/>
                    </w:r>
                    <w:r>
                      <w:rPr>
                        <w:rStyle w:val="37"/>
                        <w:rFonts w:ascii="宋体" w:hAnsi="宋体"/>
                        <w:sz w:val="26"/>
                        <w:szCs w:val="26"/>
                      </w:rPr>
                      <w:t>9</w:t>
                    </w:r>
                    <w:r>
                      <w:rPr>
                        <w:rFonts w:ascii="宋体" w:hAnsi="宋体"/>
                        <w:sz w:val="26"/>
                        <w:szCs w:val="26"/>
                      </w:rPr>
                      <w:fldChar w:fldCharType="end"/>
                    </w:r>
                    <w:r>
                      <w:rPr>
                        <w:rStyle w:val="37"/>
                        <w:rFonts w:hint="eastAsia" w:ascii="宋体" w:hAnsi="宋体"/>
                        <w:sz w:val="20"/>
                      </w:rPr>
                      <w:t xml:space="preserve">  </w:t>
                    </w:r>
                    <w:r>
                      <w:rPr>
                        <w:rStyle w:val="37"/>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819"/>
        <w:tab w:val="right" w:pos="9071"/>
      </w:tabs>
      <w:snapToGrid w:val="0"/>
      <w:jc w:val="center"/>
      <w:rPr>
        <w:rFonts w:hint="eastAsia" w:ascii="Times New Roman" w:hAnsi="Times New Roman" w:eastAsia="宋体" w:cs="Times New Roman"/>
        <w:kern w:val="2"/>
        <w:sz w:val="18"/>
        <w:lang w:val="en-US" w:eastAsia="zh-CN" w:bidi="ar-S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widowControl w:val="0"/>
                            <w:tabs>
                              <w:tab w:val="center" w:pos="4819"/>
                              <w:tab w:val="right" w:pos="9071"/>
                            </w:tabs>
                            <w:snapToGrid w:val="0"/>
                            <w:jc w:val="center"/>
                          </w:pPr>
                          <w:r>
                            <w:rPr>
                              <w:rFonts w:ascii="Times New Roman" w:hAnsi="Times New Roman" w:eastAsia="宋体" w:cs="Times New Roman"/>
                              <w:kern w:val="2"/>
                              <w:sz w:val="18"/>
                              <w:lang w:val="en-US" w:eastAsia="zh-CN" w:bidi="ar-SA"/>
                            </w:rPr>
                            <w:fldChar w:fldCharType="begin"/>
                          </w:r>
                          <w:r>
                            <w:rPr>
                              <w:rStyle w:val="37"/>
                              <w:rFonts w:ascii="Times New Roman" w:hAnsi="Times New Roman" w:eastAsia="宋体" w:cs="Times New Roman"/>
                              <w:kern w:val="2"/>
                              <w:sz w:val="18"/>
                              <w:lang w:val="en-US" w:eastAsia="zh-CN" w:bidi="ar-SA"/>
                            </w:rPr>
                            <w:instrText xml:space="preserve"> PAGE </w:instrText>
                          </w:r>
                          <w:r>
                            <w:rPr>
                              <w:rFonts w:ascii="Times New Roman" w:hAnsi="Times New Roman" w:eastAsia="宋体" w:cs="Times New Roman"/>
                              <w:kern w:val="2"/>
                              <w:sz w:val="18"/>
                              <w:lang w:val="en-US" w:eastAsia="zh-CN" w:bidi="ar-SA"/>
                            </w:rPr>
                            <w:fldChar w:fldCharType="separate"/>
                          </w:r>
                          <w:r>
                            <w:rPr>
                              <w:rStyle w:val="37"/>
                              <w:rFonts w:ascii="Times New Roman" w:hAnsi="Times New Roman" w:eastAsia="宋体" w:cs="Times New Roman"/>
                              <w:kern w:val="2"/>
                              <w:sz w:val="18"/>
                              <w:lang w:val="en-US" w:eastAsia="zh-CN" w:bidi="ar-SA"/>
                            </w:rPr>
                            <w:t>20</w:t>
                          </w:r>
                          <w:r>
                            <w:rPr>
                              <w:rFonts w:ascii="Times New Roman" w:hAnsi="Times New Roman" w:eastAsia="宋体" w:cs="Times New Roman"/>
                              <w:kern w:val="2"/>
                              <w:sz w:val="18"/>
                              <w:lang w:val="en-US" w:eastAsia="zh-CN" w:bidi="ar-S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Gb4soBAACdAwAADgAAAGRycy9lMm9Eb2MueG1srVPNjtMwEL4j8Q6W&#10;79Rpk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pt6Or1khLHLY788v3b5cevy8+v&#10;JDtRoj5AjZkPAXPTcOcHXJzZD+jMzAcVbf4iJ4JxFPh8FVgOiYj8aL1arysMCYzNF8Rnj89DhPRW&#10;ekuy0dCIEyzC8tN7SGPqnJKrOX+vjSlTNO4vB2JmD8u9jz1mKw37YSK09+0Z+fQ4/IY63HVKzDuH&#10;2uY9mY04G/vZOIaoD11ZpFwPwu0xYROlt1xhhJ0K49QKu2nD8lr8eS9Zj3/V9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d/Gb4soBAACdAwAADgAAAAAAAAABACAAAAAeAQAAZHJzL2Uyb0Rv&#10;Yy54bWxQSwUGAAAAAAYABgBZAQAAWgUAAAAA&#10;">
              <v:fill on="f" focussize="0,0"/>
              <v:stroke on="f"/>
              <v:imagedata o:title=""/>
              <o:lock v:ext="edit" aspectratio="f"/>
              <v:textbox inset="0mm,0mm,0mm,0mm" style="mso-fit-shape-to-text:t;">
                <w:txbxContent>
                  <w:p>
                    <w:pPr>
                      <w:widowControl w:val="0"/>
                      <w:tabs>
                        <w:tab w:val="center" w:pos="4819"/>
                        <w:tab w:val="right" w:pos="9071"/>
                      </w:tabs>
                      <w:snapToGrid w:val="0"/>
                      <w:jc w:val="center"/>
                    </w:pPr>
                    <w:r>
                      <w:rPr>
                        <w:rFonts w:ascii="Times New Roman" w:hAnsi="Times New Roman" w:eastAsia="宋体" w:cs="Times New Roman"/>
                        <w:kern w:val="2"/>
                        <w:sz w:val="18"/>
                        <w:lang w:val="en-US" w:eastAsia="zh-CN" w:bidi="ar-SA"/>
                      </w:rPr>
                      <w:fldChar w:fldCharType="begin"/>
                    </w:r>
                    <w:r>
                      <w:rPr>
                        <w:rStyle w:val="37"/>
                        <w:rFonts w:ascii="Times New Roman" w:hAnsi="Times New Roman" w:eastAsia="宋体" w:cs="Times New Roman"/>
                        <w:kern w:val="2"/>
                        <w:sz w:val="18"/>
                        <w:lang w:val="en-US" w:eastAsia="zh-CN" w:bidi="ar-SA"/>
                      </w:rPr>
                      <w:instrText xml:space="preserve"> PAGE </w:instrText>
                    </w:r>
                    <w:r>
                      <w:rPr>
                        <w:rFonts w:ascii="Times New Roman" w:hAnsi="Times New Roman" w:eastAsia="宋体" w:cs="Times New Roman"/>
                        <w:kern w:val="2"/>
                        <w:sz w:val="18"/>
                        <w:lang w:val="en-US" w:eastAsia="zh-CN" w:bidi="ar-SA"/>
                      </w:rPr>
                      <w:fldChar w:fldCharType="separate"/>
                    </w:r>
                    <w:r>
                      <w:rPr>
                        <w:rStyle w:val="37"/>
                        <w:rFonts w:ascii="Times New Roman" w:hAnsi="Times New Roman" w:eastAsia="宋体" w:cs="Times New Roman"/>
                        <w:kern w:val="2"/>
                        <w:sz w:val="18"/>
                        <w:lang w:val="en-US" w:eastAsia="zh-CN" w:bidi="ar-SA"/>
                      </w:rPr>
                      <w:t>20</w:t>
                    </w:r>
                    <w:r>
                      <w:rPr>
                        <w:rFonts w:ascii="Times New Roman" w:hAnsi="Times New Roman" w:eastAsia="宋体" w:cs="Times New Roman"/>
                        <w:kern w:val="2"/>
                        <w:sz w:val="18"/>
                        <w:lang w:val="en-US" w:eastAsia="zh-CN" w:bidi="ar-S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620"/>
        <w:tab w:val="left" w:pos="2700"/>
      </w:tabs>
      <w:adjustRightInd w:val="0"/>
      <w:snapToGrid w:val="0"/>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4D26AE"/>
    <w:multiLevelType w:val="singleLevel"/>
    <w:tmpl w:val="BF4D26AE"/>
    <w:lvl w:ilvl="0" w:tentative="0">
      <w:start w:val="7"/>
      <w:numFmt w:val="decimal"/>
      <w:suff w:val="nothing"/>
      <w:lvlText w:val="（%1）"/>
      <w:lvlJc w:val="left"/>
    </w:lvl>
  </w:abstractNum>
  <w:abstractNum w:abstractNumId="1">
    <w:nsid w:val="F717444D"/>
    <w:multiLevelType w:val="multilevel"/>
    <w:tmpl w:val="F717444D"/>
    <w:lvl w:ilvl="0" w:tentative="0">
      <w:start w:val="1"/>
      <w:numFmt w:val="chineseCountingThousand"/>
      <w:suff w:val="space"/>
      <w:lvlText w:val="%1、"/>
      <w:lvlJc w:val="left"/>
      <w:pPr>
        <w:tabs>
          <w:tab w:val="left" w:pos="0"/>
        </w:tabs>
        <w:ind w:left="0" w:firstLine="0"/>
      </w:pPr>
      <w:rPr>
        <w:rFonts w:hint="eastAsia" w:ascii="Times New Roman" w:hAnsi="Times New Roman" w:cs="Times New Roman"/>
        <w:b/>
        <w:bCs/>
        <w:i w:val="0"/>
        <w:iCs w:val="0"/>
        <w:caps w:val="0"/>
        <w:smallCaps w:val="0"/>
        <w:strike w:val="0"/>
        <w:dstrike w:val="0"/>
        <w:vanish w:val="0"/>
        <w:spacing w:val="0"/>
        <w:kern w:val="0"/>
        <w:position w:val="0"/>
        <w:u w:val="none"/>
        <w:vertAlign w:val="baseline"/>
      </w:rPr>
    </w:lvl>
    <w:lvl w:ilvl="1" w:tentative="0">
      <w:start w:val="1"/>
      <w:numFmt w:val="decimal"/>
      <w:isLgl/>
      <w:suff w:val="space"/>
      <w:lvlText w:val="%1.%2"/>
      <w:lvlJc w:val="left"/>
      <w:pPr>
        <w:ind w:left="0" w:firstLine="0"/>
      </w:pPr>
      <w:rPr>
        <w:rFonts w:hint="eastAsia" w:cs="Times New Roman"/>
        <w:b/>
        <w:bCs w:val="0"/>
        <w:i w:val="0"/>
        <w:iCs w:val="0"/>
        <w:caps w:val="0"/>
        <w:smallCaps w:val="0"/>
        <w:strike w:val="0"/>
        <w:dstrike w:val="0"/>
        <w:vanish w:val="0"/>
        <w:spacing w:val="0"/>
        <w:kern w:val="0"/>
        <w:position w:val="0"/>
        <w:u w:val="none"/>
        <w:vertAlign w:val="baseline"/>
      </w:rPr>
    </w:lvl>
    <w:lvl w:ilvl="2" w:tentative="0">
      <w:start w:val="1"/>
      <w:numFmt w:val="decimal"/>
      <w:pStyle w:val="131"/>
      <w:isLgl/>
      <w:suff w:val="space"/>
      <w:lvlText w:val="%1.%2.%3"/>
      <w:lvlJc w:val="left"/>
      <w:pPr>
        <w:ind w:left="0" w:firstLine="0"/>
      </w:pPr>
      <w:rPr>
        <w:rFonts w:hint="eastAsia" w:ascii="Times New Roman" w:hAnsi="Times New Roman" w:cs="Times New Roman"/>
        <w:b/>
        <w:bCs w:val="0"/>
        <w:i w:val="0"/>
        <w:iCs w:val="0"/>
        <w:caps w:val="0"/>
        <w:smallCaps w:val="0"/>
        <w:strike w:val="0"/>
        <w:dstrike w:val="0"/>
        <w:vanish w:val="0"/>
        <w:spacing w:val="0"/>
        <w:kern w:val="0"/>
        <w:position w:val="0"/>
        <w:u w:val="none"/>
        <w:vertAlign w:val="baseline"/>
      </w:rPr>
    </w:lvl>
    <w:lvl w:ilvl="3" w:tentative="0">
      <w:start w:val="1"/>
      <w:numFmt w:val="decimal"/>
      <w:isLgl/>
      <w:suff w:val="space"/>
      <w:lvlText w:val="%1.%2.%3.%4"/>
      <w:lvlJc w:val="left"/>
      <w:pPr>
        <w:tabs>
          <w:tab w:val="left" w:pos="0"/>
        </w:tabs>
        <w:ind w:left="0" w:firstLine="0"/>
      </w:pPr>
      <w:rPr>
        <w:rFonts w:hint="eastAsia" w:cs="Times New Roman"/>
        <w:b/>
        <w:bCs w:val="0"/>
        <w:i w:val="0"/>
        <w:iCs w:val="0"/>
        <w:caps w:val="0"/>
        <w:smallCaps w:val="0"/>
        <w:strike w:val="0"/>
        <w:dstrike w:val="0"/>
        <w:vanish w:val="0"/>
        <w:spacing w:val="0"/>
        <w:kern w:val="0"/>
        <w:position w:val="0"/>
        <w:u w:val="none"/>
        <w:vertAlign w:val="baseline"/>
      </w:rPr>
    </w:lvl>
    <w:lvl w:ilvl="4" w:tentative="0">
      <w:start w:val="1"/>
      <w:numFmt w:val="decimal"/>
      <w:lvlText w:val="%1.%2.%3.%4.%5."/>
      <w:lvlJc w:val="left"/>
      <w:pPr>
        <w:tabs>
          <w:tab w:val="left" w:pos="5937"/>
        </w:tabs>
        <w:ind w:left="0" w:firstLine="0"/>
      </w:pPr>
      <w:rPr>
        <w:rFonts w:hint="eastAsia"/>
      </w:rPr>
    </w:lvl>
    <w:lvl w:ilvl="5" w:tentative="0">
      <w:start w:val="1"/>
      <w:numFmt w:val="decimal"/>
      <w:lvlRestart w:val="2"/>
      <w:isLgl/>
      <w:suff w:val="space"/>
      <w:lvlText w:val="表%1.%2.%6"/>
      <w:lvlJc w:val="left"/>
      <w:pPr>
        <w:tabs>
          <w:tab w:val="left" w:pos="0"/>
        </w:tabs>
        <w:ind w:left="0" w:firstLine="0"/>
      </w:pPr>
      <w:rPr>
        <w:rFonts w:hint="eastAsia" w:ascii="Times New Roman" w:hAnsi="Times New Roman" w:eastAsia="宋体" w:cs="宋体"/>
        <w:b/>
        <w:bCs w:val="0"/>
        <w:i w:val="0"/>
        <w:iCs w:val="0"/>
        <w:caps w:val="0"/>
        <w:smallCaps w:val="0"/>
        <w:strike w:val="0"/>
        <w:dstrike w:val="0"/>
        <w:vanish w:val="0"/>
        <w:spacing w:val="0"/>
        <w:kern w:val="0"/>
        <w:position w:val="0"/>
        <w:u w:val="none"/>
        <w:vertAlign w:val="baseline"/>
      </w:rPr>
    </w:lvl>
    <w:lvl w:ilvl="6" w:tentative="0">
      <w:start w:val="1"/>
      <w:numFmt w:val="decimal"/>
      <w:lvlRestart w:val="2"/>
      <w:isLgl/>
      <w:suff w:val="space"/>
      <w:lvlText w:val="图%1.%2-%7"/>
      <w:lvlJc w:val="left"/>
      <w:pPr>
        <w:tabs>
          <w:tab w:val="left" w:pos="0"/>
        </w:tabs>
        <w:ind w:left="0" w:firstLine="0"/>
      </w:pPr>
      <w:rPr>
        <w:rFonts w:hint="eastAsia"/>
      </w:rPr>
    </w:lvl>
    <w:lvl w:ilvl="7" w:tentative="0">
      <w:start w:val="1"/>
      <w:numFmt w:val="decimal"/>
      <w:lvlRestart w:val="5"/>
      <w:isLgl/>
      <w:suff w:val="space"/>
      <w:lvlText w:val="%1.%2.%3.%4.%8"/>
      <w:lvlJc w:val="left"/>
      <w:pPr>
        <w:tabs>
          <w:tab w:val="left" w:pos="0"/>
        </w:tabs>
        <w:ind w:left="0" w:firstLine="0"/>
      </w:pPr>
      <w:rPr>
        <w:rFonts w:hint="eastAsia"/>
      </w:rPr>
    </w:lvl>
    <w:lvl w:ilvl="8" w:tentative="0">
      <w:start w:val="1"/>
      <w:numFmt w:val="decimal"/>
      <w:lvlText w:val="%1.%2.%3.%4.%5.%6.%7.%8.%9."/>
      <w:lvlJc w:val="left"/>
      <w:pPr>
        <w:tabs>
          <w:tab w:val="left" w:pos="5937"/>
        </w:tabs>
        <w:ind w:left="0" w:firstLine="0"/>
      </w:pPr>
      <w:rPr>
        <w:rFonts w:hint="eastAsia"/>
      </w:rPr>
    </w:lvl>
  </w:abstractNum>
  <w:abstractNum w:abstractNumId="2">
    <w:nsid w:val="20FE6395"/>
    <w:multiLevelType w:val="singleLevel"/>
    <w:tmpl w:val="20FE6395"/>
    <w:lvl w:ilvl="0" w:tentative="0">
      <w:start w:val="2"/>
      <w:numFmt w:val="decimal"/>
      <w:suff w:val="nothing"/>
      <w:lvlText w:val="%1、"/>
      <w:lvlJc w:val="left"/>
    </w:lvl>
  </w:abstractNum>
  <w:abstractNum w:abstractNumId="3">
    <w:nsid w:val="2AFA7686"/>
    <w:multiLevelType w:val="singleLevel"/>
    <w:tmpl w:val="2AFA7686"/>
    <w:lvl w:ilvl="0" w:tentative="0">
      <w:start w:val="2"/>
      <w:numFmt w:val="decimal"/>
      <w:suff w:val="nothing"/>
      <w:lvlText w:val="（%1）"/>
      <w:lvlJc w:val="left"/>
    </w:lvl>
  </w:abstractNum>
  <w:abstractNum w:abstractNumId="4">
    <w:nsid w:val="6A33483D"/>
    <w:multiLevelType w:val="singleLevel"/>
    <w:tmpl w:val="6A33483D"/>
    <w:lvl w:ilvl="0" w:tentative="0">
      <w:start w:val="3"/>
      <w:numFmt w:val="decimal"/>
      <w:suff w:val="nothing"/>
      <w:lvlText w:val="（%1）"/>
      <w:lvlJc w:val="left"/>
    </w:lvl>
  </w:abstractNum>
  <w:abstractNum w:abstractNumId="5">
    <w:nsid w:val="75A59336"/>
    <w:multiLevelType w:val="singleLevel"/>
    <w:tmpl w:val="75A59336"/>
    <w:lvl w:ilvl="0" w:tentative="0">
      <w:start w:val="5"/>
      <w:numFmt w:val="chineseCounting"/>
      <w:suff w:val="nothing"/>
      <w:lvlText w:val="%1、"/>
      <w:lvlJc w:val="left"/>
      <w:pPr>
        <w:ind w:left="420"/>
      </w:pPr>
      <w:rPr>
        <w:rFonts w:hint="eastAsia"/>
      </w:rPr>
    </w:lvl>
  </w:abstractNum>
  <w:num w:numId="1">
    <w:abstractNumId w:val="1"/>
  </w:num>
  <w:num w:numId="2">
    <w:abstractNumId w:val="4"/>
  </w:num>
  <w:num w:numId="3">
    <w:abstractNumId w:val="2"/>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trackedChanges" w:enforcement="0"/>
  <w:defaultTabStop w:val="420"/>
  <w:hyphenationZone w:val="360"/>
  <w:doNotHyphenateCaps/>
  <w:drawingGridVerticalSpacing w:val="159"/>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Q1YWY4MDlkNmU5ZjdhNTRlNTUyMmRiMGRmZmNmNzQifQ=="/>
  </w:docVars>
  <w:rsids>
    <w:rsidRoot w:val="00172A27"/>
    <w:rsid w:val="000060B3"/>
    <w:rsid w:val="00010688"/>
    <w:rsid w:val="00033114"/>
    <w:rsid w:val="0004364B"/>
    <w:rsid w:val="00061B1F"/>
    <w:rsid w:val="000733C4"/>
    <w:rsid w:val="00074783"/>
    <w:rsid w:val="0008070B"/>
    <w:rsid w:val="000810AC"/>
    <w:rsid w:val="00081A02"/>
    <w:rsid w:val="00082231"/>
    <w:rsid w:val="00092D38"/>
    <w:rsid w:val="0009377B"/>
    <w:rsid w:val="000A20C9"/>
    <w:rsid w:val="000A37C6"/>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5351"/>
    <w:rsid w:val="00157435"/>
    <w:rsid w:val="0016742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8474D"/>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5B04"/>
    <w:rsid w:val="00756556"/>
    <w:rsid w:val="007618C4"/>
    <w:rsid w:val="00767980"/>
    <w:rsid w:val="00770B19"/>
    <w:rsid w:val="00771B68"/>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224FE"/>
    <w:rsid w:val="0093037A"/>
    <w:rsid w:val="0094154D"/>
    <w:rsid w:val="0095155F"/>
    <w:rsid w:val="00952EF9"/>
    <w:rsid w:val="00954429"/>
    <w:rsid w:val="009563CE"/>
    <w:rsid w:val="00976328"/>
    <w:rsid w:val="0097680D"/>
    <w:rsid w:val="00982438"/>
    <w:rsid w:val="0098404C"/>
    <w:rsid w:val="00985283"/>
    <w:rsid w:val="009947D5"/>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3541B"/>
    <w:rsid w:val="00B53B5D"/>
    <w:rsid w:val="00B6055E"/>
    <w:rsid w:val="00B6317D"/>
    <w:rsid w:val="00B749B0"/>
    <w:rsid w:val="00B7723F"/>
    <w:rsid w:val="00B80534"/>
    <w:rsid w:val="00B8433C"/>
    <w:rsid w:val="00B87491"/>
    <w:rsid w:val="00BA29E9"/>
    <w:rsid w:val="00BA7142"/>
    <w:rsid w:val="00BB237C"/>
    <w:rsid w:val="00BB41A3"/>
    <w:rsid w:val="00BC32DC"/>
    <w:rsid w:val="00BC35B6"/>
    <w:rsid w:val="00BD03D1"/>
    <w:rsid w:val="00BD1B51"/>
    <w:rsid w:val="00BD4596"/>
    <w:rsid w:val="00BD4E40"/>
    <w:rsid w:val="00BE1405"/>
    <w:rsid w:val="00BE312D"/>
    <w:rsid w:val="00BF1C20"/>
    <w:rsid w:val="00C10578"/>
    <w:rsid w:val="00C135BC"/>
    <w:rsid w:val="00C15C95"/>
    <w:rsid w:val="00C24ADC"/>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34127"/>
    <w:rsid w:val="00E35DB1"/>
    <w:rsid w:val="00E412D0"/>
    <w:rsid w:val="00E56322"/>
    <w:rsid w:val="00E60982"/>
    <w:rsid w:val="00E62C62"/>
    <w:rsid w:val="00E65276"/>
    <w:rsid w:val="00E654C1"/>
    <w:rsid w:val="00E65D97"/>
    <w:rsid w:val="00E72A5A"/>
    <w:rsid w:val="00E73354"/>
    <w:rsid w:val="00E9242D"/>
    <w:rsid w:val="00EB5255"/>
    <w:rsid w:val="00EB5C47"/>
    <w:rsid w:val="00ED0639"/>
    <w:rsid w:val="00EE1125"/>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0D07D0"/>
    <w:rsid w:val="01117704"/>
    <w:rsid w:val="01290F7E"/>
    <w:rsid w:val="013043C8"/>
    <w:rsid w:val="015D1E09"/>
    <w:rsid w:val="0163394B"/>
    <w:rsid w:val="016B0D8A"/>
    <w:rsid w:val="016E2E7C"/>
    <w:rsid w:val="0187799C"/>
    <w:rsid w:val="018C33F1"/>
    <w:rsid w:val="01AE2C48"/>
    <w:rsid w:val="01DB5BA8"/>
    <w:rsid w:val="01F208A9"/>
    <w:rsid w:val="020115C2"/>
    <w:rsid w:val="02032E51"/>
    <w:rsid w:val="020C008E"/>
    <w:rsid w:val="021A1A58"/>
    <w:rsid w:val="02433A8A"/>
    <w:rsid w:val="024E5EFD"/>
    <w:rsid w:val="02541D7F"/>
    <w:rsid w:val="02632A98"/>
    <w:rsid w:val="02697903"/>
    <w:rsid w:val="027847DD"/>
    <w:rsid w:val="027C4310"/>
    <w:rsid w:val="028C11CF"/>
    <w:rsid w:val="02924A37"/>
    <w:rsid w:val="02B56978"/>
    <w:rsid w:val="02C24BF1"/>
    <w:rsid w:val="02D93548"/>
    <w:rsid w:val="02F84EBF"/>
    <w:rsid w:val="02F96569"/>
    <w:rsid w:val="03040376"/>
    <w:rsid w:val="03114DE5"/>
    <w:rsid w:val="031A4A2D"/>
    <w:rsid w:val="034B4BE6"/>
    <w:rsid w:val="034F2928"/>
    <w:rsid w:val="03525F75"/>
    <w:rsid w:val="03560ED5"/>
    <w:rsid w:val="03621E94"/>
    <w:rsid w:val="036A47AC"/>
    <w:rsid w:val="037C150B"/>
    <w:rsid w:val="039C7C14"/>
    <w:rsid w:val="03BE360A"/>
    <w:rsid w:val="03D3439C"/>
    <w:rsid w:val="03DB1FBA"/>
    <w:rsid w:val="03EA7B21"/>
    <w:rsid w:val="03F57F0D"/>
    <w:rsid w:val="0402341B"/>
    <w:rsid w:val="041C2A2F"/>
    <w:rsid w:val="045C354F"/>
    <w:rsid w:val="04733962"/>
    <w:rsid w:val="0485337A"/>
    <w:rsid w:val="04A065B5"/>
    <w:rsid w:val="04AF30C8"/>
    <w:rsid w:val="04D74983"/>
    <w:rsid w:val="04FC43EA"/>
    <w:rsid w:val="052223E3"/>
    <w:rsid w:val="053022E6"/>
    <w:rsid w:val="055147E4"/>
    <w:rsid w:val="05613043"/>
    <w:rsid w:val="05670D5F"/>
    <w:rsid w:val="056F1906"/>
    <w:rsid w:val="058168F1"/>
    <w:rsid w:val="05A854B3"/>
    <w:rsid w:val="05AE3127"/>
    <w:rsid w:val="05B55125"/>
    <w:rsid w:val="05C50C80"/>
    <w:rsid w:val="05C70041"/>
    <w:rsid w:val="05CC5A30"/>
    <w:rsid w:val="05F83EAE"/>
    <w:rsid w:val="06313F67"/>
    <w:rsid w:val="063E7D85"/>
    <w:rsid w:val="064A65D6"/>
    <w:rsid w:val="067601CC"/>
    <w:rsid w:val="067B1C86"/>
    <w:rsid w:val="06853351"/>
    <w:rsid w:val="069B5E85"/>
    <w:rsid w:val="069B75C0"/>
    <w:rsid w:val="069E2BF8"/>
    <w:rsid w:val="06B7642C"/>
    <w:rsid w:val="06C22F56"/>
    <w:rsid w:val="06C53A8A"/>
    <w:rsid w:val="06E4488E"/>
    <w:rsid w:val="070E2AFA"/>
    <w:rsid w:val="07293586"/>
    <w:rsid w:val="07295285"/>
    <w:rsid w:val="072B7208"/>
    <w:rsid w:val="072F3E4B"/>
    <w:rsid w:val="0743184B"/>
    <w:rsid w:val="07636392"/>
    <w:rsid w:val="07770C56"/>
    <w:rsid w:val="077732B4"/>
    <w:rsid w:val="0790350F"/>
    <w:rsid w:val="07A70B46"/>
    <w:rsid w:val="07B21A14"/>
    <w:rsid w:val="07B77D0E"/>
    <w:rsid w:val="07D06EA7"/>
    <w:rsid w:val="07D1009C"/>
    <w:rsid w:val="080A7DE9"/>
    <w:rsid w:val="080B7C12"/>
    <w:rsid w:val="080C248D"/>
    <w:rsid w:val="08163A15"/>
    <w:rsid w:val="08447DCB"/>
    <w:rsid w:val="0849203C"/>
    <w:rsid w:val="08711613"/>
    <w:rsid w:val="08790316"/>
    <w:rsid w:val="08A033DC"/>
    <w:rsid w:val="08D02674"/>
    <w:rsid w:val="08D95EA5"/>
    <w:rsid w:val="08DB6CF7"/>
    <w:rsid w:val="08ED4C99"/>
    <w:rsid w:val="09031189"/>
    <w:rsid w:val="091B2601"/>
    <w:rsid w:val="092217DD"/>
    <w:rsid w:val="093A7294"/>
    <w:rsid w:val="094D0970"/>
    <w:rsid w:val="09556B95"/>
    <w:rsid w:val="0962641F"/>
    <w:rsid w:val="09727371"/>
    <w:rsid w:val="09B82894"/>
    <w:rsid w:val="09BB2636"/>
    <w:rsid w:val="09D84367"/>
    <w:rsid w:val="09E3201C"/>
    <w:rsid w:val="09F30871"/>
    <w:rsid w:val="09FD00D0"/>
    <w:rsid w:val="09FD6068"/>
    <w:rsid w:val="09FE4023"/>
    <w:rsid w:val="0A045B92"/>
    <w:rsid w:val="0A054A20"/>
    <w:rsid w:val="0A0A7269"/>
    <w:rsid w:val="0A263993"/>
    <w:rsid w:val="0A270DB3"/>
    <w:rsid w:val="0A2D3AC2"/>
    <w:rsid w:val="0A327DD8"/>
    <w:rsid w:val="0A6A44EC"/>
    <w:rsid w:val="0A772667"/>
    <w:rsid w:val="0A775C69"/>
    <w:rsid w:val="0A992975"/>
    <w:rsid w:val="0AA755DF"/>
    <w:rsid w:val="0AA82B76"/>
    <w:rsid w:val="0AAE43D8"/>
    <w:rsid w:val="0AC41004"/>
    <w:rsid w:val="0ADF1535"/>
    <w:rsid w:val="0AEB6CE0"/>
    <w:rsid w:val="0AEC3153"/>
    <w:rsid w:val="0AED72F3"/>
    <w:rsid w:val="0AFC66AC"/>
    <w:rsid w:val="0B110491"/>
    <w:rsid w:val="0B120D44"/>
    <w:rsid w:val="0B1D50BA"/>
    <w:rsid w:val="0B2224CC"/>
    <w:rsid w:val="0B2F5EE6"/>
    <w:rsid w:val="0B49132B"/>
    <w:rsid w:val="0B5D195B"/>
    <w:rsid w:val="0B606398"/>
    <w:rsid w:val="0BBA103F"/>
    <w:rsid w:val="0BBF6171"/>
    <w:rsid w:val="0BD27BF6"/>
    <w:rsid w:val="0BDF05C2"/>
    <w:rsid w:val="0BE41495"/>
    <w:rsid w:val="0BEB51B8"/>
    <w:rsid w:val="0BFB29C3"/>
    <w:rsid w:val="0BFC1173"/>
    <w:rsid w:val="0C3B3C7D"/>
    <w:rsid w:val="0C4548C9"/>
    <w:rsid w:val="0C596848"/>
    <w:rsid w:val="0C607954"/>
    <w:rsid w:val="0C623A91"/>
    <w:rsid w:val="0C732932"/>
    <w:rsid w:val="0C8353F1"/>
    <w:rsid w:val="0CA12EB0"/>
    <w:rsid w:val="0CAB2EAE"/>
    <w:rsid w:val="0CB836C3"/>
    <w:rsid w:val="0CBA6E7A"/>
    <w:rsid w:val="0CD30D1B"/>
    <w:rsid w:val="0CFE2CC9"/>
    <w:rsid w:val="0CFF2B0B"/>
    <w:rsid w:val="0D1129FD"/>
    <w:rsid w:val="0D254ABF"/>
    <w:rsid w:val="0D5557C9"/>
    <w:rsid w:val="0D621C7D"/>
    <w:rsid w:val="0D631FD6"/>
    <w:rsid w:val="0D6772F9"/>
    <w:rsid w:val="0D6B751E"/>
    <w:rsid w:val="0DAB059D"/>
    <w:rsid w:val="0DB30B32"/>
    <w:rsid w:val="0DE52213"/>
    <w:rsid w:val="0E0008E0"/>
    <w:rsid w:val="0E261FB1"/>
    <w:rsid w:val="0E29112F"/>
    <w:rsid w:val="0E2C7D47"/>
    <w:rsid w:val="0E40173F"/>
    <w:rsid w:val="0E4E3B4E"/>
    <w:rsid w:val="0E534BB8"/>
    <w:rsid w:val="0E576A95"/>
    <w:rsid w:val="0E655438"/>
    <w:rsid w:val="0E665AD1"/>
    <w:rsid w:val="0E6A6D3A"/>
    <w:rsid w:val="0E6F3E7F"/>
    <w:rsid w:val="0E6F7EA7"/>
    <w:rsid w:val="0E73034D"/>
    <w:rsid w:val="0E853E8C"/>
    <w:rsid w:val="0E8D2557"/>
    <w:rsid w:val="0EAA197E"/>
    <w:rsid w:val="0EBB3B59"/>
    <w:rsid w:val="0ED420B8"/>
    <w:rsid w:val="0EFB30EE"/>
    <w:rsid w:val="0EFB4EBD"/>
    <w:rsid w:val="0EFC64F9"/>
    <w:rsid w:val="0EFC66A9"/>
    <w:rsid w:val="0F13775A"/>
    <w:rsid w:val="0F34534D"/>
    <w:rsid w:val="0F4404B1"/>
    <w:rsid w:val="0F5F45FE"/>
    <w:rsid w:val="0F735BF1"/>
    <w:rsid w:val="0F7E074E"/>
    <w:rsid w:val="0F9A112B"/>
    <w:rsid w:val="0FB13D5A"/>
    <w:rsid w:val="0FD5184A"/>
    <w:rsid w:val="0FD575B2"/>
    <w:rsid w:val="0FDC7DD6"/>
    <w:rsid w:val="0FE663C2"/>
    <w:rsid w:val="1030559E"/>
    <w:rsid w:val="104B091B"/>
    <w:rsid w:val="106A11A1"/>
    <w:rsid w:val="106D2F64"/>
    <w:rsid w:val="10802373"/>
    <w:rsid w:val="10833C11"/>
    <w:rsid w:val="10850CF3"/>
    <w:rsid w:val="10B63710"/>
    <w:rsid w:val="10B97633"/>
    <w:rsid w:val="10CC1B81"/>
    <w:rsid w:val="10D76379"/>
    <w:rsid w:val="10E001C1"/>
    <w:rsid w:val="10EE5193"/>
    <w:rsid w:val="10F10820"/>
    <w:rsid w:val="10F253BC"/>
    <w:rsid w:val="111C2F7A"/>
    <w:rsid w:val="1120446A"/>
    <w:rsid w:val="11396B7C"/>
    <w:rsid w:val="11443903"/>
    <w:rsid w:val="11485E64"/>
    <w:rsid w:val="115B3035"/>
    <w:rsid w:val="11665CA1"/>
    <w:rsid w:val="11726A10"/>
    <w:rsid w:val="117D3659"/>
    <w:rsid w:val="11A976A8"/>
    <w:rsid w:val="11BA3663"/>
    <w:rsid w:val="11D230A2"/>
    <w:rsid w:val="11D97CB1"/>
    <w:rsid w:val="11EF49D9"/>
    <w:rsid w:val="12153449"/>
    <w:rsid w:val="121C431D"/>
    <w:rsid w:val="122416FE"/>
    <w:rsid w:val="12244F80"/>
    <w:rsid w:val="122A002E"/>
    <w:rsid w:val="126D4B79"/>
    <w:rsid w:val="127777A6"/>
    <w:rsid w:val="1279310B"/>
    <w:rsid w:val="12C34D4B"/>
    <w:rsid w:val="12F157AA"/>
    <w:rsid w:val="13295566"/>
    <w:rsid w:val="133F252C"/>
    <w:rsid w:val="134819FB"/>
    <w:rsid w:val="13566C69"/>
    <w:rsid w:val="138826D5"/>
    <w:rsid w:val="13941A7D"/>
    <w:rsid w:val="13951726"/>
    <w:rsid w:val="139A1F90"/>
    <w:rsid w:val="13B266A8"/>
    <w:rsid w:val="13C22423"/>
    <w:rsid w:val="13D10F59"/>
    <w:rsid w:val="13D80C3C"/>
    <w:rsid w:val="13DC3BA3"/>
    <w:rsid w:val="13E75C47"/>
    <w:rsid w:val="13F76DF0"/>
    <w:rsid w:val="13F93831"/>
    <w:rsid w:val="14083326"/>
    <w:rsid w:val="14101C60"/>
    <w:rsid w:val="141B1371"/>
    <w:rsid w:val="14270D58"/>
    <w:rsid w:val="14352736"/>
    <w:rsid w:val="14396509"/>
    <w:rsid w:val="14535B1A"/>
    <w:rsid w:val="146E4BD8"/>
    <w:rsid w:val="14784CB9"/>
    <w:rsid w:val="148626C6"/>
    <w:rsid w:val="14942891"/>
    <w:rsid w:val="14991B50"/>
    <w:rsid w:val="14A10B0A"/>
    <w:rsid w:val="14A54CFB"/>
    <w:rsid w:val="14AD0EC2"/>
    <w:rsid w:val="14BC1D07"/>
    <w:rsid w:val="14BD4ADE"/>
    <w:rsid w:val="14CB51B8"/>
    <w:rsid w:val="14CF5F08"/>
    <w:rsid w:val="14DD2C3C"/>
    <w:rsid w:val="14E7655D"/>
    <w:rsid w:val="15004C94"/>
    <w:rsid w:val="152D1B5C"/>
    <w:rsid w:val="153817AA"/>
    <w:rsid w:val="15406CD8"/>
    <w:rsid w:val="158D02C2"/>
    <w:rsid w:val="15CE3B81"/>
    <w:rsid w:val="15D87B7C"/>
    <w:rsid w:val="15EA14FE"/>
    <w:rsid w:val="16087E1D"/>
    <w:rsid w:val="16321169"/>
    <w:rsid w:val="163F57FA"/>
    <w:rsid w:val="16521C58"/>
    <w:rsid w:val="165B49C2"/>
    <w:rsid w:val="16876904"/>
    <w:rsid w:val="168B1DAC"/>
    <w:rsid w:val="16A72023"/>
    <w:rsid w:val="16AB736C"/>
    <w:rsid w:val="16B03286"/>
    <w:rsid w:val="16CF7BB0"/>
    <w:rsid w:val="16D43419"/>
    <w:rsid w:val="16D77CAA"/>
    <w:rsid w:val="16D77E0F"/>
    <w:rsid w:val="17190A50"/>
    <w:rsid w:val="17292DA5"/>
    <w:rsid w:val="173611F6"/>
    <w:rsid w:val="176C668F"/>
    <w:rsid w:val="176D5699"/>
    <w:rsid w:val="17701AA7"/>
    <w:rsid w:val="17701D14"/>
    <w:rsid w:val="177176EB"/>
    <w:rsid w:val="17735226"/>
    <w:rsid w:val="178321B2"/>
    <w:rsid w:val="17AB4558"/>
    <w:rsid w:val="17B648CC"/>
    <w:rsid w:val="17CF30D1"/>
    <w:rsid w:val="17D5737F"/>
    <w:rsid w:val="17ED5276"/>
    <w:rsid w:val="1801515E"/>
    <w:rsid w:val="18100499"/>
    <w:rsid w:val="18377797"/>
    <w:rsid w:val="18463EA2"/>
    <w:rsid w:val="184B619C"/>
    <w:rsid w:val="18552BC2"/>
    <w:rsid w:val="185F6D12"/>
    <w:rsid w:val="18610FF3"/>
    <w:rsid w:val="18722EE9"/>
    <w:rsid w:val="18812A66"/>
    <w:rsid w:val="188C062D"/>
    <w:rsid w:val="188D418B"/>
    <w:rsid w:val="189E1105"/>
    <w:rsid w:val="189F624C"/>
    <w:rsid w:val="18D717DF"/>
    <w:rsid w:val="18E942EC"/>
    <w:rsid w:val="19006747"/>
    <w:rsid w:val="19314B52"/>
    <w:rsid w:val="1941164D"/>
    <w:rsid w:val="19472AF2"/>
    <w:rsid w:val="19574C3F"/>
    <w:rsid w:val="19577775"/>
    <w:rsid w:val="196B7938"/>
    <w:rsid w:val="19704F75"/>
    <w:rsid w:val="197459C9"/>
    <w:rsid w:val="198253AE"/>
    <w:rsid w:val="198505BF"/>
    <w:rsid w:val="19A36FCE"/>
    <w:rsid w:val="19A96177"/>
    <w:rsid w:val="19AB4D31"/>
    <w:rsid w:val="19C24385"/>
    <w:rsid w:val="19C61A1B"/>
    <w:rsid w:val="19DB4ABE"/>
    <w:rsid w:val="19EC0A79"/>
    <w:rsid w:val="1A1C6401"/>
    <w:rsid w:val="1A1C66C0"/>
    <w:rsid w:val="1A42393B"/>
    <w:rsid w:val="1A765E77"/>
    <w:rsid w:val="1A770835"/>
    <w:rsid w:val="1A8718BA"/>
    <w:rsid w:val="1AA5305E"/>
    <w:rsid w:val="1AAD45DE"/>
    <w:rsid w:val="1AD9299A"/>
    <w:rsid w:val="1ADB6AEE"/>
    <w:rsid w:val="1B046F80"/>
    <w:rsid w:val="1B0F5899"/>
    <w:rsid w:val="1B1A1111"/>
    <w:rsid w:val="1B294802"/>
    <w:rsid w:val="1B3267B5"/>
    <w:rsid w:val="1B3E5305"/>
    <w:rsid w:val="1B400396"/>
    <w:rsid w:val="1B40161D"/>
    <w:rsid w:val="1B441859"/>
    <w:rsid w:val="1B4D2BD5"/>
    <w:rsid w:val="1B5763C6"/>
    <w:rsid w:val="1B6606B1"/>
    <w:rsid w:val="1B6671DE"/>
    <w:rsid w:val="1B7524B1"/>
    <w:rsid w:val="1B7828A3"/>
    <w:rsid w:val="1B7F4E33"/>
    <w:rsid w:val="1B9E6666"/>
    <w:rsid w:val="1BC23E94"/>
    <w:rsid w:val="1BC757DB"/>
    <w:rsid w:val="1BCB2F91"/>
    <w:rsid w:val="1BDB68AE"/>
    <w:rsid w:val="1BE36748"/>
    <w:rsid w:val="1BF27E9D"/>
    <w:rsid w:val="1BFA15B9"/>
    <w:rsid w:val="1C0D1C26"/>
    <w:rsid w:val="1C24719B"/>
    <w:rsid w:val="1C5361A8"/>
    <w:rsid w:val="1C5E7925"/>
    <w:rsid w:val="1C9A0C60"/>
    <w:rsid w:val="1CA727F1"/>
    <w:rsid w:val="1CC40F96"/>
    <w:rsid w:val="1CDA72AF"/>
    <w:rsid w:val="1CDC4DD5"/>
    <w:rsid w:val="1CE43C8A"/>
    <w:rsid w:val="1CE70126"/>
    <w:rsid w:val="1CE83C95"/>
    <w:rsid w:val="1CE912A0"/>
    <w:rsid w:val="1CF163A7"/>
    <w:rsid w:val="1CFD070F"/>
    <w:rsid w:val="1D04257E"/>
    <w:rsid w:val="1D23286F"/>
    <w:rsid w:val="1D2E3F6A"/>
    <w:rsid w:val="1D5F6196"/>
    <w:rsid w:val="1D6132A5"/>
    <w:rsid w:val="1D6525D6"/>
    <w:rsid w:val="1D653086"/>
    <w:rsid w:val="1D657B93"/>
    <w:rsid w:val="1D767EC6"/>
    <w:rsid w:val="1D804E3C"/>
    <w:rsid w:val="1D8075EC"/>
    <w:rsid w:val="1D857557"/>
    <w:rsid w:val="1D8E56D5"/>
    <w:rsid w:val="1D932D51"/>
    <w:rsid w:val="1D9D40D2"/>
    <w:rsid w:val="1DC11182"/>
    <w:rsid w:val="1DCB19F7"/>
    <w:rsid w:val="1DDE561E"/>
    <w:rsid w:val="1DE353F2"/>
    <w:rsid w:val="1E086CDF"/>
    <w:rsid w:val="1E1354B2"/>
    <w:rsid w:val="1E3213D5"/>
    <w:rsid w:val="1E4744D0"/>
    <w:rsid w:val="1E667689"/>
    <w:rsid w:val="1E7A43DA"/>
    <w:rsid w:val="1ECE4BF1"/>
    <w:rsid w:val="1ED93352"/>
    <w:rsid w:val="1EF76766"/>
    <w:rsid w:val="1F262A98"/>
    <w:rsid w:val="1F3709E9"/>
    <w:rsid w:val="1F487F93"/>
    <w:rsid w:val="1F4A3D0C"/>
    <w:rsid w:val="1F4A7C93"/>
    <w:rsid w:val="1F79752C"/>
    <w:rsid w:val="1FE6437F"/>
    <w:rsid w:val="1FE7539E"/>
    <w:rsid w:val="200C0A75"/>
    <w:rsid w:val="205C5F7C"/>
    <w:rsid w:val="20671BE0"/>
    <w:rsid w:val="20855784"/>
    <w:rsid w:val="20963CB8"/>
    <w:rsid w:val="209B6D55"/>
    <w:rsid w:val="20A81A1B"/>
    <w:rsid w:val="20B07FB6"/>
    <w:rsid w:val="20B646FB"/>
    <w:rsid w:val="20D06882"/>
    <w:rsid w:val="20D16DB6"/>
    <w:rsid w:val="211C60E8"/>
    <w:rsid w:val="21223B16"/>
    <w:rsid w:val="212C2196"/>
    <w:rsid w:val="213B74B1"/>
    <w:rsid w:val="215A2310"/>
    <w:rsid w:val="2164183D"/>
    <w:rsid w:val="21763A3A"/>
    <w:rsid w:val="21A52C05"/>
    <w:rsid w:val="21BD6A64"/>
    <w:rsid w:val="21BE0F4D"/>
    <w:rsid w:val="21DA1AFF"/>
    <w:rsid w:val="21DE318A"/>
    <w:rsid w:val="21EF5B80"/>
    <w:rsid w:val="21F42BC1"/>
    <w:rsid w:val="21FA1B72"/>
    <w:rsid w:val="224E0917"/>
    <w:rsid w:val="22576990"/>
    <w:rsid w:val="227E2C7C"/>
    <w:rsid w:val="227F52A2"/>
    <w:rsid w:val="228560D7"/>
    <w:rsid w:val="22940CD7"/>
    <w:rsid w:val="22A378CF"/>
    <w:rsid w:val="22D95913"/>
    <w:rsid w:val="22EB6174"/>
    <w:rsid w:val="22F37324"/>
    <w:rsid w:val="22F47480"/>
    <w:rsid w:val="230F7587"/>
    <w:rsid w:val="231E47BD"/>
    <w:rsid w:val="231E495D"/>
    <w:rsid w:val="232151F8"/>
    <w:rsid w:val="23234270"/>
    <w:rsid w:val="232474D6"/>
    <w:rsid w:val="233174FD"/>
    <w:rsid w:val="23396A6D"/>
    <w:rsid w:val="238F04F9"/>
    <w:rsid w:val="23947E84"/>
    <w:rsid w:val="23971A56"/>
    <w:rsid w:val="23976E0D"/>
    <w:rsid w:val="23BC4125"/>
    <w:rsid w:val="23C24AAF"/>
    <w:rsid w:val="23DE1C48"/>
    <w:rsid w:val="23DF51AB"/>
    <w:rsid w:val="23E44A3C"/>
    <w:rsid w:val="23FB6E52"/>
    <w:rsid w:val="240210CD"/>
    <w:rsid w:val="240E57D2"/>
    <w:rsid w:val="2446522A"/>
    <w:rsid w:val="24471334"/>
    <w:rsid w:val="24507E57"/>
    <w:rsid w:val="245E6F42"/>
    <w:rsid w:val="246057D0"/>
    <w:rsid w:val="247E2399"/>
    <w:rsid w:val="249B37C8"/>
    <w:rsid w:val="249C2AC2"/>
    <w:rsid w:val="24AD31C3"/>
    <w:rsid w:val="24BF09F7"/>
    <w:rsid w:val="24F1163A"/>
    <w:rsid w:val="24F64694"/>
    <w:rsid w:val="25194FED"/>
    <w:rsid w:val="251E1D03"/>
    <w:rsid w:val="252A69B8"/>
    <w:rsid w:val="252D53FE"/>
    <w:rsid w:val="254B47E6"/>
    <w:rsid w:val="255A71DF"/>
    <w:rsid w:val="2584425C"/>
    <w:rsid w:val="25951FC5"/>
    <w:rsid w:val="25AA086D"/>
    <w:rsid w:val="25B15C22"/>
    <w:rsid w:val="25B20901"/>
    <w:rsid w:val="25B856CE"/>
    <w:rsid w:val="25C805EC"/>
    <w:rsid w:val="25CB3688"/>
    <w:rsid w:val="25CD172F"/>
    <w:rsid w:val="25D66CF7"/>
    <w:rsid w:val="25DB5BD8"/>
    <w:rsid w:val="25E25A80"/>
    <w:rsid w:val="25EC2D81"/>
    <w:rsid w:val="25F80100"/>
    <w:rsid w:val="25FE1B91"/>
    <w:rsid w:val="26301CEE"/>
    <w:rsid w:val="266B7A3B"/>
    <w:rsid w:val="26722C2F"/>
    <w:rsid w:val="267321A8"/>
    <w:rsid w:val="267B003E"/>
    <w:rsid w:val="26834B82"/>
    <w:rsid w:val="26864C6D"/>
    <w:rsid w:val="2695133D"/>
    <w:rsid w:val="26955617"/>
    <w:rsid w:val="26A4071F"/>
    <w:rsid w:val="26C2328E"/>
    <w:rsid w:val="26C75981"/>
    <w:rsid w:val="26F20894"/>
    <w:rsid w:val="27276D38"/>
    <w:rsid w:val="2738024E"/>
    <w:rsid w:val="27595274"/>
    <w:rsid w:val="277057A2"/>
    <w:rsid w:val="27864F80"/>
    <w:rsid w:val="279761D5"/>
    <w:rsid w:val="27D32696"/>
    <w:rsid w:val="27F93ADE"/>
    <w:rsid w:val="288325A9"/>
    <w:rsid w:val="28924EE2"/>
    <w:rsid w:val="28B325EB"/>
    <w:rsid w:val="28CF1C92"/>
    <w:rsid w:val="290937A4"/>
    <w:rsid w:val="29192140"/>
    <w:rsid w:val="29206EB8"/>
    <w:rsid w:val="292D0A73"/>
    <w:rsid w:val="29471828"/>
    <w:rsid w:val="29595666"/>
    <w:rsid w:val="296027EB"/>
    <w:rsid w:val="29802F8C"/>
    <w:rsid w:val="29874881"/>
    <w:rsid w:val="298C2D78"/>
    <w:rsid w:val="298F2269"/>
    <w:rsid w:val="299B1B74"/>
    <w:rsid w:val="29A44411"/>
    <w:rsid w:val="29A461A1"/>
    <w:rsid w:val="29AE18A7"/>
    <w:rsid w:val="29B50E88"/>
    <w:rsid w:val="29C76E0D"/>
    <w:rsid w:val="29DD78AC"/>
    <w:rsid w:val="29DE4D8B"/>
    <w:rsid w:val="29E325E0"/>
    <w:rsid w:val="2A0C65CE"/>
    <w:rsid w:val="2A432FC0"/>
    <w:rsid w:val="2A452503"/>
    <w:rsid w:val="2A5306A1"/>
    <w:rsid w:val="2A53705F"/>
    <w:rsid w:val="2A7228D5"/>
    <w:rsid w:val="2A7A5F69"/>
    <w:rsid w:val="2A7C3754"/>
    <w:rsid w:val="2A7D7024"/>
    <w:rsid w:val="2A7E2EEF"/>
    <w:rsid w:val="2A842608"/>
    <w:rsid w:val="2A875D10"/>
    <w:rsid w:val="2A924D25"/>
    <w:rsid w:val="2ABE2A73"/>
    <w:rsid w:val="2ADA6A03"/>
    <w:rsid w:val="2ADC1426"/>
    <w:rsid w:val="2AE84C30"/>
    <w:rsid w:val="2B035721"/>
    <w:rsid w:val="2B07167A"/>
    <w:rsid w:val="2B0E656C"/>
    <w:rsid w:val="2B124F7F"/>
    <w:rsid w:val="2B13356B"/>
    <w:rsid w:val="2B2740DA"/>
    <w:rsid w:val="2B3109E2"/>
    <w:rsid w:val="2B3515FD"/>
    <w:rsid w:val="2B412A88"/>
    <w:rsid w:val="2B58016A"/>
    <w:rsid w:val="2B772FE7"/>
    <w:rsid w:val="2B900074"/>
    <w:rsid w:val="2B934DD0"/>
    <w:rsid w:val="2BA84792"/>
    <w:rsid w:val="2BA936A8"/>
    <w:rsid w:val="2BC7236A"/>
    <w:rsid w:val="2BD302FB"/>
    <w:rsid w:val="2BDA346B"/>
    <w:rsid w:val="2BF10171"/>
    <w:rsid w:val="2BFD2672"/>
    <w:rsid w:val="2C0C4431"/>
    <w:rsid w:val="2C132E76"/>
    <w:rsid w:val="2C1957AC"/>
    <w:rsid w:val="2C315A5A"/>
    <w:rsid w:val="2C4A6235"/>
    <w:rsid w:val="2C4B1C25"/>
    <w:rsid w:val="2C53688E"/>
    <w:rsid w:val="2C962906"/>
    <w:rsid w:val="2CAC416A"/>
    <w:rsid w:val="2CAD193E"/>
    <w:rsid w:val="2CB95610"/>
    <w:rsid w:val="2CC105A2"/>
    <w:rsid w:val="2CDF5732"/>
    <w:rsid w:val="2D143B75"/>
    <w:rsid w:val="2D1B7FC7"/>
    <w:rsid w:val="2D234DA3"/>
    <w:rsid w:val="2D256001"/>
    <w:rsid w:val="2D480265"/>
    <w:rsid w:val="2D4D587B"/>
    <w:rsid w:val="2D710622"/>
    <w:rsid w:val="2D8E211C"/>
    <w:rsid w:val="2D9E56F5"/>
    <w:rsid w:val="2DAC67ED"/>
    <w:rsid w:val="2DAE1C1A"/>
    <w:rsid w:val="2DD41B65"/>
    <w:rsid w:val="2DD53F3B"/>
    <w:rsid w:val="2DFB389A"/>
    <w:rsid w:val="2DFB49F2"/>
    <w:rsid w:val="2DFD5AA5"/>
    <w:rsid w:val="2E0D4AB0"/>
    <w:rsid w:val="2E18344C"/>
    <w:rsid w:val="2E187C37"/>
    <w:rsid w:val="2E4856DD"/>
    <w:rsid w:val="2E6469D8"/>
    <w:rsid w:val="2E6609A2"/>
    <w:rsid w:val="2E667F96"/>
    <w:rsid w:val="2E7A444E"/>
    <w:rsid w:val="2E8226AB"/>
    <w:rsid w:val="2EA74B17"/>
    <w:rsid w:val="2EAB4607"/>
    <w:rsid w:val="2EC212C8"/>
    <w:rsid w:val="2ECB5F7A"/>
    <w:rsid w:val="2EE471CD"/>
    <w:rsid w:val="2EE772F3"/>
    <w:rsid w:val="2EF266DA"/>
    <w:rsid w:val="2EFC30B5"/>
    <w:rsid w:val="2F090FAC"/>
    <w:rsid w:val="2F171383"/>
    <w:rsid w:val="2F1E5895"/>
    <w:rsid w:val="2F300FB0"/>
    <w:rsid w:val="2F412521"/>
    <w:rsid w:val="2F423447"/>
    <w:rsid w:val="2F5772B3"/>
    <w:rsid w:val="2F745932"/>
    <w:rsid w:val="2F97443C"/>
    <w:rsid w:val="2F983C63"/>
    <w:rsid w:val="2F9A4A73"/>
    <w:rsid w:val="2FAD43AF"/>
    <w:rsid w:val="2FC242FE"/>
    <w:rsid w:val="2FD065E6"/>
    <w:rsid w:val="2FD96870"/>
    <w:rsid w:val="2FE97B1E"/>
    <w:rsid w:val="2FF72C46"/>
    <w:rsid w:val="2FFD70E5"/>
    <w:rsid w:val="300C37CC"/>
    <w:rsid w:val="3011060A"/>
    <w:rsid w:val="30580BC9"/>
    <w:rsid w:val="30587117"/>
    <w:rsid w:val="3072699C"/>
    <w:rsid w:val="30872E52"/>
    <w:rsid w:val="30AF646F"/>
    <w:rsid w:val="30ED46A3"/>
    <w:rsid w:val="30F87394"/>
    <w:rsid w:val="30FA1876"/>
    <w:rsid w:val="30FE0870"/>
    <w:rsid w:val="310847F6"/>
    <w:rsid w:val="311E2ED7"/>
    <w:rsid w:val="31280D65"/>
    <w:rsid w:val="312A7DBA"/>
    <w:rsid w:val="312E45C4"/>
    <w:rsid w:val="31340EA3"/>
    <w:rsid w:val="3148438F"/>
    <w:rsid w:val="315619EE"/>
    <w:rsid w:val="315C449C"/>
    <w:rsid w:val="31802233"/>
    <w:rsid w:val="31A43590"/>
    <w:rsid w:val="31AF08B2"/>
    <w:rsid w:val="31B31977"/>
    <w:rsid w:val="31B82709"/>
    <w:rsid w:val="31C75889"/>
    <w:rsid w:val="31CD2AE7"/>
    <w:rsid w:val="31D05482"/>
    <w:rsid w:val="3200303F"/>
    <w:rsid w:val="321A60B0"/>
    <w:rsid w:val="32400B34"/>
    <w:rsid w:val="3248495E"/>
    <w:rsid w:val="3264558C"/>
    <w:rsid w:val="327E48AF"/>
    <w:rsid w:val="32902492"/>
    <w:rsid w:val="32925ED6"/>
    <w:rsid w:val="329E6876"/>
    <w:rsid w:val="32D6161D"/>
    <w:rsid w:val="32EF6838"/>
    <w:rsid w:val="32F02245"/>
    <w:rsid w:val="32F83B93"/>
    <w:rsid w:val="3312413C"/>
    <w:rsid w:val="33165219"/>
    <w:rsid w:val="331758F0"/>
    <w:rsid w:val="333015F2"/>
    <w:rsid w:val="33343116"/>
    <w:rsid w:val="334B6320"/>
    <w:rsid w:val="336F02F9"/>
    <w:rsid w:val="33710457"/>
    <w:rsid w:val="337610D5"/>
    <w:rsid w:val="33775400"/>
    <w:rsid w:val="339367AA"/>
    <w:rsid w:val="33B761E1"/>
    <w:rsid w:val="33D60378"/>
    <w:rsid w:val="33D934D4"/>
    <w:rsid w:val="33E00500"/>
    <w:rsid w:val="33EC7B9C"/>
    <w:rsid w:val="33F7209D"/>
    <w:rsid w:val="33FE2F6A"/>
    <w:rsid w:val="340117C4"/>
    <w:rsid w:val="340E07E5"/>
    <w:rsid w:val="34235BF7"/>
    <w:rsid w:val="34290257"/>
    <w:rsid w:val="3437693D"/>
    <w:rsid w:val="343A1B00"/>
    <w:rsid w:val="344277BC"/>
    <w:rsid w:val="345020F6"/>
    <w:rsid w:val="345C465C"/>
    <w:rsid w:val="345F00A9"/>
    <w:rsid w:val="346D0B79"/>
    <w:rsid w:val="34E268A9"/>
    <w:rsid w:val="34E40873"/>
    <w:rsid w:val="34F409F3"/>
    <w:rsid w:val="350F3F78"/>
    <w:rsid w:val="351F3659"/>
    <w:rsid w:val="353A0493"/>
    <w:rsid w:val="354D5FD6"/>
    <w:rsid w:val="358931C8"/>
    <w:rsid w:val="358A2937"/>
    <w:rsid w:val="358C5FA8"/>
    <w:rsid w:val="358F08AD"/>
    <w:rsid w:val="35B91D00"/>
    <w:rsid w:val="35C15DF1"/>
    <w:rsid w:val="35D85F98"/>
    <w:rsid w:val="35DA7C1D"/>
    <w:rsid w:val="35DE3207"/>
    <w:rsid w:val="35ED2398"/>
    <w:rsid w:val="35F1149A"/>
    <w:rsid w:val="35F73D32"/>
    <w:rsid w:val="36074A7F"/>
    <w:rsid w:val="36127662"/>
    <w:rsid w:val="361B02C4"/>
    <w:rsid w:val="363739F9"/>
    <w:rsid w:val="363D6170"/>
    <w:rsid w:val="36541A28"/>
    <w:rsid w:val="36547C1D"/>
    <w:rsid w:val="366F5DDE"/>
    <w:rsid w:val="36704ABB"/>
    <w:rsid w:val="36756025"/>
    <w:rsid w:val="36923549"/>
    <w:rsid w:val="369736C3"/>
    <w:rsid w:val="369D33CF"/>
    <w:rsid w:val="36A04610"/>
    <w:rsid w:val="36B75FBF"/>
    <w:rsid w:val="36BD0C45"/>
    <w:rsid w:val="36C3270A"/>
    <w:rsid w:val="36CA3A99"/>
    <w:rsid w:val="36D63AAB"/>
    <w:rsid w:val="37046FAB"/>
    <w:rsid w:val="3708610A"/>
    <w:rsid w:val="37250DEE"/>
    <w:rsid w:val="37315493"/>
    <w:rsid w:val="37476E97"/>
    <w:rsid w:val="37490FD0"/>
    <w:rsid w:val="37617848"/>
    <w:rsid w:val="376461CD"/>
    <w:rsid w:val="376A481F"/>
    <w:rsid w:val="379E76D7"/>
    <w:rsid w:val="37A4253C"/>
    <w:rsid w:val="37BF0C34"/>
    <w:rsid w:val="37CA64F8"/>
    <w:rsid w:val="37D83F93"/>
    <w:rsid w:val="37E00298"/>
    <w:rsid w:val="37E3127A"/>
    <w:rsid w:val="37E878E5"/>
    <w:rsid w:val="38020CF1"/>
    <w:rsid w:val="381C20D2"/>
    <w:rsid w:val="38325D99"/>
    <w:rsid w:val="38505B45"/>
    <w:rsid w:val="38596660"/>
    <w:rsid w:val="385B45B2"/>
    <w:rsid w:val="38675A43"/>
    <w:rsid w:val="386D0B7F"/>
    <w:rsid w:val="387A1E65"/>
    <w:rsid w:val="387C0DC3"/>
    <w:rsid w:val="388E21EB"/>
    <w:rsid w:val="3891067B"/>
    <w:rsid w:val="38971374"/>
    <w:rsid w:val="38AB1D1E"/>
    <w:rsid w:val="38B302F9"/>
    <w:rsid w:val="38B45828"/>
    <w:rsid w:val="38BE13DB"/>
    <w:rsid w:val="38E1458B"/>
    <w:rsid w:val="38F033D4"/>
    <w:rsid w:val="38F12CD3"/>
    <w:rsid w:val="38F94775"/>
    <w:rsid w:val="39283D99"/>
    <w:rsid w:val="392971ED"/>
    <w:rsid w:val="39325651"/>
    <w:rsid w:val="3934169D"/>
    <w:rsid w:val="39513FFD"/>
    <w:rsid w:val="398E557D"/>
    <w:rsid w:val="39BC591B"/>
    <w:rsid w:val="39BE134C"/>
    <w:rsid w:val="39DA7FC0"/>
    <w:rsid w:val="39DC1254"/>
    <w:rsid w:val="3A03179B"/>
    <w:rsid w:val="3A0F6392"/>
    <w:rsid w:val="3A3000B7"/>
    <w:rsid w:val="3A300E67"/>
    <w:rsid w:val="3A437DEA"/>
    <w:rsid w:val="3A4610B0"/>
    <w:rsid w:val="3A4A16EF"/>
    <w:rsid w:val="3A5B759C"/>
    <w:rsid w:val="3A5B7BE1"/>
    <w:rsid w:val="3A5E5686"/>
    <w:rsid w:val="3A670EE3"/>
    <w:rsid w:val="3A6B65AE"/>
    <w:rsid w:val="3A872856"/>
    <w:rsid w:val="3AA67FAB"/>
    <w:rsid w:val="3AB13BE6"/>
    <w:rsid w:val="3AEA1A5E"/>
    <w:rsid w:val="3AED6863"/>
    <w:rsid w:val="3B044924"/>
    <w:rsid w:val="3B1F00AA"/>
    <w:rsid w:val="3B334302"/>
    <w:rsid w:val="3B3763D1"/>
    <w:rsid w:val="3B3E6803"/>
    <w:rsid w:val="3B4D314A"/>
    <w:rsid w:val="3B4E706B"/>
    <w:rsid w:val="3B5C7F15"/>
    <w:rsid w:val="3B625A97"/>
    <w:rsid w:val="3B6B3A9C"/>
    <w:rsid w:val="3B6E0E96"/>
    <w:rsid w:val="3B8D7FCC"/>
    <w:rsid w:val="3BA36614"/>
    <w:rsid w:val="3BA964C9"/>
    <w:rsid w:val="3BAA0BCB"/>
    <w:rsid w:val="3BBA1493"/>
    <w:rsid w:val="3BC60CD2"/>
    <w:rsid w:val="3BF55EFE"/>
    <w:rsid w:val="3BFF3BB9"/>
    <w:rsid w:val="3C03006C"/>
    <w:rsid w:val="3C192FDF"/>
    <w:rsid w:val="3C265C15"/>
    <w:rsid w:val="3C26667A"/>
    <w:rsid w:val="3C2F6E1E"/>
    <w:rsid w:val="3C313788"/>
    <w:rsid w:val="3C3A346E"/>
    <w:rsid w:val="3C485B8B"/>
    <w:rsid w:val="3C491BDC"/>
    <w:rsid w:val="3C4E2F2E"/>
    <w:rsid w:val="3C4F64BA"/>
    <w:rsid w:val="3C500906"/>
    <w:rsid w:val="3C665940"/>
    <w:rsid w:val="3C722C87"/>
    <w:rsid w:val="3C900CAC"/>
    <w:rsid w:val="3C905422"/>
    <w:rsid w:val="3CC506E4"/>
    <w:rsid w:val="3CDA245A"/>
    <w:rsid w:val="3CDE029E"/>
    <w:rsid w:val="3CE108FB"/>
    <w:rsid w:val="3CE13968"/>
    <w:rsid w:val="3CE6637F"/>
    <w:rsid w:val="3CEE2AEC"/>
    <w:rsid w:val="3D141F11"/>
    <w:rsid w:val="3D1E06B7"/>
    <w:rsid w:val="3D272417"/>
    <w:rsid w:val="3D2D073C"/>
    <w:rsid w:val="3D3B56F0"/>
    <w:rsid w:val="3D3D349E"/>
    <w:rsid w:val="3D3D6D72"/>
    <w:rsid w:val="3D402D06"/>
    <w:rsid w:val="3D44685E"/>
    <w:rsid w:val="3D4D4AAE"/>
    <w:rsid w:val="3D546532"/>
    <w:rsid w:val="3D5D4D3B"/>
    <w:rsid w:val="3D606F05"/>
    <w:rsid w:val="3D9D2DB9"/>
    <w:rsid w:val="3DAE4BC1"/>
    <w:rsid w:val="3DB42DAD"/>
    <w:rsid w:val="3DD32C5D"/>
    <w:rsid w:val="3E0F0248"/>
    <w:rsid w:val="3E101AF5"/>
    <w:rsid w:val="3E3207F7"/>
    <w:rsid w:val="3E353EED"/>
    <w:rsid w:val="3E3C34CE"/>
    <w:rsid w:val="3E407C5B"/>
    <w:rsid w:val="3E5C25B7"/>
    <w:rsid w:val="3E6E4D69"/>
    <w:rsid w:val="3E9D611B"/>
    <w:rsid w:val="3EA97D6A"/>
    <w:rsid w:val="3EBE0387"/>
    <w:rsid w:val="3ECA0ADA"/>
    <w:rsid w:val="3EDA0523"/>
    <w:rsid w:val="3EDE253D"/>
    <w:rsid w:val="3EEB27FE"/>
    <w:rsid w:val="3EFF4ECA"/>
    <w:rsid w:val="3F03223E"/>
    <w:rsid w:val="3F057D64"/>
    <w:rsid w:val="3F066837"/>
    <w:rsid w:val="3F0A537A"/>
    <w:rsid w:val="3F16467A"/>
    <w:rsid w:val="3F275F2C"/>
    <w:rsid w:val="3F29766B"/>
    <w:rsid w:val="3F3969A9"/>
    <w:rsid w:val="3F3A3503"/>
    <w:rsid w:val="3F3E360B"/>
    <w:rsid w:val="3F3E6DD2"/>
    <w:rsid w:val="3F731171"/>
    <w:rsid w:val="3F870779"/>
    <w:rsid w:val="3F91126E"/>
    <w:rsid w:val="3F99494B"/>
    <w:rsid w:val="3FA3060E"/>
    <w:rsid w:val="3FAE03FB"/>
    <w:rsid w:val="3FC238DA"/>
    <w:rsid w:val="40026AC1"/>
    <w:rsid w:val="400E0E9A"/>
    <w:rsid w:val="401A611F"/>
    <w:rsid w:val="402D029C"/>
    <w:rsid w:val="40356427"/>
    <w:rsid w:val="404C3770"/>
    <w:rsid w:val="4061213A"/>
    <w:rsid w:val="406311E6"/>
    <w:rsid w:val="40647D9F"/>
    <w:rsid w:val="40752CC7"/>
    <w:rsid w:val="40773672"/>
    <w:rsid w:val="407A6407"/>
    <w:rsid w:val="407D2682"/>
    <w:rsid w:val="4081166C"/>
    <w:rsid w:val="4081341A"/>
    <w:rsid w:val="409C71C4"/>
    <w:rsid w:val="40A972AC"/>
    <w:rsid w:val="40B557B9"/>
    <w:rsid w:val="40BE667E"/>
    <w:rsid w:val="40D21EC7"/>
    <w:rsid w:val="40DA5F34"/>
    <w:rsid w:val="40DE6ABE"/>
    <w:rsid w:val="40E91E51"/>
    <w:rsid w:val="40F91DA9"/>
    <w:rsid w:val="411D072E"/>
    <w:rsid w:val="41270508"/>
    <w:rsid w:val="41395AA3"/>
    <w:rsid w:val="413E755D"/>
    <w:rsid w:val="4177476A"/>
    <w:rsid w:val="418A5AB5"/>
    <w:rsid w:val="419F29A4"/>
    <w:rsid w:val="41A90E7A"/>
    <w:rsid w:val="41B229F0"/>
    <w:rsid w:val="41B9630E"/>
    <w:rsid w:val="41BB6E00"/>
    <w:rsid w:val="41C21D00"/>
    <w:rsid w:val="41C97CF1"/>
    <w:rsid w:val="41E81277"/>
    <w:rsid w:val="41F0503B"/>
    <w:rsid w:val="41F727AC"/>
    <w:rsid w:val="41F96B45"/>
    <w:rsid w:val="41FB2A7E"/>
    <w:rsid w:val="4200449D"/>
    <w:rsid w:val="422275D8"/>
    <w:rsid w:val="422B5D33"/>
    <w:rsid w:val="4232397A"/>
    <w:rsid w:val="42350551"/>
    <w:rsid w:val="42375CB6"/>
    <w:rsid w:val="423A1C93"/>
    <w:rsid w:val="423A3BCC"/>
    <w:rsid w:val="424E57D2"/>
    <w:rsid w:val="42851846"/>
    <w:rsid w:val="428D3651"/>
    <w:rsid w:val="429933C2"/>
    <w:rsid w:val="42A77135"/>
    <w:rsid w:val="42B26C49"/>
    <w:rsid w:val="42B37AD7"/>
    <w:rsid w:val="42CB572A"/>
    <w:rsid w:val="42F17338"/>
    <w:rsid w:val="431C0853"/>
    <w:rsid w:val="433A6FE6"/>
    <w:rsid w:val="433B01F8"/>
    <w:rsid w:val="43480868"/>
    <w:rsid w:val="434B5F61"/>
    <w:rsid w:val="4350713C"/>
    <w:rsid w:val="43562BAD"/>
    <w:rsid w:val="436332AB"/>
    <w:rsid w:val="436653E0"/>
    <w:rsid w:val="43707776"/>
    <w:rsid w:val="43784271"/>
    <w:rsid w:val="437B36E7"/>
    <w:rsid w:val="43947392"/>
    <w:rsid w:val="43992BE7"/>
    <w:rsid w:val="439C75F2"/>
    <w:rsid w:val="43C4431A"/>
    <w:rsid w:val="441427F7"/>
    <w:rsid w:val="441D16AC"/>
    <w:rsid w:val="44282960"/>
    <w:rsid w:val="44383AFE"/>
    <w:rsid w:val="445A585F"/>
    <w:rsid w:val="445C6F62"/>
    <w:rsid w:val="449657B8"/>
    <w:rsid w:val="44993D4E"/>
    <w:rsid w:val="449C38DF"/>
    <w:rsid w:val="44B951CC"/>
    <w:rsid w:val="44BC2C73"/>
    <w:rsid w:val="44BC4792"/>
    <w:rsid w:val="44CD14E0"/>
    <w:rsid w:val="44DA58FA"/>
    <w:rsid w:val="44F20B0B"/>
    <w:rsid w:val="44F71A48"/>
    <w:rsid w:val="4516031F"/>
    <w:rsid w:val="452E5F4C"/>
    <w:rsid w:val="453A5C54"/>
    <w:rsid w:val="455455A1"/>
    <w:rsid w:val="45612018"/>
    <w:rsid w:val="456A0A50"/>
    <w:rsid w:val="458946E9"/>
    <w:rsid w:val="45A47C0E"/>
    <w:rsid w:val="45AA44A0"/>
    <w:rsid w:val="45CE51B5"/>
    <w:rsid w:val="45CF4804"/>
    <w:rsid w:val="45DC10F2"/>
    <w:rsid w:val="45E03277"/>
    <w:rsid w:val="45E213D7"/>
    <w:rsid w:val="46186467"/>
    <w:rsid w:val="463B291D"/>
    <w:rsid w:val="464159D5"/>
    <w:rsid w:val="464E48AB"/>
    <w:rsid w:val="46577FD6"/>
    <w:rsid w:val="466D4D30"/>
    <w:rsid w:val="467E6CF4"/>
    <w:rsid w:val="469D7CAE"/>
    <w:rsid w:val="469E680D"/>
    <w:rsid w:val="46D955A7"/>
    <w:rsid w:val="46E22739"/>
    <w:rsid w:val="46F012F9"/>
    <w:rsid w:val="46F52192"/>
    <w:rsid w:val="47065C96"/>
    <w:rsid w:val="47133957"/>
    <w:rsid w:val="47170634"/>
    <w:rsid w:val="475573AE"/>
    <w:rsid w:val="47674AFE"/>
    <w:rsid w:val="479F3AAC"/>
    <w:rsid w:val="47A07E0C"/>
    <w:rsid w:val="47CE5FBA"/>
    <w:rsid w:val="480A5DC6"/>
    <w:rsid w:val="480F3A01"/>
    <w:rsid w:val="482079BC"/>
    <w:rsid w:val="48337EFA"/>
    <w:rsid w:val="483D231C"/>
    <w:rsid w:val="484D675B"/>
    <w:rsid w:val="4870272E"/>
    <w:rsid w:val="487456E6"/>
    <w:rsid w:val="48A61AD7"/>
    <w:rsid w:val="48B7636D"/>
    <w:rsid w:val="48BD20AD"/>
    <w:rsid w:val="48D06054"/>
    <w:rsid w:val="48F30C2D"/>
    <w:rsid w:val="48F8597F"/>
    <w:rsid w:val="48FD7CFE"/>
    <w:rsid w:val="49532EEC"/>
    <w:rsid w:val="49974C2E"/>
    <w:rsid w:val="49C77AFD"/>
    <w:rsid w:val="49D82C7B"/>
    <w:rsid w:val="49DC7715"/>
    <w:rsid w:val="4A01054C"/>
    <w:rsid w:val="4A023139"/>
    <w:rsid w:val="4A0F387A"/>
    <w:rsid w:val="4A1277D9"/>
    <w:rsid w:val="4A246425"/>
    <w:rsid w:val="4A3C51B1"/>
    <w:rsid w:val="4A537B6C"/>
    <w:rsid w:val="4A6242BC"/>
    <w:rsid w:val="4A627221"/>
    <w:rsid w:val="4A7B576F"/>
    <w:rsid w:val="4A7F4E6E"/>
    <w:rsid w:val="4AB42344"/>
    <w:rsid w:val="4AD42B84"/>
    <w:rsid w:val="4AD54A8E"/>
    <w:rsid w:val="4AF561A9"/>
    <w:rsid w:val="4B0435C5"/>
    <w:rsid w:val="4B3C17A5"/>
    <w:rsid w:val="4B4E11C4"/>
    <w:rsid w:val="4B543CCE"/>
    <w:rsid w:val="4B7660BB"/>
    <w:rsid w:val="4B8743DD"/>
    <w:rsid w:val="4B9B5CC8"/>
    <w:rsid w:val="4B9E7576"/>
    <w:rsid w:val="4BA32DDE"/>
    <w:rsid w:val="4BA37E48"/>
    <w:rsid w:val="4BBF0059"/>
    <w:rsid w:val="4BC13264"/>
    <w:rsid w:val="4BCD40FB"/>
    <w:rsid w:val="4BE34F89"/>
    <w:rsid w:val="4BF70A34"/>
    <w:rsid w:val="4BF947AC"/>
    <w:rsid w:val="4C2734FC"/>
    <w:rsid w:val="4C313E45"/>
    <w:rsid w:val="4C382E73"/>
    <w:rsid w:val="4C4A0649"/>
    <w:rsid w:val="4C4D76C9"/>
    <w:rsid w:val="4C7E5ECA"/>
    <w:rsid w:val="4C876AA5"/>
    <w:rsid w:val="4CA23096"/>
    <w:rsid w:val="4CA566E2"/>
    <w:rsid w:val="4CB62C00"/>
    <w:rsid w:val="4CBF6F48"/>
    <w:rsid w:val="4CDA3E72"/>
    <w:rsid w:val="4CE155D9"/>
    <w:rsid w:val="4CFF42E6"/>
    <w:rsid w:val="4D0C2091"/>
    <w:rsid w:val="4D0E00FB"/>
    <w:rsid w:val="4D176606"/>
    <w:rsid w:val="4D2D789C"/>
    <w:rsid w:val="4D477799"/>
    <w:rsid w:val="4D4B5039"/>
    <w:rsid w:val="4D5919CF"/>
    <w:rsid w:val="4D6B16DA"/>
    <w:rsid w:val="4D6E55A1"/>
    <w:rsid w:val="4D8E6127"/>
    <w:rsid w:val="4DAB6983"/>
    <w:rsid w:val="4DAD3AA0"/>
    <w:rsid w:val="4DB03590"/>
    <w:rsid w:val="4DC24469"/>
    <w:rsid w:val="4DCF504C"/>
    <w:rsid w:val="4DD75522"/>
    <w:rsid w:val="4DEC4FB0"/>
    <w:rsid w:val="4E075D8A"/>
    <w:rsid w:val="4E0A2228"/>
    <w:rsid w:val="4E0C578A"/>
    <w:rsid w:val="4E1F5F28"/>
    <w:rsid w:val="4E235ED6"/>
    <w:rsid w:val="4E3E38E4"/>
    <w:rsid w:val="4E4168DE"/>
    <w:rsid w:val="4E4E449C"/>
    <w:rsid w:val="4E532EC8"/>
    <w:rsid w:val="4E6E2737"/>
    <w:rsid w:val="4E997C13"/>
    <w:rsid w:val="4E9A3251"/>
    <w:rsid w:val="4E9B59F0"/>
    <w:rsid w:val="4EA21AFA"/>
    <w:rsid w:val="4EA84268"/>
    <w:rsid w:val="4EC00FAD"/>
    <w:rsid w:val="4EE04F83"/>
    <w:rsid w:val="4EE36ED2"/>
    <w:rsid w:val="4F05790C"/>
    <w:rsid w:val="4F3A094F"/>
    <w:rsid w:val="4F4306C9"/>
    <w:rsid w:val="4F5166AD"/>
    <w:rsid w:val="4F5B752C"/>
    <w:rsid w:val="4F783FD3"/>
    <w:rsid w:val="4F832195"/>
    <w:rsid w:val="4F9843DC"/>
    <w:rsid w:val="4FC62A8C"/>
    <w:rsid w:val="4FC81F97"/>
    <w:rsid w:val="4FD75222"/>
    <w:rsid w:val="4FD838E1"/>
    <w:rsid w:val="4FDB27D1"/>
    <w:rsid w:val="4FDC0348"/>
    <w:rsid w:val="4FE20F0D"/>
    <w:rsid w:val="4FE51552"/>
    <w:rsid w:val="4FFC335F"/>
    <w:rsid w:val="4FFE4A87"/>
    <w:rsid w:val="50115CAA"/>
    <w:rsid w:val="5014177C"/>
    <w:rsid w:val="501C6B43"/>
    <w:rsid w:val="502B5150"/>
    <w:rsid w:val="502F4C40"/>
    <w:rsid w:val="50350035"/>
    <w:rsid w:val="5050013F"/>
    <w:rsid w:val="505042C7"/>
    <w:rsid w:val="50504C4B"/>
    <w:rsid w:val="50575F45"/>
    <w:rsid w:val="50770396"/>
    <w:rsid w:val="5080549C"/>
    <w:rsid w:val="50983371"/>
    <w:rsid w:val="509C6E7C"/>
    <w:rsid w:val="50BF5B17"/>
    <w:rsid w:val="50E1107E"/>
    <w:rsid w:val="50F62BCE"/>
    <w:rsid w:val="50FF4962"/>
    <w:rsid w:val="510C4F82"/>
    <w:rsid w:val="510E3228"/>
    <w:rsid w:val="51172528"/>
    <w:rsid w:val="511A6D49"/>
    <w:rsid w:val="512E72DD"/>
    <w:rsid w:val="51366528"/>
    <w:rsid w:val="5147132E"/>
    <w:rsid w:val="514E1D78"/>
    <w:rsid w:val="51501312"/>
    <w:rsid w:val="51604405"/>
    <w:rsid w:val="5162104E"/>
    <w:rsid w:val="516271C1"/>
    <w:rsid w:val="51713DC3"/>
    <w:rsid w:val="51823496"/>
    <w:rsid w:val="519008A3"/>
    <w:rsid w:val="51BE2AF5"/>
    <w:rsid w:val="51D05FAF"/>
    <w:rsid w:val="51D4389C"/>
    <w:rsid w:val="51F7178E"/>
    <w:rsid w:val="525210BA"/>
    <w:rsid w:val="526D7FFC"/>
    <w:rsid w:val="52823D7D"/>
    <w:rsid w:val="52897708"/>
    <w:rsid w:val="528B637A"/>
    <w:rsid w:val="528E17D6"/>
    <w:rsid w:val="52AC7C7F"/>
    <w:rsid w:val="52AF3DBD"/>
    <w:rsid w:val="52B00269"/>
    <w:rsid w:val="52B90668"/>
    <w:rsid w:val="52BE789E"/>
    <w:rsid w:val="52C42671"/>
    <w:rsid w:val="52FF5D4F"/>
    <w:rsid w:val="5301703A"/>
    <w:rsid w:val="53065A01"/>
    <w:rsid w:val="530B1ED1"/>
    <w:rsid w:val="5311687F"/>
    <w:rsid w:val="533362B1"/>
    <w:rsid w:val="535019E7"/>
    <w:rsid w:val="535266FC"/>
    <w:rsid w:val="535D1AC5"/>
    <w:rsid w:val="536270DB"/>
    <w:rsid w:val="53634C01"/>
    <w:rsid w:val="53670B95"/>
    <w:rsid w:val="536C451D"/>
    <w:rsid w:val="53715D4C"/>
    <w:rsid w:val="53861684"/>
    <w:rsid w:val="539B40EA"/>
    <w:rsid w:val="539B439B"/>
    <w:rsid w:val="53A039CC"/>
    <w:rsid w:val="53A1505A"/>
    <w:rsid w:val="53A616BE"/>
    <w:rsid w:val="53BB67EB"/>
    <w:rsid w:val="53D04311"/>
    <w:rsid w:val="53EA1352"/>
    <w:rsid w:val="53EF6DA5"/>
    <w:rsid w:val="54063E08"/>
    <w:rsid w:val="541C635B"/>
    <w:rsid w:val="54316F16"/>
    <w:rsid w:val="543437E8"/>
    <w:rsid w:val="54386BB6"/>
    <w:rsid w:val="543F0322"/>
    <w:rsid w:val="544E3F91"/>
    <w:rsid w:val="54660E4D"/>
    <w:rsid w:val="5468132E"/>
    <w:rsid w:val="54791E6F"/>
    <w:rsid w:val="547A48F8"/>
    <w:rsid w:val="54813ABD"/>
    <w:rsid w:val="54815C87"/>
    <w:rsid w:val="54891F4F"/>
    <w:rsid w:val="549C486F"/>
    <w:rsid w:val="54C65448"/>
    <w:rsid w:val="54D24FF6"/>
    <w:rsid w:val="54DB61ED"/>
    <w:rsid w:val="54EA382C"/>
    <w:rsid w:val="54EF4902"/>
    <w:rsid w:val="54F61C26"/>
    <w:rsid w:val="54F73313"/>
    <w:rsid w:val="54F80955"/>
    <w:rsid w:val="550230D1"/>
    <w:rsid w:val="552C7AAF"/>
    <w:rsid w:val="55493D2B"/>
    <w:rsid w:val="555170A7"/>
    <w:rsid w:val="55774994"/>
    <w:rsid w:val="5587536D"/>
    <w:rsid w:val="558C6691"/>
    <w:rsid w:val="559B174B"/>
    <w:rsid w:val="559E6C8E"/>
    <w:rsid w:val="55AB2614"/>
    <w:rsid w:val="55AB4055"/>
    <w:rsid w:val="55B3645E"/>
    <w:rsid w:val="55CB55BF"/>
    <w:rsid w:val="55CE0CF4"/>
    <w:rsid w:val="55DC6C16"/>
    <w:rsid w:val="55EE4C56"/>
    <w:rsid w:val="561B65ED"/>
    <w:rsid w:val="56220DA3"/>
    <w:rsid w:val="56582A17"/>
    <w:rsid w:val="56592CE5"/>
    <w:rsid w:val="5681470E"/>
    <w:rsid w:val="56837A94"/>
    <w:rsid w:val="56921A85"/>
    <w:rsid w:val="56982A7D"/>
    <w:rsid w:val="56A31E43"/>
    <w:rsid w:val="56A96DCF"/>
    <w:rsid w:val="56AC3D0D"/>
    <w:rsid w:val="56B22A9C"/>
    <w:rsid w:val="56C105BC"/>
    <w:rsid w:val="56D23F74"/>
    <w:rsid w:val="56E3130D"/>
    <w:rsid w:val="56F1345A"/>
    <w:rsid w:val="56FF48B3"/>
    <w:rsid w:val="570D61CA"/>
    <w:rsid w:val="571A54D0"/>
    <w:rsid w:val="573174F0"/>
    <w:rsid w:val="57595B21"/>
    <w:rsid w:val="57714CB3"/>
    <w:rsid w:val="577F1918"/>
    <w:rsid w:val="57A0575A"/>
    <w:rsid w:val="57AB1181"/>
    <w:rsid w:val="57B72A76"/>
    <w:rsid w:val="57C3426C"/>
    <w:rsid w:val="57C57C38"/>
    <w:rsid w:val="57CE1F93"/>
    <w:rsid w:val="57DE6F4C"/>
    <w:rsid w:val="57F236A8"/>
    <w:rsid w:val="580A15A9"/>
    <w:rsid w:val="580A1AEF"/>
    <w:rsid w:val="58194F01"/>
    <w:rsid w:val="5822508B"/>
    <w:rsid w:val="583B4A04"/>
    <w:rsid w:val="58420C03"/>
    <w:rsid w:val="587B39BA"/>
    <w:rsid w:val="587C6632"/>
    <w:rsid w:val="587D0513"/>
    <w:rsid w:val="587F4DA8"/>
    <w:rsid w:val="588743D1"/>
    <w:rsid w:val="5887701A"/>
    <w:rsid w:val="589B59F2"/>
    <w:rsid w:val="589C308F"/>
    <w:rsid w:val="58B10B5D"/>
    <w:rsid w:val="58B92F86"/>
    <w:rsid w:val="58C62DBC"/>
    <w:rsid w:val="58CB1ED6"/>
    <w:rsid w:val="58F0362B"/>
    <w:rsid w:val="58FD51CA"/>
    <w:rsid w:val="59036282"/>
    <w:rsid w:val="59393219"/>
    <w:rsid w:val="593A1132"/>
    <w:rsid w:val="594A4899"/>
    <w:rsid w:val="595079D6"/>
    <w:rsid w:val="59554FEC"/>
    <w:rsid w:val="595B6FEC"/>
    <w:rsid w:val="5970404A"/>
    <w:rsid w:val="597149A9"/>
    <w:rsid w:val="59745DBA"/>
    <w:rsid w:val="59833A26"/>
    <w:rsid w:val="598F4909"/>
    <w:rsid w:val="5992246A"/>
    <w:rsid w:val="59B872FE"/>
    <w:rsid w:val="59C0439F"/>
    <w:rsid w:val="59C06909"/>
    <w:rsid w:val="5A0031AA"/>
    <w:rsid w:val="5A0670F4"/>
    <w:rsid w:val="5A250E62"/>
    <w:rsid w:val="5A3B286D"/>
    <w:rsid w:val="5A42538C"/>
    <w:rsid w:val="5A5A1C77"/>
    <w:rsid w:val="5A920BA5"/>
    <w:rsid w:val="5AB521E6"/>
    <w:rsid w:val="5AB53F94"/>
    <w:rsid w:val="5AB85ECB"/>
    <w:rsid w:val="5ABD109B"/>
    <w:rsid w:val="5ABE2233"/>
    <w:rsid w:val="5AC16DDD"/>
    <w:rsid w:val="5AD23D7E"/>
    <w:rsid w:val="5ADE798F"/>
    <w:rsid w:val="5AE5060C"/>
    <w:rsid w:val="5AF251E8"/>
    <w:rsid w:val="5AF94BC1"/>
    <w:rsid w:val="5AFE1DDF"/>
    <w:rsid w:val="5B5767F9"/>
    <w:rsid w:val="5B6065F6"/>
    <w:rsid w:val="5B76286F"/>
    <w:rsid w:val="5B78272E"/>
    <w:rsid w:val="5B8147BE"/>
    <w:rsid w:val="5B974FB7"/>
    <w:rsid w:val="5BB8151C"/>
    <w:rsid w:val="5BBD4A2F"/>
    <w:rsid w:val="5BC615F4"/>
    <w:rsid w:val="5BDF5D95"/>
    <w:rsid w:val="5BE25396"/>
    <w:rsid w:val="5BEE487D"/>
    <w:rsid w:val="5BF3667D"/>
    <w:rsid w:val="5BF8281F"/>
    <w:rsid w:val="5BFE7528"/>
    <w:rsid w:val="5C0827EA"/>
    <w:rsid w:val="5C123E85"/>
    <w:rsid w:val="5C1E6256"/>
    <w:rsid w:val="5C207A14"/>
    <w:rsid w:val="5C3F2142"/>
    <w:rsid w:val="5C4D37B5"/>
    <w:rsid w:val="5C5D16B2"/>
    <w:rsid w:val="5C62639E"/>
    <w:rsid w:val="5C820DDE"/>
    <w:rsid w:val="5CA00C74"/>
    <w:rsid w:val="5CA679C8"/>
    <w:rsid w:val="5CAA564F"/>
    <w:rsid w:val="5CC76201"/>
    <w:rsid w:val="5CC91F79"/>
    <w:rsid w:val="5CCD0D12"/>
    <w:rsid w:val="5CDF0A88"/>
    <w:rsid w:val="5CFD2C4E"/>
    <w:rsid w:val="5D086F45"/>
    <w:rsid w:val="5D0B1BED"/>
    <w:rsid w:val="5D0D6309"/>
    <w:rsid w:val="5D140D96"/>
    <w:rsid w:val="5D1552E3"/>
    <w:rsid w:val="5D2762B7"/>
    <w:rsid w:val="5D3B0AD7"/>
    <w:rsid w:val="5D474D14"/>
    <w:rsid w:val="5D4C2B26"/>
    <w:rsid w:val="5D5C27FA"/>
    <w:rsid w:val="5D5E23CE"/>
    <w:rsid w:val="5D691739"/>
    <w:rsid w:val="5D8560B1"/>
    <w:rsid w:val="5D895CE8"/>
    <w:rsid w:val="5D9971A6"/>
    <w:rsid w:val="5D9D5581"/>
    <w:rsid w:val="5D9E1657"/>
    <w:rsid w:val="5DC80085"/>
    <w:rsid w:val="5DCB7867"/>
    <w:rsid w:val="5E111E29"/>
    <w:rsid w:val="5E2467F1"/>
    <w:rsid w:val="5E3E454F"/>
    <w:rsid w:val="5E4C7664"/>
    <w:rsid w:val="5E631F59"/>
    <w:rsid w:val="5E633CAB"/>
    <w:rsid w:val="5E6F15F6"/>
    <w:rsid w:val="5E766130"/>
    <w:rsid w:val="5E8E5228"/>
    <w:rsid w:val="5E924C9F"/>
    <w:rsid w:val="5EAD10DD"/>
    <w:rsid w:val="5ECE7D1A"/>
    <w:rsid w:val="5ED2780B"/>
    <w:rsid w:val="5EF3152F"/>
    <w:rsid w:val="5EF64B7B"/>
    <w:rsid w:val="5F020E8B"/>
    <w:rsid w:val="5F1A2B43"/>
    <w:rsid w:val="5F281891"/>
    <w:rsid w:val="5F357D99"/>
    <w:rsid w:val="5F412F9B"/>
    <w:rsid w:val="5F443B39"/>
    <w:rsid w:val="5F5E134F"/>
    <w:rsid w:val="5F685BE0"/>
    <w:rsid w:val="5F6B6A7C"/>
    <w:rsid w:val="5FA03A84"/>
    <w:rsid w:val="5FA5572E"/>
    <w:rsid w:val="5FB837BB"/>
    <w:rsid w:val="5FBE5856"/>
    <w:rsid w:val="5FDD2C9D"/>
    <w:rsid w:val="601A4019"/>
    <w:rsid w:val="601E082E"/>
    <w:rsid w:val="602120CC"/>
    <w:rsid w:val="602776E2"/>
    <w:rsid w:val="60483AFC"/>
    <w:rsid w:val="606771CD"/>
    <w:rsid w:val="606A75CF"/>
    <w:rsid w:val="60787F3E"/>
    <w:rsid w:val="608318BF"/>
    <w:rsid w:val="608D54F5"/>
    <w:rsid w:val="60912DAE"/>
    <w:rsid w:val="609829D4"/>
    <w:rsid w:val="60BF5B6D"/>
    <w:rsid w:val="60CC028A"/>
    <w:rsid w:val="60CC405A"/>
    <w:rsid w:val="60CF38D6"/>
    <w:rsid w:val="60E03B7B"/>
    <w:rsid w:val="61047A23"/>
    <w:rsid w:val="612360D6"/>
    <w:rsid w:val="612C6F7A"/>
    <w:rsid w:val="612D72F1"/>
    <w:rsid w:val="61974A03"/>
    <w:rsid w:val="619863BE"/>
    <w:rsid w:val="61C10DE7"/>
    <w:rsid w:val="61E215D8"/>
    <w:rsid w:val="62157973"/>
    <w:rsid w:val="621B3775"/>
    <w:rsid w:val="622F126C"/>
    <w:rsid w:val="62364782"/>
    <w:rsid w:val="623D26D8"/>
    <w:rsid w:val="627830C3"/>
    <w:rsid w:val="6291178B"/>
    <w:rsid w:val="62A0552A"/>
    <w:rsid w:val="62B434D4"/>
    <w:rsid w:val="62C5189C"/>
    <w:rsid w:val="62C71D4A"/>
    <w:rsid w:val="62D16511"/>
    <w:rsid w:val="62D70D7A"/>
    <w:rsid w:val="62DE4FB6"/>
    <w:rsid w:val="62DF472C"/>
    <w:rsid w:val="63057DBF"/>
    <w:rsid w:val="631149B6"/>
    <w:rsid w:val="6315416A"/>
    <w:rsid w:val="63244D7C"/>
    <w:rsid w:val="634123D9"/>
    <w:rsid w:val="636672D8"/>
    <w:rsid w:val="63814389"/>
    <w:rsid w:val="638E1826"/>
    <w:rsid w:val="6394356A"/>
    <w:rsid w:val="639A466F"/>
    <w:rsid w:val="639C03E7"/>
    <w:rsid w:val="639E6038"/>
    <w:rsid w:val="63AC1825"/>
    <w:rsid w:val="63BF610A"/>
    <w:rsid w:val="63C61B2C"/>
    <w:rsid w:val="63D40BE9"/>
    <w:rsid w:val="64065E12"/>
    <w:rsid w:val="640A6E5A"/>
    <w:rsid w:val="640D14A0"/>
    <w:rsid w:val="64102431"/>
    <w:rsid w:val="64127037"/>
    <w:rsid w:val="6419559B"/>
    <w:rsid w:val="642835AC"/>
    <w:rsid w:val="64342F28"/>
    <w:rsid w:val="6455187F"/>
    <w:rsid w:val="6455279A"/>
    <w:rsid w:val="64796354"/>
    <w:rsid w:val="647E1E99"/>
    <w:rsid w:val="648B7712"/>
    <w:rsid w:val="64A5243A"/>
    <w:rsid w:val="64A55079"/>
    <w:rsid w:val="64B903E6"/>
    <w:rsid w:val="64C32C2C"/>
    <w:rsid w:val="64C82024"/>
    <w:rsid w:val="64C931EF"/>
    <w:rsid w:val="64CA0F84"/>
    <w:rsid w:val="64D23995"/>
    <w:rsid w:val="64DB057B"/>
    <w:rsid w:val="64F30DF5"/>
    <w:rsid w:val="64F531DE"/>
    <w:rsid w:val="64FB7D14"/>
    <w:rsid w:val="65023777"/>
    <w:rsid w:val="65103B86"/>
    <w:rsid w:val="651427E9"/>
    <w:rsid w:val="6533719B"/>
    <w:rsid w:val="65373578"/>
    <w:rsid w:val="654E3963"/>
    <w:rsid w:val="65562207"/>
    <w:rsid w:val="655E5371"/>
    <w:rsid w:val="6562704F"/>
    <w:rsid w:val="65644F35"/>
    <w:rsid w:val="65750EF0"/>
    <w:rsid w:val="658630FD"/>
    <w:rsid w:val="659B647C"/>
    <w:rsid w:val="65BD4645"/>
    <w:rsid w:val="65BF660F"/>
    <w:rsid w:val="65C14135"/>
    <w:rsid w:val="65FC583D"/>
    <w:rsid w:val="660B5BCD"/>
    <w:rsid w:val="66197BE2"/>
    <w:rsid w:val="661F70AE"/>
    <w:rsid w:val="66293A88"/>
    <w:rsid w:val="662E109F"/>
    <w:rsid w:val="66372649"/>
    <w:rsid w:val="663F14FE"/>
    <w:rsid w:val="66490974"/>
    <w:rsid w:val="665F357B"/>
    <w:rsid w:val="666A53A5"/>
    <w:rsid w:val="666B14EC"/>
    <w:rsid w:val="668E102A"/>
    <w:rsid w:val="66A23F66"/>
    <w:rsid w:val="66B33982"/>
    <w:rsid w:val="66C20165"/>
    <w:rsid w:val="66CC0FE3"/>
    <w:rsid w:val="66FE5FB1"/>
    <w:rsid w:val="67041D5B"/>
    <w:rsid w:val="670544F5"/>
    <w:rsid w:val="6707452A"/>
    <w:rsid w:val="67114C48"/>
    <w:rsid w:val="671426E7"/>
    <w:rsid w:val="6715389E"/>
    <w:rsid w:val="671958AB"/>
    <w:rsid w:val="671F124A"/>
    <w:rsid w:val="672C7CD4"/>
    <w:rsid w:val="677A33C6"/>
    <w:rsid w:val="677C1920"/>
    <w:rsid w:val="679D028A"/>
    <w:rsid w:val="67CA4DF7"/>
    <w:rsid w:val="67D5211A"/>
    <w:rsid w:val="67F556A1"/>
    <w:rsid w:val="67F82A92"/>
    <w:rsid w:val="67FB3202"/>
    <w:rsid w:val="681F6961"/>
    <w:rsid w:val="68211DF9"/>
    <w:rsid w:val="68223A50"/>
    <w:rsid w:val="682420A5"/>
    <w:rsid w:val="68292212"/>
    <w:rsid w:val="6848469A"/>
    <w:rsid w:val="684B23DC"/>
    <w:rsid w:val="6853138D"/>
    <w:rsid w:val="685671E4"/>
    <w:rsid w:val="68610A2F"/>
    <w:rsid w:val="68646C4D"/>
    <w:rsid w:val="68655541"/>
    <w:rsid w:val="68660850"/>
    <w:rsid w:val="68805514"/>
    <w:rsid w:val="68A33FC6"/>
    <w:rsid w:val="68A970BB"/>
    <w:rsid w:val="68B95597"/>
    <w:rsid w:val="68BA4E6C"/>
    <w:rsid w:val="68C71923"/>
    <w:rsid w:val="68CB26AB"/>
    <w:rsid w:val="68EB28A1"/>
    <w:rsid w:val="68ED3493"/>
    <w:rsid w:val="68F77E6E"/>
    <w:rsid w:val="68FF4494"/>
    <w:rsid w:val="69036813"/>
    <w:rsid w:val="69253982"/>
    <w:rsid w:val="692B351F"/>
    <w:rsid w:val="69316E2F"/>
    <w:rsid w:val="69393972"/>
    <w:rsid w:val="693F623E"/>
    <w:rsid w:val="694E2071"/>
    <w:rsid w:val="695936D5"/>
    <w:rsid w:val="695D3FDE"/>
    <w:rsid w:val="69766163"/>
    <w:rsid w:val="697A3B33"/>
    <w:rsid w:val="69895A65"/>
    <w:rsid w:val="699D5683"/>
    <w:rsid w:val="69BA3375"/>
    <w:rsid w:val="69BD2FEA"/>
    <w:rsid w:val="69D44760"/>
    <w:rsid w:val="6A0171F6"/>
    <w:rsid w:val="6A270E82"/>
    <w:rsid w:val="6A294E47"/>
    <w:rsid w:val="6A31115D"/>
    <w:rsid w:val="6A4F25A1"/>
    <w:rsid w:val="6A520EC7"/>
    <w:rsid w:val="6A8E772A"/>
    <w:rsid w:val="6A942B64"/>
    <w:rsid w:val="6A9B7884"/>
    <w:rsid w:val="6AA56969"/>
    <w:rsid w:val="6AC41210"/>
    <w:rsid w:val="6ACA073F"/>
    <w:rsid w:val="6AE7005D"/>
    <w:rsid w:val="6AF87E20"/>
    <w:rsid w:val="6B322639"/>
    <w:rsid w:val="6B442CB0"/>
    <w:rsid w:val="6B4D0219"/>
    <w:rsid w:val="6B5E30F6"/>
    <w:rsid w:val="6B6C452B"/>
    <w:rsid w:val="6B8D3A8A"/>
    <w:rsid w:val="6BAD2A66"/>
    <w:rsid w:val="6BAF67DE"/>
    <w:rsid w:val="6C007039"/>
    <w:rsid w:val="6C10266E"/>
    <w:rsid w:val="6C1A6BDE"/>
    <w:rsid w:val="6C1F462C"/>
    <w:rsid w:val="6C335661"/>
    <w:rsid w:val="6C3D1EED"/>
    <w:rsid w:val="6C636C38"/>
    <w:rsid w:val="6C646799"/>
    <w:rsid w:val="6C756444"/>
    <w:rsid w:val="6C847C6A"/>
    <w:rsid w:val="6C9E1FAF"/>
    <w:rsid w:val="6CDF3526"/>
    <w:rsid w:val="6D00292F"/>
    <w:rsid w:val="6D0A561B"/>
    <w:rsid w:val="6D0D5EB2"/>
    <w:rsid w:val="6D286848"/>
    <w:rsid w:val="6D392452"/>
    <w:rsid w:val="6D4F0278"/>
    <w:rsid w:val="6D6958FC"/>
    <w:rsid w:val="6D6B4986"/>
    <w:rsid w:val="6D8F6205"/>
    <w:rsid w:val="6DB34098"/>
    <w:rsid w:val="6DB545B6"/>
    <w:rsid w:val="6DD525AF"/>
    <w:rsid w:val="6DE02FB4"/>
    <w:rsid w:val="6DFA6436"/>
    <w:rsid w:val="6E05056E"/>
    <w:rsid w:val="6E086B91"/>
    <w:rsid w:val="6E0A6563"/>
    <w:rsid w:val="6E0B3288"/>
    <w:rsid w:val="6E1C4BEA"/>
    <w:rsid w:val="6E392FDD"/>
    <w:rsid w:val="6E4C32B8"/>
    <w:rsid w:val="6E514CED"/>
    <w:rsid w:val="6E672895"/>
    <w:rsid w:val="6EA10B05"/>
    <w:rsid w:val="6EB563D5"/>
    <w:rsid w:val="6EC46A44"/>
    <w:rsid w:val="6EC709B6"/>
    <w:rsid w:val="6ED2694B"/>
    <w:rsid w:val="6ED92677"/>
    <w:rsid w:val="6EDB7614"/>
    <w:rsid w:val="6EE13152"/>
    <w:rsid w:val="6EE57FF0"/>
    <w:rsid w:val="6EFA2466"/>
    <w:rsid w:val="6F1D5456"/>
    <w:rsid w:val="6F225983"/>
    <w:rsid w:val="6F3F236F"/>
    <w:rsid w:val="6F441EB0"/>
    <w:rsid w:val="6F59718C"/>
    <w:rsid w:val="6FC35236"/>
    <w:rsid w:val="6FCA1E38"/>
    <w:rsid w:val="6FCA4F8A"/>
    <w:rsid w:val="6FCE05FB"/>
    <w:rsid w:val="6FFC5590"/>
    <w:rsid w:val="6FFC67AA"/>
    <w:rsid w:val="700A492A"/>
    <w:rsid w:val="70242E78"/>
    <w:rsid w:val="70313C65"/>
    <w:rsid w:val="70385739"/>
    <w:rsid w:val="704010A1"/>
    <w:rsid w:val="705477B4"/>
    <w:rsid w:val="706D1DD0"/>
    <w:rsid w:val="70737206"/>
    <w:rsid w:val="707B75D6"/>
    <w:rsid w:val="707D334E"/>
    <w:rsid w:val="70856B87"/>
    <w:rsid w:val="70AD3C34"/>
    <w:rsid w:val="70B653D4"/>
    <w:rsid w:val="70BB2482"/>
    <w:rsid w:val="70C96594"/>
    <w:rsid w:val="70D527EE"/>
    <w:rsid w:val="710E3FA6"/>
    <w:rsid w:val="712B4B58"/>
    <w:rsid w:val="71445C1A"/>
    <w:rsid w:val="714479C8"/>
    <w:rsid w:val="71526E6A"/>
    <w:rsid w:val="715B5300"/>
    <w:rsid w:val="717604C9"/>
    <w:rsid w:val="71763121"/>
    <w:rsid w:val="718856A4"/>
    <w:rsid w:val="719646C8"/>
    <w:rsid w:val="71C8684B"/>
    <w:rsid w:val="71D27F8A"/>
    <w:rsid w:val="71DA5A06"/>
    <w:rsid w:val="71DA782E"/>
    <w:rsid w:val="71DB20DB"/>
    <w:rsid w:val="71FB277D"/>
    <w:rsid w:val="72101106"/>
    <w:rsid w:val="72127937"/>
    <w:rsid w:val="72251D1E"/>
    <w:rsid w:val="72274F39"/>
    <w:rsid w:val="723F2C59"/>
    <w:rsid w:val="72553024"/>
    <w:rsid w:val="728343CC"/>
    <w:rsid w:val="728E539F"/>
    <w:rsid w:val="72B37268"/>
    <w:rsid w:val="72B809AA"/>
    <w:rsid w:val="72CB79DC"/>
    <w:rsid w:val="72CC4119"/>
    <w:rsid w:val="72DE56EC"/>
    <w:rsid w:val="7301214A"/>
    <w:rsid w:val="730E4732"/>
    <w:rsid w:val="731155B0"/>
    <w:rsid w:val="73122968"/>
    <w:rsid w:val="731D42F0"/>
    <w:rsid w:val="731F5D5E"/>
    <w:rsid w:val="732E6B82"/>
    <w:rsid w:val="73363179"/>
    <w:rsid w:val="73451644"/>
    <w:rsid w:val="73505624"/>
    <w:rsid w:val="73532145"/>
    <w:rsid w:val="7358775B"/>
    <w:rsid w:val="73685BF0"/>
    <w:rsid w:val="73812E5B"/>
    <w:rsid w:val="73846B67"/>
    <w:rsid w:val="73912681"/>
    <w:rsid w:val="73A43307"/>
    <w:rsid w:val="73B40CE6"/>
    <w:rsid w:val="73B905F0"/>
    <w:rsid w:val="73C42244"/>
    <w:rsid w:val="73C51AD5"/>
    <w:rsid w:val="73CB43D1"/>
    <w:rsid w:val="73D95F4B"/>
    <w:rsid w:val="73DF4FC2"/>
    <w:rsid w:val="73EF2192"/>
    <w:rsid w:val="73F25E01"/>
    <w:rsid w:val="74024296"/>
    <w:rsid w:val="74024A06"/>
    <w:rsid w:val="741B1DF9"/>
    <w:rsid w:val="741E793C"/>
    <w:rsid w:val="7420471D"/>
    <w:rsid w:val="744B0572"/>
    <w:rsid w:val="745E3944"/>
    <w:rsid w:val="74996048"/>
    <w:rsid w:val="749E3362"/>
    <w:rsid w:val="74A72748"/>
    <w:rsid w:val="74AC764B"/>
    <w:rsid w:val="74B11819"/>
    <w:rsid w:val="74BA74C3"/>
    <w:rsid w:val="74C7103C"/>
    <w:rsid w:val="74CE4179"/>
    <w:rsid w:val="74F80E33"/>
    <w:rsid w:val="75220020"/>
    <w:rsid w:val="758B6BA0"/>
    <w:rsid w:val="75A215E8"/>
    <w:rsid w:val="75A85DB3"/>
    <w:rsid w:val="75AA4071"/>
    <w:rsid w:val="75C07440"/>
    <w:rsid w:val="75C537CD"/>
    <w:rsid w:val="75F92E40"/>
    <w:rsid w:val="76002AA2"/>
    <w:rsid w:val="760342F6"/>
    <w:rsid w:val="760F2C9B"/>
    <w:rsid w:val="761402B1"/>
    <w:rsid w:val="762348A3"/>
    <w:rsid w:val="762A2B0E"/>
    <w:rsid w:val="7635099D"/>
    <w:rsid w:val="76353380"/>
    <w:rsid w:val="763906DE"/>
    <w:rsid w:val="763C15B6"/>
    <w:rsid w:val="764D5571"/>
    <w:rsid w:val="76982057"/>
    <w:rsid w:val="769A6A08"/>
    <w:rsid w:val="76BB38C6"/>
    <w:rsid w:val="76C60A5D"/>
    <w:rsid w:val="76CF5F86"/>
    <w:rsid w:val="76D2110F"/>
    <w:rsid w:val="76DF5AB7"/>
    <w:rsid w:val="76F4638F"/>
    <w:rsid w:val="7711659E"/>
    <w:rsid w:val="77170059"/>
    <w:rsid w:val="77246E9D"/>
    <w:rsid w:val="772F05CC"/>
    <w:rsid w:val="77496B16"/>
    <w:rsid w:val="775070C7"/>
    <w:rsid w:val="77692877"/>
    <w:rsid w:val="77762421"/>
    <w:rsid w:val="7778661E"/>
    <w:rsid w:val="77895D9B"/>
    <w:rsid w:val="77B56B1F"/>
    <w:rsid w:val="77E00A7D"/>
    <w:rsid w:val="77E3236A"/>
    <w:rsid w:val="780F09F4"/>
    <w:rsid w:val="78234B54"/>
    <w:rsid w:val="783C60FC"/>
    <w:rsid w:val="784F462E"/>
    <w:rsid w:val="785C6605"/>
    <w:rsid w:val="786A065C"/>
    <w:rsid w:val="788259A6"/>
    <w:rsid w:val="7883171E"/>
    <w:rsid w:val="78851184"/>
    <w:rsid w:val="78852F86"/>
    <w:rsid w:val="788F3C1F"/>
    <w:rsid w:val="78922979"/>
    <w:rsid w:val="78A230DC"/>
    <w:rsid w:val="78A90480"/>
    <w:rsid w:val="78AC31C9"/>
    <w:rsid w:val="78B73112"/>
    <w:rsid w:val="78FC48F7"/>
    <w:rsid w:val="79171EA6"/>
    <w:rsid w:val="79321574"/>
    <w:rsid w:val="794E7636"/>
    <w:rsid w:val="79585787"/>
    <w:rsid w:val="796777FB"/>
    <w:rsid w:val="797239C3"/>
    <w:rsid w:val="79A47B9E"/>
    <w:rsid w:val="79AA1BD9"/>
    <w:rsid w:val="79CC49FF"/>
    <w:rsid w:val="79EF706B"/>
    <w:rsid w:val="7A24012F"/>
    <w:rsid w:val="7A253CE7"/>
    <w:rsid w:val="7A364017"/>
    <w:rsid w:val="7A443ADD"/>
    <w:rsid w:val="7A616556"/>
    <w:rsid w:val="7A6730A5"/>
    <w:rsid w:val="7A6740E1"/>
    <w:rsid w:val="7A7D6C30"/>
    <w:rsid w:val="7A8265E1"/>
    <w:rsid w:val="7A942529"/>
    <w:rsid w:val="7ABA1562"/>
    <w:rsid w:val="7AC1208A"/>
    <w:rsid w:val="7ADF641C"/>
    <w:rsid w:val="7AF527AD"/>
    <w:rsid w:val="7AF56F61"/>
    <w:rsid w:val="7B002BB2"/>
    <w:rsid w:val="7B034EAE"/>
    <w:rsid w:val="7B0C2B2A"/>
    <w:rsid w:val="7B0D353C"/>
    <w:rsid w:val="7B10610C"/>
    <w:rsid w:val="7B464D66"/>
    <w:rsid w:val="7B6313EA"/>
    <w:rsid w:val="7B686D42"/>
    <w:rsid w:val="7B727694"/>
    <w:rsid w:val="7B841746"/>
    <w:rsid w:val="7B963516"/>
    <w:rsid w:val="7B9B7E90"/>
    <w:rsid w:val="7BAC2D3A"/>
    <w:rsid w:val="7BC12852"/>
    <w:rsid w:val="7BCC0CE6"/>
    <w:rsid w:val="7BE56FF6"/>
    <w:rsid w:val="7C1C093F"/>
    <w:rsid w:val="7C2823C0"/>
    <w:rsid w:val="7C3418DE"/>
    <w:rsid w:val="7C5461B0"/>
    <w:rsid w:val="7C6C5AC7"/>
    <w:rsid w:val="7C771AD3"/>
    <w:rsid w:val="7C7C0177"/>
    <w:rsid w:val="7C9963BD"/>
    <w:rsid w:val="7CA94BF6"/>
    <w:rsid w:val="7CB71996"/>
    <w:rsid w:val="7CC6544B"/>
    <w:rsid w:val="7CD5368A"/>
    <w:rsid w:val="7CE65DD7"/>
    <w:rsid w:val="7CE806F6"/>
    <w:rsid w:val="7CEC388D"/>
    <w:rsid w:val="7CEC4093"/>
    <w:rsid w:val="7CF95B0B"/>
    <w:rsid w:val="7D016ED4"/>
    <w:rsid w:val="7D0239FF"/>
    <w:rsid w:val="7D187063"/>
    <w:rsid w:val="7D20107E"/>
    <w:rsid w:val="7D221534"/>
    <w:rsid w:val="7D235AE0"/>
    <w:rsid w:val="7D322683"/>
    <w:rsid w:val="7D5B1908"/>
    <w:rsid w:val="7D5E40CD"/>
    <w:rsid w:val="7D5F13D4"/>
    <w:rsid w:val="7D61465C"/>
    <w:rsid w:val="7D672145"/>
    <w:rsid w:val="7D996146"/>
    <w:rsid w:val="7DA86601"/>
    <w:rsid w:val="7DCD56F2"/>
    <w:rsid w:val="7DFF1847"/>
    <w:rsid w:val="7E01598A"/>
    <w:rsid w:val="7E211319"/>
    <w:rsid w:val="7E2B573B"/>
    <w:rsid w:val="7E5F6D3B"/>
    <w:rsid w:val="7E64269D"/>
    <w:rsid w:val="7E700220"/>
    <w:rsid w:val="7E816370"/>
    <w:rsid w:val="7EAF501B"/>
    <w:rsid w:val="7ED20812"/>
    <w:rsid w:val="7EF04CF2"/>
    <w:rsid w:val="7F001CE7"/>
    <w:rsid w:val="7F0054BD"/>
    <w:rsid w:val="7F08472B"/>
    <w:rsid w:val="7F201A75"/>
    <w:rsid w:val="7F6A3DE6"/>
    <w:rsid w:val="7F6E0A32"/>
    <w:rsid w:val="7F9D4D47"/>
    <w:rsid w:val="7FB05AE7"/>
    <w:rsid w:val="7FB727AA"/>
    <w:rsid w:val="7FBA46B9"/>
    <w:rsid w:val="7FE47E50"/>
    <w:rsid w:val="7FEC5DFB"/>
    <w:rsid w:val="7FEE34C8"/>
    <w:rsid w:val="7FEE644E"/>
    <w:rsid w:val="7FF60A2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99"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iPriority="99"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semiHidden="0"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10">
    <w:name w:val="heading 1"/>
    <w:basedOn w:val="1"/>
    <w:next w:val="1"/>
    <w:link w:val="43"/>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11">
    <w:name w:val="heading 2"/>
    <w:basedOn w:val="1"/>
    <w:next w:val="1"/>
    <w:qFormat/>
    <w:locked/>
    <w:uiPriority w:val="0"/>
    <w:pPr>
      <w:adjustRightInd w:val="0"/>
      <w:snapToGrid w:val="0"/>
      <w:spacing w:line="360" w:lineRule="auto"/>
      <w:jc w:val="left"/>
      <w:textAlignment w:val="baseline"/>
      <w:outlineLvl w:val="1"/>
    </w:pPr>
    <w:rPr>
      <w:b/>
      <w:bCs/>
      <w:kern w:val="0"/>
      <w:sz w:val="32"/>
      <w:szCs w:val="32"/>
    </w:rPr>
  </w:style>
  <w:style w:type="paragraph" w:styleId="12">
    <w:name w:val="heading 3"/>
    <w:basedOn w:val="1"/>
    <w:next w:val="1"/>
    <w:unhideWhenUsed/>
    <w:qFormat/>
    <w:locked/>
    <w:uiPriority w:val="0"/>
    <w:pPr>
      <w:spacing w:before="100" w:beforeAutospacing="1" w:after="100" w:afterAutospacing="1"/>
      <w:jc w:val="left"/>
      <w:outlineLvl w:val="2"/>
    </w:pPr>
    <w:rPr>
      <w:rFonts w:hint="eastAsia" w:ascii="宋体" w:hAnsi="宋体"/>
      <w:b/>
      <w:kern w:val="0"/>
      <w:sz w:val="27"/>
      <w:szCs w:val="27"/>
    </w:rPr>
  </w:style>
  <w:style w:type="paragraph" w:styleId="13">
    <w:name w:val="heading 4"/>
    <w:basedOn w:val="1"/>
    <w:next w:val="1"/>
    <w:qFormat/>
    <w:locked/>
    <w:uiPriority w:val="0"/>
    <w:pPr>
      <w:keepNext/>
      <w:keepLines/>
      <w:jc w:val="center"/>
      <w:outlineLvl w:val="3"/>
    </w:pPr>
  </w:style>
  <w:style w:type="character" w:default="1" w:styleId="35">
    <w:name w:val="Default Paragraph Font"/>
    <w:unhideWhenUsed/>
    <w:qFormat/>
    <w:uiPriority w:val="1"/>
  </w:style>
  <w:style w:type="table" w:default="1" w:styleId="33">
    <w:name w:val="Normal Table"/>
    <w:unhideWhenUsed/>
    <w:qFormat/>
    <w:uiPriority w:val="99"/>
    <w:tblPr>
      <w:tblCellMar>
        <w:top w:w="0" w:type="dxa"/>
        <w:left w:w="108" w:type="dxa"/>
        <w:bottom w:w="0" w:type="dxa"/>
        <w:right w:w="108" w:type="dxa"/>
      </w:tblCellMar>
    </w:tblPr>
  </w:style>
  <w:style w:type="paragraph" w:customStyle="1" w:styleId="2">
    <w:name w:val="Default"/>
    <w:basedOn w:val="3"/>
    <w:next w:val="7"/>
    <w:qFormat/>
    <w:uiPriority w:val="0"/>
    <w:pPr>
      <w:autoSpaceDE w:val="0"/>
      <w:autoSpaceDN w:val="0"/>
      <w:adjustRightInd w:val="0"/>
    </w:pPr>
    <w:rPr>
      <w:rFonts w:eastAsia="Calibri" w:cs="Arial"/>
      <w:sz w:val="24"/>
    </w:rPr>
  </w:style>
  <w:style w:type="paragraph" w:customStyle="1" w:styleId="3">
    <w:name w:val="纯文本1"/>
    <w:basedOn w:val="1"/>
    <w:next w:val="4"/>
    <w:qFormat/>
    <w:uiPriority w:val="0"/>
    <w:pPr>
      <w:textAlignment w:val="baseline"/>
    </w:pPr>
    <w:rPr>
      <w:rFonts w:ascii="宋体" w:hAnsi="Courier New"/>
    </w:rPr>
  </w:style>
  <w:style w:type="paragraph" w:styleId="4">
    <w:name w:val="Plain Text"/>
    <w:basedOn w:val="1"/>
    <w:next w:val="5"/>
    <w:qFormat/>
    <w:locked/>
    <w:uiPriority w:val="0"/>
    <w:pPr>
      <w:widowControl w:val="0"/>
      <w:adjustRightInd w:val="0"/>
      <w:snapToGrid w:val="0"/>
      <w:spacing w:line="360" w:lineRule="auto"/>
      <w:jc w:val="both"/>
    </w:pPr>
    <w:rPr>
      <w:rFonts w:ascii="宋体" w:hAnsi="Courier New" w:eastAsia="宋体" w:cs="Times New Roman"/>
      <w:szCs w:val="21"/>
      <w:lang w:val="en-US" w:eastAsia="zh-CN" w:bidi="ar-SA"/>
    </w:rPr>
  </w:style>
  <w:style w:type="paragraph" w:styleId="5">
    <w:name w:val="Body Text"/>
    <w:basedOn w:val="1"/>
    <w:next w:val="6"/>
    <w:link w:val="45"/>
    <w:qFormat/>
    <w:uiPriority w:val="0"/>
    <w:pPr>
      <w:widowControl/>
      <w:snapToGrid w:val="0"/>
      <w:spacing w:before="60" w:after="160" w:line="259" w:lineRule="auto"/>
      <w:ind w:right="113"/>
    </w:pPr>
    <w:rPr>
      <w:kern w:val="0"/>
      <w:sz w:val="18"/>
      <w:szCs w:val="20"/>
    </w:rPr>
  </w:style>
  <w:style w:type="paragraph" w:styleId="6">
    <w:name w:val="Note Heading"/>
    <w:basedOn w:val="1"/>
    <w:next w:val="1"/>
    <w:qFormat/>
    <w:locked/>
    <w:uiPriority w:val="0"/>
    <w:pPr>
      <w:jc w:val="left"/>
    </w:pPr>
  </w:style>
  <w:style w:type="paragraph" w:customStyle="1" w:styleId="7">
    <w:name w:val="样式35"/>
    <w:next w:val="8"/>
    <w:qFormat/>
    <w:uiPriority w:val="99"/>
    <w:pPr>
      <w:widowControl w:val="0"/>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8">
    <w:name w:val="font6"/>
    <w:basedOn w:val="1"/>
    <w:next w:val="9"/>
    <w:qFormat/>
    <w:uiPriority w:val="99"/>
    <w:pPr>
      <w:widowControl/>
      <w:spacing w:before="100" w:beforeAutospacing="1" w:after="100" w:afterAutospacing="1"/>
      <w:jc w:val="left"/>
    </w:pPr>
    <w:rPr>
      <w:rFonts w:ascii="宋体" w:hAnsi="宋体"/>
      <w:sz w:val="20"/>
      <w:szCs w:val="20"/>
    </w:rPr>
  </w:style>
  <w:style w:type="paragraph" w:styleId="9">
    <w:name w:val="toc 2"/>
    <w:basedOn w:val="1"/>
    <w:next w:val="1"/>
    <w:unhideWhenUsed/>
    <w:qFormat/>
    <w:locked/>
    <w:uiPriority w:val="39"/>
    <w:pPr>
      <w:ind w:left="210"/>
      <w:jc w:val="left"/>
    </w:pPr>
    <w:rPr>
      <w:rFonts w:ascii="Calibri" w:hAnsi="Calibri"/>
      <w:smallCaps/>
      <w:sz w:val="20"/>
      <w:szCs w:val="20"/>
    </w:rPr>
  </w:style>
  <w:style w:type="paragraph" w:styleId="14">
    <w:name w:val="List 3"/>
    <w:basedOn w:val="1"/>
    <w:next w:val="1"/>
    <w:qFormat/>
    <w:locked/>
    <w:uiPriority w:val="0"/>
    <w:pPr>
      <w:ind w:left="100" w:leftChars="400" w:hanging="200" w:hangingChars="200"/>
      <w:contextualSpacing/>
    </w:pPr>
  </w:style>
  <w:style w:type="paragraph" w:styleId="15">
    <w:name w:val="Normal Indent"/>
    <w:basedOn w:val="1"/>
    <w:next w:val="1"/>
    <w:qFormat/>
    <w:locked/>
    <w:uiPriority w:val="0"/>
    <w:pPr>
      <w:ind w:firstLine="420" w:firstLineChars="200"/>
    </w:pPr>
  </w:style>
  <w:style w:type="paragraph" w:styleId="16">
    <w:name w:val="caption"/>
    <w:basedOn w:val="1"/>
    <w:next w:val="1"/>
    <w:qFormat/>
    <w:locked/>
    <w:uiPriority w:val="99"/>
    <w:pPr>
      <w:spacing w:line="360" w:lineRule="auto"/>
      <w:ind w:firstLine="0" w:firstLineChars="0"/>
      <w:jc w:val="center"/>
    </w:pPr>
    <w:rPr>
      <w:rFonts w:cs="Times New Roman"/>
      <w:b/>
      <w:sz w:val="24"/>
      <w:szCs w:val="20"/>
    </w:rPr>
  </w:style>
  <w:style w:type="paragraph" w:styleId="17">
    <w:name w:val="annotation text"/>
    <w:basedOn w:val="1"/>
    <w:link w:val="44"/>
    <w:semiHidden/>
    <w:qFormat/>
    <w:uiPriority w:val="0"/>
    <w:pPr>
      <w:jc w:val="left"/>
    </w:pPr>
    <w:rPr>
      <w:kern w:val="0"/>
      <w:sz w:val="24"/>
      <w:szCs w:val="20"/>
    </w:rPr>
  </w:style>
  <w:style w:type="paragraph" w:styleId="18">
    <w:name w:val="Salutation"/>
    <w:basedOn w:val="1"/>
    <w:next w:val="1"/>
    <w:unhideWhenUsed/>
    <w:qFormat/>
    <w:locked/>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9">
    <w:name w:val="Body Text Indent"/>
    <w:basedOn w:val="1"/>
    <w:next w:val="1"/>
    <w:link w:val="46"/>
    <w:qFormat/>
    <w:uiPriority w:val="0"/>
    <w:pPr>
      <w:spacing w:after="120"/>
      <w:ind w:left="420" w:leftChars="200"/>
    </w:pPr>
    <w:rPr>
      <w:kern w:val="0"/>
      <w:sz w:val="24"/>
      <w:szCs w:val="20"/>
    </w:rPr>
  </w:style>
  <w:style w:type="paragraph" w:styleId="20">
    <w:name w:val="Date"/>
    <w:basedOn w:val="1"/>
    <w:next w:val="1"/>
    <w:link w:val="47"/>
    <w:qFormat/>
    <w:uiPriority w:val="0"/>
    <w:pPr>
      <w:ind w:left="100" w:leftChars="2500"/>
    </w:pPr>
    <w:rPr>
      <w:kern w:val="0"/>
      <w:sz w:val="24"/>
      <w:szCs w:val="20"/>
    </w:rPr>
  </w:style>
  <w:style w:type="paragraph" w:styleId="21">
    <w:name w:val="Body Text Indent 2"/>
    <w:basedOn w:val="1"/>
    <w:next w:val="22"/>
    <w:qFormat/>
    <w:locked/>
    <w:uiPriority w:val="0"/>
    <w:pPr>
      <w:spacing w:line="360" w:lineRule="auto"/>
      <w:ind w:left="-2" w:leftChars="-1" w:firstLine="560" w:firstLineChars="200"/>
    </w:pPr>
    <w:rPr>
      <w:rFonts w:ascii="Calibri" w:hAnsi="Calibri" w:eastAsia="Times New Roman"/>
      <w:sz w:val="28"/>
    </w:rPr>
  </w:style>
  <w:style w:type="paragraph" w:styleId="22">
    <w:name w:val="Body Text First Indent 2"/>
    <w:basedOn w:val="19"/>
    <w:next w:val="23"/>
    <w:qFormat/>
    <w:locked/>
    <w:uiPriority w:val="0"/>
    <w:pPr>
      <w:ind w:firstLine="420" w:firstLineChars="200"/>
    </w:pPr>
  </w:style>
  <w:style w:type="paragraph" w:styleId="23">
    <w:name w:val="Body Text First Indent"/>
    <w:basedOn w:val="5"/>
    <w:next w:val="1"/>
    <w:qFormat/>
    <w:locked/>
    <w:uiPriority w:val="0"/>
    <w:pPr>
      <w:widowControl w:val="0"/>
      <w:tabs>
        <w:tab w:val="left" w:pos="1620"/>
        <w:tab w:val="left" w:pos="2700"/>
      </w:tabs>
      <w:spacing w:line="240" w:lineRule="exact"/>
      <w:ind w:firstLine="420" w:firstLineChars="100"/>
      <w:jc w:val="center"/>
    </w:pPr>
    <w:rPr>
      <w:kern w:val="2"/>
      <w:sz w:val="28"/>
    </w:rPr>
  </w:style>
  <w:style w:type="paragraph" w:styleId="24">
    <w:name w:val="Balloon Text"/>
    <w:basedOn w:val="1"/>
    <w:next w:val="5"/>
    <w:link w:val="48"/>
    <w:semiHidden/>
    <w:qFormat/>
    <w:uiPriority w:val="0"/>
    <w:rPr>
      <w:kern w:val="0"/>
      <w:sz w:val="18"/>
      <w:szCs w:val="20"/>
    </w:rPr>
  </w:style>
  <w:style w:type="paragraph" w:styleId="25">
    <w:name w:val="footer"/>
    <w:basedOn w:val="1"/>
    <w:link w:val="49"/>
    <w:qFormat/>
    <w:uiPriority w:val="99"/>
    <w:pPr>
      <w:tabs>
        <w:tab w:val="center" w:pos="4153"/>
        <w:tab w:val="right" w:pos="8306"/>
      </w:tabs>
      <w:snapToGrid w:val="0"/>
      <w:jc w:val="left"/>
    </w:pPr>
    <w:rPr>
      <w:kern w:val="0"/>
      <w:sz w:val="18"/>
      <w:szCs w:val="20"/>
    </w:rPr>
  </w:style>
  <w:style w:type="paragraph" w:styleId="26">
    <w:name w:val="header"/>
    <w:basedOn w:val="1"/>
    <w:next w:val="27"/>
    <w:link w:val="50"/>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7">
    <w:name w:val="样式5"/>
    <w:basedOn w:val="1"/>
    <w:next w:val="1"/>
    <w:qFormat/>
    <w:uiPriority w:val="0"/>
    <w:pPr>
      <w:snapToGrid w:val="0"/>
      <w:spacing w:line="360" w:lineRule="auto"/>
      <w:ind w:firstLine="510"/>
    </w:pPr>
    <w:rPr>
      <w:sz w:val="24"/>
    </w:rPr>
  </w:style>
  <w:style w:type="paragraph" w:styleId="28">
    <w:name w:val="toc 1"/>
    <w:basedOn w:val="1"/>
    <w:next w:val="1"/>
    <w:qFormat/>
    <w:locked/>
    <w:uiPriority w:val="0"/>
  </w:style>
  <w:style w:type="paragraph" w:styleId="29">
    <w:name w:val="List"/>
    <w:basedOn w:val="1"/>
    <w:qFormat/>
    <w:locked/>
    <w:uiPriority w:val="0"/>
    <w:pPr>
      <w:ind w:left="200" w:hanging="200" w:hangingChars="200"/>
    </w:pPr>
  </w:style>
  <w:style w:type="paragraph" w:styleId="30">
    <w:name w:val="Normal (Web)"/>
    <w:basedOn w:val="1"/>
    <w:link w:val="51"/>
    <w:qFormat/>
    <w:uiPriority w:val="0"/>
    <w:pPr>
      <w:widowControl/>
      <w:spacing w:before="100" w:beforeAutospacing="1" w:after="100" w:afterAutospacing="1"/>
      <w:jc w:val="left"/>
    </w:pPr>
    <w:rPr>
      <w:rFonts w:ascii="宋体" w:hAnsi="宋体"/>
      <w:kern w:val="0"/>
      <w:sz w:val="24"/>
      <w:szCs w:val="20"/>
    </w:rPr>
  </w:style>
  <w:style w:type="paragraph" w:styleId="31">
    <w:name w:val="Title"/>
    <w:basedOn w:val="1"/>
    <w:next w:val="1"/>
    <w:qFormat/>
    <w:locked/>
    <w:uiPriority w:val="0"/>
    <w:pPr>
      <w:jc w:val="center"/>
    </w:pPr>
    <w:rPr>
      <w:b/>
      <w:bCs/>
      <w:szCs w:val="32"/>
    </w:rPr>
  </w:style>
  <w:style w:type="paragraph" w:styleId="32">
    <w:name w:val="annotation subject"/>
    <w:basedOn w:val="17"/>
    <w:next w:val="17"/>
    <w:link w:val="52"/>
    <w:semiHidden/>
    <w:qFormat/>
    <w:uiPriority w:val="0"/>
    <w:rPr>
      <w:b/>
    </w:rPr>
  </w:style>
  <w:style w:type="table" w:styleId="34">
    <w:name w:val="Table Grid"/>
    <w:basedOn w:val="3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Strong"/>
    <w:qFormat/>
    <w:locked/>
    <w:uiPriority w:val="0"/>
    <w:rPr>
      <w:b/>
      <w:bCs/>
    </w:rPr>
  </w:style>
  <w:style w:type="character" w:styleId="37">
    <w:name w:val="page number"/>
    <w:basedOn w:val="35"/>
    <w:qFormat/>
    <w:locked/>
    <w:uiPriority w:val="0"/>
    <w:rPr>
      <w:rFonts w:hint="default" w:ascii="Times New Roman" w:hAnsi="Times New Roman" w:cs="Times New Roman"/>
    </w:rPr>
  </w:style>
  <w:style w:type="character" w:styleId="38">
    <w:name w:val="FollowedHyperlink"/>
    <w:basedOn w:val="35"/>
    <w:qFormat/>
    <w:locked/>
    <w:uiPriority w:val="0"/>
    <w:rPr>
      <w:color w:val="954F72"/>
      <w:u w:val="single"/>
    </w:rPr>
  </w:style>
  <w:style w:type="character" w:styleId="39">
    <w:name w:val="Emphasis"/>
    <w:basedOn w:val="35"/>
    <w:qFormat/>
    <w:locked/>
    <w:uiPriority w:val="0"/>
    <w:rPr>
      <w:i/>
    </w:rPr>
  </w:style>
  <w:style w:type="character" w:styleId="40">
    <w:name w:val="Hyperlink"/>
    <w:basedOn w:val="35"/>
    <w:qFormat/>
    <w:locked/>
    <w:uiPriority w:val="0"/>
    <w:rPr>
      <w:color w:val="4D4D4D"/>
      <w:u w:val="none"/>
    </w:rPr>
  </w:style>
  <w:style w:type="character" w:styleId="41">
    <w:name w:val="annotation reference"/>
    <w:basedOn w:val="35"/>
    <w:semiHidden/>
    <w:qFormat/>
    <w:uiPriority w:val="0"/>
    <w:rPr>
      <w:sz w:val="21"/>
    </w:rPr>
  </w:style>
  <w:style w:type="paragraph" w:customStyle="1" w:styleId="42">
    <w:name w:val="样式 黑色 行距: 最小值 26 磅"/>
    <w:basedOn w:val="1"/>
    <w:qFormat/>
    <w:uiPriority w:val="99"/>
    <w:pPr>
      <w:ind w:firstLine="200" w:firstLineChars="200"/>
      <w:jc w:val="left"/>
    </w:pPr>
    <w:rPr>
      <w:rFonts w:ascii="Calibri" w:hAnsi="Calibri" w:eastAsia="楷体_GB2312" w:cs="宋体"/>
      <w:color w:val="000000"/>
      <w:spacing w:val="6"/>
      <w:sz w:val="28"/>
    </w:rPr>
  </w:style>
  <w:style w:type="character" w:customStyle="1" w:styleId="43">
    <w:name w:val="标题 1 字符"/>
    <w:link w:val="10"/>
    <w:qFormat/>
    <w:uiPriority w:val="0"/>
    <w:rPr>
      <w:rFonts w:eastAsia="黑体"/>
      <w:b/>
      <w:bCs/>
      <w:color w:val="000000"/>
      <w:kern w:val="44"/>
      <w:sz w:val="30"/>
      <w:szCs w:val="30"/>
    </w:rPr>
  </w:style>
  <w:style w:type="character" w:customStyle="1" w:styleId="44">
    <w:name w:val="批注文字 字符"/>
    <w:link w:val="17"/>
    <w:qFormat/>
    <w:locked/>
    <w:uiPriority w:val="0"/>
    <w:rPr>
      <w:rFonts w:ascii="Times New Roman" w:hAnsi="Times New Roman" w:eastAsia="宋体"/>
      <w:sz w:val="24"/>
    </w:rPr>
  </w:style>
  <w:style w:type="character" w:customStyle="1" w:styleId="45">
    <w:name w:val="正文文本 字符"/>
    <w:link w:val="5"/>
    <w:qFormat/>
    <w:locked/>
    <w:uiPriority w:val="0"/>
    <w:rPr>
      <w:sz w:val="18"/>
    </w:rPr>
  </w:style>
  <w:style w:type="character" w:customStyle="1" w:styleId="46">
    <w:name w:val="正文文本缩进 字符"/>
    <w:link w:val="19"/>
    <w:semiHidden/>
    <w:qFormat/>
    <w:locked/>
    <w:uiPriority w:val="0"/>
    <w:rPr>
      <w:rFonts w:ascii="Times New Roman" w:hAnsi="Times New Roman" w:eastAsia="宋体"/>
      <w:sz w:val="24"/>
    </w:rPr>
  </w:style>
  <w:style w:type="character" w:customStyle="1" w:styleId="47">
    <w:name w:val="日期 字符1"/>
    <w:link w:val="20"/>
    <w:qFormat/>
    <w:locked/>
    <w:uiPriority w:val="0"/>
    <w:rPr>
      <w:rFonts w:ascii="Times New Roman" w:hAnsi="Times New Roman" w:eastAsia="宋体"/>
      <w:sz w:val="24"/>
    </w:rPr>
  </w:style>
  <w:style w:type="character" w:customStyle="1" w:styleId="48">
    <w:name w:val="批注框文本 字符"/>
    <w:link w:val="24"/>
    <w:semiHidden/>
    <w:qFormat/>
    <w:locked/>
    <w:uiPriority w:val="0"/>
    <w:rPr>
      <w:rFonts w:ascii="Times New Roman" w:hAnsi="Times New Roman" w:eastAsia="宋体"/>
      <w:sz w:val="18"/>
    </w:rPr>
  </w:style>
  <w:style w:type="character" w:customStyle="1" w:styleId="49">
    <w:name w:val="页脚 字符1"/>
    <w:link w:val="25"/>
    <w:qFormat/>
    <w:locked/>
    <w:uiPriority w:val="99"/>
    <w:rPr>
      <w:sz w:val="18"/>
    </w:rPr>
  </w:style>
  <w:style w:type="character" w:customStyle="1" w:styleId="50">
    <w:name w:val="页眉 字符"/>
    <w:basedOn w:val="35"/>
    <w:link w:val="26"/>
    <w:qFormat/>
    <w:uiPriority w:val="0"/>
    <w:rPr>
      <w:rFonts w:hint="default" w:ascii="Calibri" w:hAnsi="Calibri" w:cs="Calibri"/>
    </w:rPr>
  </w:style>
  <w:style w:type="character" w:customStyle="1" w:styleId="51">
    <w:name w:val="普通(网站) 字符"/>
    <w:link w:val="30"/>
    <w:qFormat/>
    <w:locked/>
    <w:uiPriority w:val="0"/>
    <w:rPr>
      <w:rFonts w:ascii="宋体" w:hAnsi="宋体" w:eastAsia="宋体"/>
      <w:sz w:val="24"/>
    </w:rPr>
  </w:style>
  <w:style w:type="character" w:customStyle="1" w:styleId="52">
    <w:name w:val="批注主题 字符"/>
    <w:link w:val="32"/>
    <w:semiHidden/>
    <w:qFormat/>
    <w:locked/>
    <w:uiPriority w:val="0"/>
    <w:rPr>
      <w:rFonts w:ascii="Times New Roman" w:hAnsi="Times New Roman" w:eastAsia="宋体"/>
      <w:b/>
      <w:kern w:val="2"/>
      <w:sz w:val="24"/>
    </w:rPr>
  </w:style>
  <w:style w:type="character" w:customStyle="1" w:styleId="53">
    <w:name w:val="font11"/>
    <w:basedOn w:val="35"/>
    <w:qFormat/>
    <w:uiPriority w:val="0"/>
    <w:rPr>
      <w:rFonts w:hint="eastAsia" w:ascii="宋体" w:hAnsi="宋体" w:eastAsia="宋体" w:cs="宋体"/>
      <w:color w:val="000000"/>
      <w:sz w:val="21"/>
      <w:szCs w:val="21"/>
      <w:u w:val="none"/>
    </w:rPr>
  </w:style>
  <w:style w:type="character" w:customStyle="1" w:styleId="54">
    <w:name w:val="日期 字符"/>
    <w:semiHidden/>
    <w:qFormat/>
    <w:uiPriority w:val="0"/>
    <w:rPr>
      <w:rFonts w:ascii="Times New Roman" w:hAnsi="Times New Roman" w:eastAsia="宋体"/>
      <w:sz w:val="24"/>
    </w:rPr>
  </w:style>
  <w:style w:type="character" w:customStyle="1" w:styleId="55">
    <w:name w:val="表格 Char2"/>
    <w:basedOn w:val="35"/>
    <w:link w:val="56"/>
    <w:qFormat/>
    <w:locked/>
    <w:uiPriority w:val="0"/>
    <w:rPr>
      <w:snapToGrid w:val="0"/>
      <w:sz w:val="21"/>
      <w:szCs w:val="24"/>
      <w:lang w:val="en-US" w:eastAsia="zh-CN" w:bidi="ar-SA"/>
    </w:rPr>
  </w:style>
  <w:style w:type="paragraph" w:customStyle="1" w:styleId="56">
    <w:name w:val="表格"/>
    <w:basedOn w:val="1"/>
    <w:next w:val="1"/>
    <w:link w:val="55"/>
    <w:qFormat/>
    <w:uiPriority w:val="0"/>
    <w:pPr>
      <w:adjustRightInd w:val="0"/>
      <w:snapToGrid w:val="0"/>
      <w:spacing w:beforeLines="10" w:afterLines="10" w:line="259" w:lineRule="auto"/>
      <w:jc w:val="center"/>
    </w:pPr>
    <w:rPr>
      <w:rFonts w:ascii="宋体"/>
      <w:kern w:val="0"/>
      <w:szCs w:val="20"/>
    </w:rPr>
  </w:style>
  <w:style w:type="character" w:customStyle="1" w:styleId="57">
    <w:name w:val="5文章(治) Char"/>
    <w:basedOn w:val="35"/>
    <w:link w:val="58"/>
    <w:qFormat/>
    <w:uiPriority w:val="0"/>
    <w:rPr>
      <w:rFonts w:ascii="Arial" w:hAnsi="Arial" w:cs="Tahoma"/>
      <w:snapToGrid w:val="0"/>
      <w:kern w:val="0"/>
      <w:sz w:val="24"/>
      <w:szCs w:val="21"/>
    </w:rPr>
  </w:style>
  <w:style w:type="paragraph" w:customStyle="1" w:styleId="58">
    <w:name w:val="5文章(治)"/>
    <w:basedOn w:val="1"/>
    <w:link w:val="57"/>
    <w:qFormat/>
    <w:uiPriority w:val="0"/>
    <w:pPr>
      <w:spacing w:line="360" w:lineRule="auto"/>
      <w:ind w:firstLine="480" w:firstLineChars="200"/>
    </w:pPr>
    <w:rPr>
      <w:rFonts w:ascii="Arial" w:hAnsi="Arial" w:cs="Tahoma"/>
      <w:snapToGrid w:val="0"/>
      <w:kern w:val="0"/>
      <w:sz w:val="24"/>
      <w:szCs w:val="21"/>
    </w:rPr>
  </w:style>
  <w:style w:type="character" w:customStyle="1" w:styleId="59">
    <w:name w:val="font01"/>
    <w:basedOn w:val="35"/>
    <w:qFormat/>
    <w:uiPriority w:val="0"/>
    <w:rPr>
      <w:rFonts w:hint="eastAsia" w:ascii="宋体" w:hAnsi="宋体" w:eastAsia="宋体" w:cs="宋体"/>
      <w:color w:val="000000"/>
      <w:sz w:val="21"/>
      <w:szCs w:val="21"/>
      <w:u w:val="none"/>
      <w:vertAlign w:val="superscript"/>
    </w:rPr>
  </w:style>
  <w:style w:type="character" w:customStyle="1" w:styleId="60">
    <w:name w:val="表格 Char"/>
    <w:qFormat/>
    <w:locked/>
    <w:uiPriority w:val="0"/>
    <w:rPr>
      <w:rFonts w:ascii="宋体"/>
      <w:sz w:val="21"/>
    </w:rPr>
  </w:style>
  <w:style w:type="character" w:customStyle="1" w:styleId="61">
    <w:name w:val="样式 小四 行距: 1.5 倍行距1 Char"/>
    <w:link w:val="62"/>
    <w:qFormat/>
    <w:uiPriority w:val="0"/>
    <w:rPr>
      <w:rFonts w:cs="宋体"/>
      <w:sz w:val="24"/>
      <w:szCs w:val="20"/>
    </w:rPr>
  </w:style>
  <w:style w:type="paragraph" w:customStyle="1" w:styleId="62">
    <w:name w:val="样式 小四 行距: 1.5 倍行距1"/>
    <w:basedOn w:val="1"/>
    <w:link w:val="61"/>
    <w:qFormat/>
    <w:uiPriority w:val="0"/>
    <w:pPr>
      <w:spacing w:line="360" w:lineRule="auto"/>
      <w:ind w:firstLine="480" w:firstLineChars="200"/>
    </w:pPr>
    <w:rPr>
      <w:rFonts w:cs="宋体"/>
      <w:sz w:val="24"/>
      <w:szCs w:val="20"/>
    </w:rPr>
  </w:style>
  <w:style w:type="character" w:customStyle="1" w:styleId="63">
    <w:name w:val="正文文本 字符1"/>
    <w:semiHidden/>
    <w:qFormat/>
    <w:uiPriority w:val="0"/>
    <w:rPr>
      <w:rFonts w:ascii="Times New Roman" w:hAnsi="Times New Roman" w:eastAsia="宋体"/>
      <w:sz w:val="24"/>
    </w:rPr>
  </w:style>
  <w:style w:type="character" w:customStyle="1" w:styleId="64">
    <w:name w:val="font21"/>
    <w:basedOn w:val="35"/>
    <w:qFormat/>
    <w:uiPriority w:val="0"/>
    <w:rPr>
      <w:rFonts w:hint="default" w:ascii="Times New Roman" w:hAnsi="Times New Roman" w:cs="Times New Roman"/>
      <w:color w:val="000000"/>
      <w:sz w:val="21"/>
      <w:szCs w:val="21"/>
      <w:u w:val="none"/>
    </w:rPr>
  </w:style>
  <w:style w:type="character" w:customStyle="1" w:styleId="65">
    <w:name w:val="apple-converted-space"/>
    <w:basedOn w:val="35"/>
    <w:qFormat/>
    <w:uiPriority w:val="0"/>
    <w:rPr>
      <w:rFonts w:hint="default" w:ascii="Times New Roman" w:hAnsi="Times New Roman" w:cs="Times New Roman"/>
    </w:rPr>
  </w:style>
  <w:style w:type="character" w:customStyle="1" w:styleId="66">
    <w:name w:val="页脚 字符"/>
    <w:basedOn w:val="35"/>
    <w:qFormat/>
    <w:uiPriority w:val="99"/>
  </w:style>
  <w:style w:type="character" w:customStyle="1" w:styleId="67">
    <w:name w:val="页眉 Char"/>
    <w:qFormat/>
    <w:locked/>
    <w:uiPriority w:val="0"/>
    <w:rPr>
      <w:sz w:val="18"/>
    </w:rPr>
  </w:style>
  <w:style w:type="character" w:customStyle="1" w:styleId="68">
    <w:name w:val="批注文字 字符1"/>
    <w:semiHidden/>
    <w:qFormat/>
    <w:uiPriority w:val="0"/>
    <w:rPr>
      <w:rFonts w:ascii="Times New Roman" w:hAnsi="Times New Roman" w:eastAsia="宋体"/>
      <w:sz w:val="24"/>
    </w:rPr>
  </w:style>
  <w:style w:type="paragraph" w:customStyle="1" w:styleId="69">
    <w:name w:val="0表格题头"/>
    <w:basedOn w:val="15"/>
    <w:qFormat/>
    <w:uiPriority w:val="0"/>
    <w:pPr>
      <w:tabs>
        <w:tab w:val="left" w:pos="1260"/>
      </w:tabs>
      <w:spacing w:before="60"/>
      <w:ind w:firstLine="0" w:firstLineChars="0"/>
      <w:jc w:val="center"/>
    </w:pPr>
    <w:rPr>
      <w:b/>
      <w:bCs/>
      <w:color w:val="000000"/>
      <w:kern w:val="28"/>
      <w:lang w:eastAsia="en-US"/>
    </w:rPr>
  </w:style>
  <w:style w:type="paragraph" w:customStyle="1" w:styleId="70">
    <w:name w:val="金皇表（图）头"/>
    <w:basedOn w:val="1"/>
    <w:qFormat/>
    <w:uiPriority w:val="0"/>
    <w:pPr>
      <w:adjustRightInd w:val="0"/>
      <w:jc w:val="center"/>
      <w:outlineLvl w:val="4"/>
    </w:pPr>
    <w:rPr>
      <w:rFonts w:eastAsia="黑体"/>
      <w:b/>
      <w:sz w:val="24"/>
    </w:rPr>
  </w:style>
  <w:style w:type="paragraph" w:customStyle="1" w:styleId="71">
    <w:name w:val="简单回函地址"/>
    <w:next w:val="72"/>
    <w:qFormat/>
    <w:uiPriority w:val="0"/>
    <w:pPr>
      <w:widowControl w:val="0"/>
      <w:spacing w:line="360" w:lineRule="auto"/>
      <w:ind w:firstLine="200" w:firstLineChars="200"/>
      <w:jc w:val="both"/>
    </w:pPr>
    <w:rPr>
      <w:rFonts w:ascii="Calibri" w:hAnsi="Calibri" w:eastAsia="Times New Roman" w:cs="Times New Roman"/>
      <w:kern w:val="2"/>
      <w:sz w:val="24"/>
      <w:lang w:val="en-US" w:eastAsia="zh-CN" w:bidi="ar-SA"/>
    </w:rPr>
  </w:style>
  <w:style w:type="paragraph" w:customStyle="1" w:styleId="72">
    <w:name w:val="正文2"/>
    <w:qFormat/>
    <w:uiPriority w:val="0"/>
    <w:pPr>
      <w:widowControl w:val="0"/>
      <w:spacing w:line="360" w:lineRule="auto"/>
      <w:ind w:firstLine="200" w:firstLineChars="200"/>
      <w:jc w:val="both"/>
    </w:pPr>
    <w:rPr>
      <w:rFonts w:ascii="Calibri" w:hAnsi="Calibri" w:eastAsia="Times New Roman" w:cs="Times New Roman"/>
      <w:kern w:val="2"/>
      <w:sz w:val="24"/>
      <w:lang w:val="en-US" w:eastAsia="zh-CN" w:bidi="ar-SA"/>
    </w:rPr>
  </w:style>
  <w:style w:type="paragraph" w:customStyle="1" w:styleId="73">
    <w:name w:val="Other|1"/>
    <w:basedOn w:val="1"/>
    <w:qFormat/>
    <w:uiPriority w:val="0"/>
    <w:pPr>
      <w:widowControl w:val="0"/>
      <w:shd w:val="clear" w:color="auto" w:fill="auto"/>
      <w:spacing w:after="30" w:line="425" w:lineRule="auto"/>
      <w:ind w:firstLine="400"/>
    </w:pPr>
    <w:rPr>
      <w:rFonts w:ascii="宋体" w:hAnsi="宋体" w:eastAsia="宋体" w:cs="宋体"/>
      <w:u w:val="none"/>
      <w:shd w:val="clear" w:color="auto" w:fill="auto"/>
      <w:lang w:val="zh-TW" w:eastAsia="zh-TW" w:bidi="zh-TW"/>
    </w:rPr>
  </w:style>
  <w:style w:type="paragraph" w:customStyle="1" w:styleId="74">
    <w:name w:val="Other|2"/>
    <w:basedOn w:val="1"/>
    <w:qFormat/>
    <w:uiPriority w:val="0"/>
    <w:pPr>
      <w:widowControl w:val="0"/>
      <w:shd w:val="clear" w:color="auto" w:fill="auto"/>
    </w:pPr>
    <w:rPr>
      <w:rFonts w:ascii="宋体" w:hAnsi="宋体" w:eastAsia="宋体" w:cs="宋体"/>
      <w:sz w:val="20"/>
      <w:szCs w:val="20"/>
      <w:u w:val="none"/>
      <w:shd w:val="clear" w:color="auto" w:fill="auto"/>
      <w:lang w:val="zh-TW" w:eastAsia="zh-TW" w:bidi="zh-TW"/>
    </w:rPr>
  </w:style>
  <w:style w:type="paragraph" w:customStyle="1" w:styleId="75">
    <w:name w:val="1文章"/>
    <w:basedOn w:val="1"/>
    <w:qFormat/>
    <w:uiPriority w:val="0"/>
    <w:pPr>
      <w:widowControl/>
      <w:snapToGrid w:val="0"/>
      <w:spacing w:line="420" w:lineRule="auto"/>
      <w:ind w:firstLine="454" w:firstLineChars="200"/>
      <w:jc w:val="left"/>
      <w:outlineLvl w:val="4"/>
    </w:pPr>
    <w:rPr>
      <w:spacing w:val="4"/>
      <w:kern w:val="0"/>
      <w:sz w:val="24"/>
      <w:lang w:eastAsia="en-US" w:bidi="en-US"/>
    </w:rPr>
  </w:style>
  <w:style w:type="paragraph" w:customStyle="1" w:styleId="76">
    <w:name w:val="正文(首行缩进)"/>
    <w:basedOn w:val="1"/>
    <w:qFormat/>
    <w:uiPriority w:val="0"/>
    <w:pPr>
      <w:adjustRightInd w:val="0"/>
      <w:snapToGrid w:val="0"/>
      <w:ind w:firstLine="200"/>
    </w:pPr>
    <w:rPr>
      <w:snapToGrid w:val="0"/>
    </w:rPr>
  </w:style>
  <w:style w:type="paragraph" w:customStyle="1" w:styleId="77">
    <w:name w:val="文本"/>
    <w:basedOn w:val="1"/>
    <w:unhideWhenUsed/>
    <w:qFormat/>
    <w:uiPriority w:val="0"/>
    <w:pPr>
      <w:ind w:firstLine="200" w:firstLineChars="200"/>
    </w:pPr>
    <w:rPr>
      <w:kern w:val="0"/>
    </w:rPr>
  </w:style>
  <w:style w:type="paragraph" w:customStyle="1" w:styleId="78">
    <w:name w:val="D正文"/>
    <w:basedOn w:val="79"/>
    <w:qFormat/>
    <w:uiPriority w:val="0"/>
    <w:pPr>
      <w:spacing w:line="360" w:lineRule="auto"/>
      <w:ind w:firstLine="480"/>
    </w:pPr>
    <w:rPr>
      <w:color w:val="000000"/>
    </w:rPr>
  </w:style>
  <w:style w:type="paragraph" w:customStyle="1" w:styleId="79">
    <w:name w:val="正文对的"/>
    <w:basedOn w:val="1"/>
    <w:qFormat/>
    <w:uiPriority w:val="0"/>
    <w:pPr>
      <w:spacing w:line="400" w:lineRule="exact"/>
      <w:ind w:firstLine="200" w:firstLineChars="200"/>
    </w:pPr>
    <w:rPr>
      <w:rFonts w:hAnsi="宋体"/>
      <w:sz w:val="24"/>
    </w:rPr>
  </w:style>
  <w:style w:type="paragraph" w:customStyle="1" w:styleId="80">
    <w:name w:val="正文_1"/>
    <w:qFormat/>
    <w:uiPriority w:val="0"/>
    <w:pPr>
      <w:widowControl w:val="0"/>
      <w:jc w:val="both"/>
    </w:pPr>
    <w:rPr>
      <w:rFonts w:ascii="Calibri" w:hAnsi="Calibri" w:eastAsia="宋体" w:cs="Times New Roman"/>
      <w:kern w:val="2"/>
      <w:sz w:val="21"/>
      <w:lang w:val="en-US" w:eastAsia="zh-CN" w:bidi="ar-SA"/>
    </w:rPr>
  </w:style>
  <w:style w:type="paragraph" w:customStyle="1" w:styleId="81">
    <w:name w:val="Body text|1"/>
    <w:basedOn w:val="1"/>
    <w:qFormat/>
    <w:uiPriority w:val="0"/>
    <w:pPr>
      <w:widowControl w:val="0"/>
      <w:shd w:val="clear" w:color="auto" w:fill="auto"/>
      <w:spacing w:after="100" w:line="406" w:lineRule="auto"/>
      <w:ind w:firstLine="400"/>
    </w:pPr>
    <w:rPr>
      <w:rFonts w:ascii="宋体" w:hAnsi="宋体" w:eastAsia="宋体" w:cs="宋体"/>
      <w:u w:val="none"/>
      <w:shd w:val="clear" w:color="auto" w:fill="auto"/>
      <w:lang w:val="zh-TW" w:eastAsia="zh-TW" w:bidi="zh-TW"/>
    </w:rPr>
  </w:style>
  <w:style w:type="paragraph" w:customStyle="1" w:styleId="82">
    <w:name w:val="Heading #2|1"/>
    <w:basedOn w:val="1"/>
    <w:qFormat/>
    <w:uiPriority w:val="0"/>
    <w:pPr>
      <w:widowControl w:val="0"/>
      <w:shd w:val="clear" w:color="auto" w:fill="auto"/>
      <w:spacing w:after="3080"/>
      <w:jc w:val="center"/>
      <w:outlineLvl w:val="1"/>
    </w:pPr>
    <w:rPr>
      <w:rFonts w:ascii="宋体" w:hAnsi="宋体" w:eastAsia="宋体" w:cs="宋体"/>
      <w:b/>
      <w:bCs/>
      <w:sz w:val="46"/>
      <w:szCs w:val="46"/>
      <w:u w:val="none"/>
      <w:shd w:val="clear" w:color="auto" w:fill="auto"/>
      <w:lang w:val="zh-TW" w:eastAsia="zh-TW" w:bidi="zh-TW"/>
    </w:rPr>
  </w:style>
  <w:style w:type="paragraph" w:customStyle="1" w:styleId="83">
    <w:name w:val="常用表格样式"/>
    <w:basedOn w:val="84"/>
    <w:next w:val="84"/>
    <w:qFormat/>
    <w:uiPriority w:val="0"/>
    <w:pPr>
      <w:adjustRightInd w:val="0"/>
      <w:jc w:val="center"/>
    </w:pPr>
    <w:rPr>
      <w:rFonts w:ascii="仿宋" w:hAnsi="仿宋" w:eastAsia="仿宋"/>
      <w:color w:val="000000"/>
      <w:sz w:val="18"/>
      <w:szCs w:val="18"/>
    </w:rPr>
  </w:style>
  <w:style w:type="paragraph" w:customStyle="1" w:styleId="84">
    <w:name w:val="常用正文样式"/>
    <w:qFormat/>
    <w:uiPriority w:val="0"/>
    <w:pPr>
      <w:widowControl w:val="0"/>
      <w:spacing w:line="360" w:lineRule="auto"/>
      <w:ind w:firstLine="454"/>
      <w:jc w:val="both"/>
    </w:pPr>
    <w:rPr>
      <w:rFonts w:ascii="宋体" w:hAnsi="新宋体" w:eastAsia="仿宋_GB2312" w:cs="Times New Roman"/>
      <w:kern w:val="2"/>
      <w:sz w:val="24"/>
      <w:szCs w:val="24"/>
      <w:lang w:val="en-US" w:eastAsia="zh-CN" w:bidi="ar-SA"/>
    </w:rPr>
  </w:style>
  <w:style w:type="paragraph" w:customStyle="1" w:styleId="85">
    <w:name w:val="正文1 Char"/>
    <w:basedOn w:val="1"/>
    <w:qFormat/>
    <w:uiPriority w:val="0"/>
    <w:pPr>
      <w:adjustRightInd w:val="0"/>
      <w:ind w:firstLine="480" w:firstLineChars="200"/>
      <w:textAlignment w:val="baseline"/>
    </w:pPr>
    <w:rPr>
      <w:rFonts w:hAnsi="宋体"/>
      <w:kern w:val="21"/>
    </w:rPr>
  </w:style>
  <w:style w:type="paragraph" w:customStyle="1" w:styleId="86">
    <w:name w:val="正文！"/>
    <w:basedOn w:val="1"/>
    <w:qFormat/>
    <w:uiPriority w:val="0"/>
    <w:pPr>
      <w:adjustRightInd w:val="0"/>
      <w:snapToGrid w:val="0"/>
      <w:spacing w:line="360" w:lineRule="auto"/>
      <w:ind w:firstLine="200" w:firstLineChars="200"/>
    </w:pPr>
    <w:rPr>
      <w:sz w:val="24"/>
      <w:szCs w:val="22"/>
    </w:rPr>
  </w:style>
  <w:style w:type="paragraph" w:customStyle="1" w:styleId="87">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88">
    <w:name w:val="正文（小四）"/>
    <w:qFormat/>
    <w:uiPriority w:val="0"/>
    <w:pPr>
      <w:spacing w:line="360" w:lineRule="auto"/>
      <w:ind w:firstLine="200" w:firstLineChars="200"/>
      <w:jc w:val="both"/>
    </w:pPr>
    <w:rPr>
      <w:rFonts w:ascii="Times New Roman" w:hAnsi="Times New Roman" w:eastAsia="宋体" w:cs="Times New Roman"/>
      <w:bCs/>
      <w:color w:val="000000"/>
      <w:kern w:val="2"/>
      <w:sz w:val="24"/>
      <w:szCs w:val="32"/>
      <w:lang w:val="en-US" w:eastAsia="zh-CN" w:bidi="ar-SA"/>
    </w:rPr>
  </w:style>
  <w:style w:type="paragraph" w:customStyle="1" w:styleId="8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90">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1">
    <w:name w:val="表格标题"/>
    <w:basedOn w:val="92"/>
    <w:next w:val="93"/>
    <w:qFormat/>
    <w:uiPriority w:val="0"/>
    <w:pPr>
      <w:spacing w:line="440" w:lineRule="exact"/>
      <w:jc w:val="center"/>
    </w:pPr>
    <w:rPr>
      <w:b/>
      <w:szCs w:val="22"/>
      <w:lang w:val="zh-CN"/>
    </w:rPr>
  </w:style>
  <w:style w:type="paragraph" w:customStyle="1" w:styleId="92">
    <w:name w:val="正文内容"/>
    <w:basedOn w:val="1"/>
    <w:qFormat/>
    <w:uiPriority w:val="0"/>
    <w:pPr>
      <w:adjustRightInd w:val="0"/>
      <w:spacing w:line="360" w:lineRule="auto"/>
    </w:pPr>
    <w:rPr>
      <w:color w:val="000000"/>
      <w:sz w:val="24"/>
    </w:rPr>
  </w:style>
  <w:style w:type="paragraph" w:customStyle="1" w:styleId="93">
    <w:name w:val="表格内容"/>
    <w:basedOn w:val="29"/>
    <w:next w:val="1"/>
    <w:qFormat/>
    <w:uiPriority w:val="0"/>
    <w:pPr>
      <w:adjustRightInd w:val="0"/>
      <w:snapToGrid w:val="0"/>
      <w:spacing w:line="240" w:lineRule="auto"/>
    </w:pPr>
    <w:rPr>
      <w:iCs/>
      <w:szCs w:val="21"/>
    </w:rPr>
  </w:style>
  <w:style w:type="paragraph" w:customStyle="1" w:styleId="94">
    <w:name w:val="表格样式"/>
    <w:qFormat/>
    <w:uiPriority w:val="0"/>
    <w:pPr>
      <w:widowControl w:val="0"/>
      <w:adjustRightInd w:val="0"/>
      <w:snapToGrid w:val="0"/>
      <w:spacing w:line="240" w:lineRule="auto"/>
      <w:ind w:firstLine="0" w:firstLineChars="0"/>
      <w:jc w:val="center"/>
    </w:pPr>
    <w:rPr>
      <w:rFonts w:ascii="Times New Roman" w:hAnsi="Times New Roman" w:eastAsia="宋体" w:cs="Times New Roman"/>
      <w:kern w:val="2"/>
      <w:sz w:val="21"/>
      <w:szCs w:val="24"/>
      <w:lang w:val="en-US" w:eastAsia="zh-CN" w:bidi="ar-SA"/>
    </w:rPr>
  </w:style>
  <w:style w:type="paragraph" w:customStyle="1" w:styleId="95">
    <w:name w:val="表样111"/>
    <w:basedOn w:val="30"/>
    <w:qFormat/>
    <w:uiPriority w:val="0"/>
    <w:pPr>
      <w:spacing w:before="0" w:beforeAutospacing="0" w:after="0" w:afterAutospacing="0"/>
      <w:ind w:firstLine="200" w:firstLineChars="200"/>
      <w:jc w:val="both"/>
    </w:pPr>
    <w:rPr>
      <w:rFonts w:ascii="Times New Roman"/>
      <w:color w:val="000000"/>
    </w:rPr>
  </w:style>
  <w:style w:type="paragraph" w:customStyle="1" w:styleId="96">
    <w:name w:val=" Char Char Char Char"/>
    <w:basedOn w:val="1"/>
    <w:qFormat/>
    <w:uiPriority w:val="0"/>
  </w:style>
  <w:style w:type="paragraph" w:customStyle="1" w:styleId="97">
    <w:name w:val="z正文"/>
    <w:basedOn w:val="19"/>
    <w:qFormat/>
    <w:uiPriority w:val="0"/>
    <w:pPr>
      <w:tabs>
        <w:tab w:val="left" w:pos="7155"/>
      </w:tabs>
      <w:autoSpaceDE w:val="0"/>
      <w:autoSpaceDN w:val="0"/>
      <w:spacing w:after="0" w:line="360" w:lineRule="auto"/>
      <w:ind w:left="0" w:leftChars="0" w:firstLine="200" w:firstLineChars="200"/>
      <w:textAlignment w:val="baseline"/>
    </w:pPr>
    <w:rPr>
      <w:rFonts w:ascii="Times New Roman"/>
      <w:sz w:val="24"/>
      <w:szCs w:val="20"/>
    </w:rPr>
  </w:style>
  <w:style w:type="paragraph" w:customStyle="1" w:styleId="98">
    <w:name w:val="a表格"/>
    <w:basedOn w:val="1"/>
    <w:qFormat/>
    <w:uiPriority w:val="0"/>
    <w:pPr>
      <w:snapToGrid w:val="0"/>
      <w:jc w:val="center"/>
    </w:pPr>
  </w:style>
  <w:style w:type="paragraph" w:customStyle="1" w:styleId="99">
    <w:name w:val="颜表格文字"/>
    <w:qFormat/>
    <w:uiPriority w:val="0"/>
    <w:pPr>
      <w:widowControl w:val="0"/>
      <w:adjustRightInd w:val="0"/>
      <w:snapToGrid w:val="0"/>
      <w:jc w:val="center"/>
    </w:pPr>
    <w:rPr>
      <w:rFonts w:ascii="Times New Roman" w:hAnsi="Times New Roman" w:eastAsia="宋体" w:cs="Times New Roman"/>
      <w:kern w:val="2"/>
      <w:sz w:val="21"/>
      <w:szCs w:val="24"/>
      <w:lang w:val="en-US" w:eastAsia="zh-CN" w:bidi="ar-SA"/>
    </w:rPr>
  </w:style>
  <w:style w:type="paragraph" w:customStyle="1" w:styleId="100">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01">
    <w:name w:val="环评正文"/>
    <w:basedOn w:val="102"/>
    <w:qFormat/>
    <w:uiPriority w:val="0"/>
    <w:pPr>
      <w:snapToGrid w:val="0"/>
      <w:spacing w:afterLines="0" w:line="360" w:lineRule="auto"/>
      <w:ind w:firstLine="480"/>
    </w:pPr>
    <w:rPr>
      <w:rFonts w:eastAsia="宋体"/>
      <w:bCs/>
      <w:sz w:val="24"/>
      <w:lang w:val="zh-CN"/>
    </w:rPr>
  </w:style>
  <w:style w:type="paragraph" w:customStyle="1" w:styleId="102">
    <w:name w:val="样式 正文文字缩进 + 小四 首行缩进:  2 字符"/>
    <w:basedOn w:val="19"/>
    <w:qFormat/>
    <w:uiPriority w:val="0"/>
    <w:pPr>
      <w:spacing w:afterLines="50"/>
      <w:ind w:firstLine="200"/>
    </w:pPr>
    <w:rPr>
      <w:rFonts w:eastAsia="华文楷体"/>
      <w:sz w:val="28"/>
    </w:rPr>
  </w:style>
  <w:style w:type="paragraph" w:customStyle="1" w:styleId="103">
    <w:name w:val="表正文"/>
    <w:basedOn w:val="1"/>
    <w:qFormat/>
    <w:uiPriority w:val="0"/>
    <w:pPr>
      <w:jc w:val="center"/>
    </w:pPr>
    <w:rPr>
      <w:szCs w:val="21"/>
    </w:rPr>
  </w:style>
  <w:style w:type="paragraph" w:customStyle="1" w:styleId="104">
    <w:name w:val="zhang正文"/>
    <w:basedOn w:val="19"/>
    <w:next w:val="1"/>
    <w:qFormat/>
    <w:uiPriority w:val="0"/>
    <w:pPr>
      <w:adjustRightInd w:val="0"/>
      <w:snapToGrid w:val="0"/>
      <w:spacing w:line="500" w:lineRule="exact"/>
      <w:ind w:firstLine="539"/>
      <w:textAlignment w:val="baseline"/>
    </w:pPr>
  </w:style>
  <w:style w:type="paragraph" w:customStyle="1" w:styleId="105">
    <w:name w:val="3标题(治)"/>
    <w:basedOn w:val="12"/>
    <w:qFormat/>
    <w:uiPriority w:val="0"/>
    <w:pPr>
      <w:widowControl/>
      <w:adjustRightInd w:val="0"/>
      <w:spacing w:before="0" w:after="0" w:line="360" w:lineRule="auto"/>
      <w:textAlignment w:val="baseline"/>
    </w:pPr>
    <w:rPr>
      <w:rFonts w:ascii="Times New Roman" w:hAnsi="Times New Roman" w:eastAsia="黑体"/>
      <w:sz w:val="28"/>
      <w:szCs w:val="28"/>
    </w:rPr>
  </w:style>
  <w:style w:type="paragraph" w:customStyle="1" w:styleId="106">
    <w:name w:val="表内容"/>
    <w:basedOn w:val="1"/>
    <w:qFormat/>
    <w:uiPriority w:val="0"/>
    <w:pPr>
      <w:jc w:val="center"/>
    </w:pPr>
  </w:style>
  <w:style w:type="paragraph" w:customStyle="1" w:styleId="107">
    <w:name w:val="1表格"/>
    <w:basedOn w:val="75"/>
    <w:qFormat/>
    <w:uiPriority w:val="0"/>
    <w:pPr>
      <w:widowControl w:val="0"/>
      <w:spacing w:line="240" w:lineRule="auto"/>
      <w:ind w:firstLine="0" w:firstLineChars="0"/>
      <w:jc w:val="center"/>
    </w:pPr>
    <w:rPr>
      <w:kern w:val="2"/>
      <w:sz w:val="21"/>
      <w:lang w:eastAsia="zh-CN" w:bidi="ar-SA"/>
    </w:rPr>
  </w:style>
  <w:style w:type="paragraph" w:customStyle="1" w:styleId="108">
    <w:name w:val="表 内容"/>
    <w:basedOn w:val="1"/>
    <w:qFormat/>
    <w:uiPriority w:val="0"/>
    <w:pPr>
      <w:jc w:val="center"/>
    </w:pPr>
    <w:rPr>
      <w:rFonts w:hAnsi="宋体"/>
      <w:szCs w:val="20"/>
    </w:rPr>
  </w:style>
  <w:style w:type="paragraph" w:customStyle="1" w:styleId="109">
    <w:name w:val="Table caption|1"/>
    <w:basedOn w:val="1"/>
    <w:qFormat/>
    <w:uiPriority w:val="0"/>
    <w:pPr>
      <w:widowControl w:val="0"/>
      <w:shd w:val="clear" w:color="auto" w:fill="auto"/>
    </w:pPr>
    <w:rPr>
      <w:rFonts w:ascii="宋体" w:hAnsi="宋体" w:eastAsia="宋体" w:cs="宋体"/>
      <w:b/>
      <w:bCs/>
      <w:u w:val="none"/>
      <w:shd w:val="clear" w:color="auto" w:fill="auto"/>
      <w:lang w:val="zh-TW" w:eastAsia="zh-TW" w:bidi="zh-TW"/>
    </w:rPr>
  </w:style>
  <w:style w:type="paragraph" w:customStyle="1" w:styleId="110">
    <w:name w:val="BGZX"/>
    <w:next w:val="1"/>
    <w:qFormat/>
    <w:uiPriority w:val="0"/>
    <w:pPr>
      <w:widowControl w:val="0"/>
      <w:adjustRightInd w:val="0"/>
      <w:snapToGrid w:val="0"/>
      <w:spacing w:line="360" w:lineRule="auto"/>
      <w:ind w:firstLine="480" w:firstLineChars="200"/>
      <w:jc w:val="both"/>
    </w:pPr>
    <w:rPr>
      <w:rFonts w:ascii="Times New Roman" w:hAnsi="Times New Roman" w:eastAsia="宋体" w:cs="Times New Roman"/>
      <w:color w:val="000000"/>
      <w:sz w:val="24"/>
      <w:szCs w:val="22"/>
      <w:lang w:val="en-GB" w:eastAsia="zh-CN" w:bidi="ar-SA"/>
    </w:rPr>
  </w:style>
  <w:style w:type="paragraph" w:customStyle="1" w:styleId="111">
    <w:name w:val="段落"/>
    <w:basedOn w:val="1"/>
    <w:qFormat/>
    <w:uiPriority w:val="0"/>
    <w:pPr>
      <w:spacing w:line="360" w:lineRule="auto"/>
      <w:ind w:firstLine="480" w:firstLineChars="200"/>
    </w:pPr>
    <w:rPr>
      <w:rFonts w:ascii="宋体" w:hAnsi="宋体" w:eastAsia="宋体"/>
      <w:kern w:val="2"/>
      <w:sz w:val="24"/>
      <w:szCs w:val="24"/>
      <w:lang w:val="en-US" w:eastAsia="zh-CN" w:bidi="ar-SA"/>
    </w:rPr>
  </w:style>
  <w:style w:type="paragraph" w:customStyle="1" w:styleId="112">
    <w:name w:val="样式2"/>
    <w:basedOn w:val="1"/>
    <w:qFormat/>
    <w:uiPriority w:val="0"/>
    <w:pPr>
      <w:adjustRightInd w:val="0"/>
      <w:ind w:left="170"/>
      <w:jc w:val="left"/>
      <w:textAlignment w:val="baseline"/>
    </w:pPr>
    <w:rPr>
      <w:b/>
      <w:kern w:val="0"/>
      <w:sz w:val="24"/>
      <w:szCs w:val="20"/>
    </w:rPr>
  </w:style>
  <w:style w:type="paragraph" w:customStyle="1" w:styleId="113">
    <w:name w:val="Table Paragraph"/>
    <w:qFormat/>
    <w:uiPriority w:val="1"/>
    <w:pPr>
      <w:widowControl w:val="0"/>
      <w:adjustRightInd w:val="0"/>
      <w:snapToGrid w:val="0"/>
    </w:pPr>
    <w:rPr>
      <w:rFonts w:ascii="Calibri" w:hAnsi="Calibri" w:eastAsia="宋体" w:cs="Times New Roman"/>
      <w:sz w:val="22"/>
      <w:szCs w:val="22"/>
      <w:lang w:val="en-US" w:eastAsia="en-US" w:bidi="ar-SA"/>
    </w:rPr>
  </w:style>
  <w:style w:type="paragraph" w:customStyle="1" w:styleId="114">
    <w:name w:val="表格名称"/>
    <w:basedOn w:val="1"/>
    <w:next w:val="1"/>
    <w:qFormat/>
    <w:uiPriority w:val="0"/>
    <w:pPr>
      <w:spacing w:line="360" w:lineRule="auto"/>
      <w:jc w:val="center"/>
    </w:pPr>
    <w:rPr>
      <w:b/>
      <w:kern w:val="0"/>
      <w:szCs w:val="21"/>
    </w:rPr>
  </w:style>
  <w:style w:type="paragraph" w:customStyle="1" w:styleId="115">
    <w:name w:val="表格的字"/>
    <w:next w:val="1"/>
    <w:qFormat/>
    <w:uiPriority w:val="0"/>
    <w:pPr>
      <w:jc w:val="center"/>
    </w:pPr>
    <w:rPr>
      <w:rFonts w:ascii="Times New Roman" w:hAnsi="Times New Roman" w:eastAsia="宋体" w:cs="Times New Roman"/>
      <w:sz w:val="21"/>
      <w:szCs w:val="22"/>
      <w:lang w:val="en-US" w:eastAsia="zh-CN" w:bidi="ar-SA"/>
    </w:rPr>
  </w:style>
  <w:style w:type="paragraph" w:customStyle="1" w:styleId="116">
    <w:name w:val="5文章正文"/>
    <w:basedOn w:val="1"/>
    <w:qFormat/>
    <w:uiPriority w:val="0"/>
    <w:pPr>
      <w:spacing w:line="360" w:lineRule="auto"/>
      <w:ind w:firstLine="200" w:firstLineChars="200"/>
    </w:pPr>
    <w:rPr>
      <w:sz w:val="24"/>
    </w:rPr>
  </w:style>
  <w:style w:type="paragraph" w:customStyle="1" w:styleId="117">
    <w:name w:val="_Style 58"/>
    <w:basedOn w:val="1"/>
    <w:qFormat/>
    <w:uiPriority w:val="0"/>
  </w:style>
  <w:style w:type="paragraph" w:customStyle="1" w:styleId="118">
    <w:name w:val="金皇-正文"/>
    <w:qFormat/>
    <w:uiPriority w:val="0"/>
    <w:pPr>
      <w:widowControl w:val="0"/>
      <w:spacing w:line="360" w:lineRule="auto"/>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119">
    <w:name w:val="5段落"/>
    <w:basedOn w:val="1"/>
    <w:qFormat/>
    <w:uiPriority w:val="0"/>
    <w:pPr>
      <w:spacing w:line="360" w:lineRule="auto"/>
      <w:ind w:firstLine="200" w:firstLineChars="200"/>
    </w:pPr>
    <w:rPr>
      <w:sz w:val="24"/>
      <w:szCs w:val="28"/>
    </w:rPr>
  </w:style>
  <w:style w:type="paragraph" w:customStyle="1" w:styleId="120">
    <w:name w:val="0表格正文"/>
    <w:basedOn w:val="1"/>
    <w:qFormat/>
    <w:uiPriority w:val="0"/>
    <w:pPr>
      <w:contextualSpacing/>
      <w:jc w:val="center"/>
    </w:pPr>
  </w:style>
  <w:style w:type="paragraph" w:customStyle="1" w:styleId="121">
    <w:name w:val="zhang正文 Char Char"/>
    <w:qFormat/>
    <w:uiPriority w:val="0"/>
    <w:pPr>
      <w:widowControl w:val="0"/>
      <w:adjustRightInd w:val="0"/>
      <w:snapToGrid w:val="0"/>
      <w:spacing w:line="500" w:lineRule="exact"/>
      <w:ind w:firstLine="539"/>
      <w:jc w:val="both"/>
      <w:textAlignment w:val="baseline"/>
    </w:pPr>
    <w:rPr>
      <w:rFonts w:ascii="Calibri" w:hAnsi="Calibri" w:eastAsia="宋体" w:cs="Times New Roman"/>
      <w:kern w:val="2"/>
      <w:sz w:val="21"/>
      <w:szCs w:val="24"/>
      <w:lang w:val="en-US" w:eastAsia="zh-CN" w:bidi="ar-SA"/>
    </w:rPr>
  </w:style>
  <w:style w:type="paragraph" w:customStyle="1" w:styleId="122">
    <w:name w:val="表哥的格式"/>
    <w:basedOn w:val="1"/>
    <w:qFormat/>
    <w:uiPriority w:val="0"/>
    <w:pPr>
      <w:jc w:val="center"/>
    </w:pPr>
    <w:rPr>
      <w:color w:val="000000"/>
      <w:szCs w:val="21"/>
    </w:rPr>
  </w:style>
  <w:style w:type="paragraph" w:customStyle="1" w:styleId="123">
    <w:name w:val="表格 32"/>
    <w:basedOn w:val="1"/>
    <w:qFormat/>
    <w:uiPriority w:val="0"/>
    <w:pPr>
      <w:autoSpaceDE w:val="0"/>
      <w:autoSpaceDN w:val="0"/>
      <w:adjustRightInd w:val="0"/>
      <w:jc w:val="center"/>
      <w:textAlignment w:val="baseline"/>
    </w:pPr>
    <w:rPr>
      <w:rFonts w:ascii="宋体" w:hAnsi="Impact"/>
      <w:kern w:val="24"/>
      <w:sz w:val="24"/>
    </w:rPr>
  </w:style>
  <w:style w:type="paragraph" w:customStyle="1" w:styleId="124">
    <w:name w:val="D表内"/>
    <w:basedOn w:val="1"/>
    <w:qFormat/>
    <w:uiPriority w:val="0"/>
    <w:pPr>
      <w:adjustRightInd w:val="0"/>
      <w:jc w:val="center"/>
      <w:textAlignment w:val="baseline"/>
    </w:pPr>
    <w:rPr>
      <w:kern w:val="0"/>
      <w:szCs w:val="21"/>
    </w:rPr>
  </w:style>
  <w:style w:type="paragraph" w:customStyle="1" w:styleId="125">
    <w:name w:val="0000表格内容"/>
    <w:basedOn w:val="1"/>
    <w:qFormat/>
    <w:uiPriority w:val="0"/>
    <w:pPr>
      <w:adjustRightInd w:val="0"/>
      <w:snapToGrid w:val="0"/>
      <w:jc w:val="center"/>
    </w:pPr>
    <w:rPr>
      <w:bCs/>
      <w:snapToGrid w:val="0"/>
      <w:kern w:val="0"/>
      <w:szCs w:val="21"/>
    </w:rPr>
  </w:style>
  <w:style w:type="paragraph" w:customStyle="1" w:styleId="126">
    <w:name w:val="JP正文"/>
    <w:basedOn w:val="1"/>
    <w:qFormat/>
    <w:uiPriority w:val="0"/>
    <w:pPr>
      <w:widowControl/>
      <w:spacing w:line="560" w:lineRule="exact"/>
      <w:ind w:firstLine="480" w:firstLineChars="200"/>
    </w:pPr>
    <w:rPr>
      <w:rFonts w:ascii="宋体" w:cs="宋体"/>
      <w:kern w:val="44"/>
      <w:sz w:val="24"/>
      <w:szCs w:val="20"/>
    </w:rPr>
  </w:style>
  <w:style w:type="paragraph" w:customStyle="1" w:styleId="127">
    <w:name w:val="正文1"/>
    <w:basedOn w:val="1"/>
    <w:qFormat/>
    <w:uiPriority w:val="0"/>
    <w:pPr>
      <w:spacing w:line="360" w:lineRule="auto"/>
      <w:ind w:firstLine="200" w:firstLineChars="200"/>
    </w:pPr>
    <w:rPr>
      <w:rFonts w:ascii="宋体"/>
      <w:sz w:val="24"/>
      <w:szCs w:val="22"/>
    </w:rPr>
  </w:style>
  <w:style w:type="table" w:customStyle="1" w:styleId="128">
    <w:name w:val="Table Normal"/>
    <w:unhideWhenUsed/>
    <w:qFormat/>
    <w:uiPriority w:val="0"/>
    <w:tblPr>
      <w:tblCellMar>
        <w:top w:w="0" w:type="dxa"/>
        <w:left w:w="0" w:type="dxa"/>
        <w:bottom w:w="0" w:type="dxa"/>
        <w:right w:w="0" w:type="dxa"/>
      </w:tblCellMar>
    </w:tblPr>
  </w:style>
  <w:style w:type="paragraph" w:customStyle="1" w:styleId="129">
    <w:name w:val="List Paragraph"/>
    <w:basedOn w:val="1"/>
    <w:qFormat/>
    <w:uiPriority w:val="1"/>
    <w:pPr>
      <w:ind w:left="1479" w:hanging="602"/>
    </w:pPr>
    <w:rPr>
      <w:rFonts w:ascii="宋体" w:hAnsi="宋体" w:eastAsia="宋体" w:cs="宋体"/>
      <w:lang w:val="zh-CN" w:eastAsia="zh-CN" w:bidi="zh-CN"/>
    </w:rPr>
  </w:style>
  <w:style w:type="paragraph" w:customStyle="1" w:styleId="130">
    <w:name w:val="表格内容CCW"/>
    <w:basedOn w:val="1"/>
    <w:qFormat/>
    <w:uiPriority w:val="0"/>
    <w:pPr>
      <w:adjustRightInd/>
      <w:snapToGrid/>
      <w:spacing w:line="240" w:lineRule="auto"/>
      <w:ind w:firstLine="0" w:firstLineChars="0"/>
      <w:jc w:val="center"/>
    </w:pPr>
    <w:rPr>
      <w:rFonts w:eastAsiaTheme="minorEastAsia"/>
      <w:sz w:val="18"/>
    </w:rPr>
  </w:style>
  <w:style w:type="paragraph" w:customStyle="1" w:styleId="131">
    <w:name w:val="3lin二级标题"/>
    <w:basedOn w:val="1"/>
    <w:next w:val="1"/>
    <w:qFormat/>
    <w:uiPriority w:val="0"/>
    <w:pPr>
      <w:numPr>
        <w:ilvl w:val="2"/>
        <w:numId w:val="1"/>
      </w:numPr>
      <w:spacing w:line="360" w:lineRule="auto"/>
      <w:jc w:val="left"/>
      <w:outlineLvl w:val="2"/>
    </w:pPr>
    <w:rPr>
      <w:rFonts w:ascii="Times New Roman" w:hAnsi="Times New Roman" w:eastAsia="黑体" w:cs="Times New Roman"/>
      <w:b/>
      <w:sz w:val="28"/>
      <w:szCs w:val="28"/>
    </w:rPr>
  </w:style>
  <w:style w:type="paragraph" w:customStyle="1" w:styleId="132">
    <w:name w:val="6.1lin正文缩进"/>
    <w:basedOn w:val="1"/>
    <w:qFormat/>
    <w:uiPriority w:val="0"/>
    <w:pPr>
      <w:spacing w:line="360" w:lineRule="auto"/>
      <w:ind w:firstLine="200" w:firstLineChars="200"/>
    </w:pPr>
    <w:rPr>
      <w:rFonts w:ascii="Times New Roman" w:hAnsi="Times New Roman" w:eastAsia="宋体" w:cs="Times New Roman"/>
      <w:sz w:val="24"/>
    </w:rPr>
  </w:style>
  <w:style w:type="paragraph" w:customStyle="1" w:styleId="133">
    <w:name w:val="这里的正文"/>
    <w:basedOn w:val="1"/>
    <w:qFormat/>
    <w:uiPriority w:val="0"/>
    <w:pPr>
      <w:spacing w:line="360" w:lineRule="auto"/>
      <w:ind w:firstLine="482"/>
    </w:pPr>
    <w:rPr>
      <w:rFonts w:cs="宋体"/>
      <w:sz w:val="24"/>
      <w:szCs w:val="20"/>
    </w:rPr>
  </w:style>
  <w:style w:type="paragraph" w:customStyle="1" w:styleId="134">
    <w:name w:val="表格头"/>
    <w:basedOn w:val="135"/>
    <w:qFormat/>
    <w:uiPriority w:val="99"/>
    <w:rPr>
      <w:b/>
      <w:sz w:val="24"/>
    </w:rPr>
  </w:style>
  <w:style w:type="paragraph" w:customStyle="1" w:styleId="135">
    <w:name w:val="表格1"/>
    <w:basedOn w:val="1"/>
    <w:qFormat/>
    <w:uiPriority w:val="99"/>
    <w:pPr>
      <w:snapToGrid w:val="0"/>
      <w:jc w:val="center"/>
    </w:pPr>
    <w:rPr>
      <w:rFonts w:ascii="Times New Roman" w:hAnsi="Times New Roman"/>
      <w:color w:val="000000"/>
    </w:rPr>
  </w:style>
  <w:style w:type="paragraph" w:customStyle="1" w:styleId="136">
    <w:name w:val="规范正文L"/>
    <w:basedOn w:val="1"/>
    <w:qFormat/>
    <w:uiPriority w:val="0"/>
    <w:pPr>
      <w:topLinePunct/>
      <w:spacing w:line="420" w:lineRule="auto"/>
      <w:ind w:firstLine="480" w:firstLineChars="200"/>
      <w:textAlignment w:val="baseline"/>
    </w:pPr>
    <w:rPr>
      <w:rFonts w:cs="宋体"/>
      <w:color w:val="000000"/>
      <w:szCs w:val="24"/>
    </w:rPr>
  </w:style>
  <w:style w:type="paragraph" w:customStyle="1" w:styleId="137">
    <w:name w:val="_Style 4"/>
    <w:basedOn w:val="1"/>
    <w:qFormat/>
    <w:uiPriority w:val="0"/>
    <w:pPr>
      <w:wordWrap/>
      <w:overflowPunct/>
      <w:topLinePunct w:val="0"/>
      <w:adjustRightInd/>
      <w:spacing w:line="240" w:lineRule="auto"/>
      <w:jc w:val="center"/>
    </w:pPr>
    <w:rPr>
      <w:rFonts w:ascii="Times New Roman" w:hAnsi="Times New Roman" w:eastAsia="宋体" w:cs="Times New Roman"/>
      <w:kern w:val="2"/>
      <w:sz w:val="21"/>
      <w:szCs w:val="21"/>
    </w:rPr>
  </w:style>
  <w:style w:type="paragraph" w:customStyle="1" w:styleId="138">
    <w:name w:val="表格内文字"/>
    <w:basedOn w:val="1"/>
    <w:qFormat/>
    <w:uiPriority w:val="0"/>
    <w:pPr>
      <w:tabs>
        <w:tab w:val="left" w:pos="1980"/>
        <w:tab w:val="left" w:pos="3825"/>
        <w:tab w:val="left" w:pos="4680"/>
      </w:tabs>
      <w:jc w:val="center"/>
    </w:pPr>
    <w:rPr>
      <w:color w:val="000000"/>
      <w:kern w:val="0"/>
      <w:szCs w:val="21"/>
    </w:rPr>
  </w:style>
  <w:style w:type="paragraph" w:customStyle="1" w:styleId="139">
    <w:name w:val="a1"/>
    <w:basedOn w:val="1"/>
    <w:qFormat/>
    <w:uiPriority w:val="0"/>
    <w:pPr>
      <w:tabs>
        <w:tab w:val="left" w:pos="425"/>
      </w:tabs>
      <w:spacing w:line="360" w:lineRule="auto"/>
      <w:ind w:left="425" w:hanging="425"/>
      <w:jc w:val="left"/>
      <w:outlineLvl w:val="0"/>
    </w:pPr>
    <w:rPr>
      <w:b/>
      <w:sz w:val="32"/>
    </w:rPr>
  </w:style>
  <w:style w:type="paragraph" w:customStyle="1" w:styleId="140">
    <w:name w:val="表格标题（）"/>
    <w:basedOn w:val="1"/>
    <w:qFormat/>
    <w:uiPriority w:val="0"/>
    <w:pPr>
      <w:widowControl w:val="0"/>
      <w:adjustRightInd/>
      <w:snapToGrid/>
      <w:spacing w:line="240" w:lineRule="auto"/>
      <w:ind w:firstLine="0" w:firstLineChars="0"/>
      <w:jc w:val="center"/>
    </w:pPr>
    <w:rPr>
      <w:rFonts w:eastAsia="黑体"/>
      <w:color w:val="000000"/>
      <w:lang w:val="zh-CN" w:bidi="he-IL"/>
    </w:rPr>
  </w:style>
  <w:style w:type="paragraph" w:customStyle="1" w:styleId="141">
    <w:name w:val="表格内容（）"/>
    <w:basedOn w:val="1"/>
    <w:qFormat/>
    <w:uiPriority w:val="0"/>
    <w:pPr>
      <w:widowControl w:val="0"/>
      <w:spacing w:line="240" w:lineRule="auto"/>
      <w:ind w:firstLine="0" w:firstLineChars="0"/>
      <w:jc w:val="center"/>
    </w:pPr>
    <w:rPr>
      <w:color w:val="00B0F0"/>
      <w:sz w:val="21"/>
      <w:szCs w:val="21"/>
    </w:rPr>
  </w:style>
  <w:style w:type="paragraph" w:customStyle="1" w:styleId="142">
    <w:name w:val="（环评）正文（小四）"/>
    <w:basedOn w:val="1"/>
    <w:qFormat/>
    <w:uiPriority w:val="0"/>
    <w:pPr>
      <w:spacing w:line="360" w:lineRule="auto"/>
      <w:ind w:firstLine="643" w:firstLineChars="200"/>
    </w:pPr>
    <w:rPr>
      <w:rFonts w:eastAsia="宋体" w:cs="Times New Roman" w:asciiTheme="minorAscii" w:hAnsiTheme="minorAscii"/>
      <w:sz w:val="24"/>
    </w:rPr>
  </w:style>
  <w:style w:type="paragraph" w:customStyle="1" w:styleId="143">
    <w:name w:val="正文文本缩进 21"/>
    <w:basedOn w:val="1"/>
    <w:qFormat/>
    <w:uiPriority w:val="99"/>
    <w:pPr>
      <w:spacing w:before="60" w:line="360" w:lineRule="auto"/>
      <w:ind w:firstLine="576"/>
    </w:pPr>
    <w:rPr>
      <w:rFonts w:eastAsia="楷体_GB2312"/>
      <w:sz w:val="28"/>
    </w:rPr>
  </w:style>
  <w:style w:type="paragraph" w:customStyle="1" w:styleId="144">
    <w:name w:val="这才是正文"/>
    <w:basedOn w:val="1"/>
    <w:qFormat/>
    <w:uiPriority w:val="99"/>
    <w:pPr>
      <w:spacing w:line="520" w:lineRule="exact"/>
      <w:ind w:firstLine="200" w:firstLineChars="200"/>
    </w:pPr>
    <w:rPr>
      <w:rFonts w:cs="宋体"/>
      <w:sz w:val="25"/>
    </w:rPr>
  </w:style>
  <w:style w:type="paragraph" w:customStyle="1" w:styleId="145">
    <w:name w:val="论证正文主体"/>
    <w:basedOn w:val="1"/>
    <w:qFormat/>
    <w:uiPriority w:val="99"/>
    <w:pPr>
      <w:spacing w:line="360" w:lineRule="auto"/>
    </w:pPr>
    <w:rPr>
      <w:szCs w:val="22"/>
      <w:lang w:val="zh-CN"/>
    </w:rPr>
  </w:style>
  <w:style w:type="paragraph" w:customStyle="1" w:styleId="146">
    <w:name w:val="Normal (Web)1"/>
    <w:basedOn w:val="1"/>
    <w:qFormat/>
    <w:uiPriority w:val="99"/>
    <w:pPr>
      <w:widowControl/>
      <w:spacing w:before="100" w:beforeAutospacing="1" w:after="100" w:afterAutospacing="1"/>
      <w:jc w:val="left"/>
    </w:pPr>
    <w:rPr>
      <w:rFonts w:ascii="宋体" w:hAnsi="宋体"/>
    </w:rPr>
  </w:style>
  <w:style w:type="paragraph" w:customStyle="1" w:styleId="147">
    <w:name w:val="表哥哥哥哥哥哥哥哥"/>
    <w:basedOn w:val="1"/>
    <w:qFormat/>
    <w:uiPriority w:val="99"/>
    <w:pPr>
      <w:jc w:val="center"/>
    </w:pPr>
    <w:rPr>
      <w:szCs w:val="21"/>
    </w:rPr>
  </w:style>
  <w:style w:type="paragraph" w:customStyle="1" w:styleId="148">
    <w:name w:val="我的正文"/>
    <w:basedOn w:val="1"/>
    <w:qFormat/>
    <w:uiPriority w:val="99"/>
    <w:pPr>
      <w:spacing w:line="360" w:lineRule="auto"/>
      <w:ind w:firstLine="480" w:firstLineChars="200"/>
      <w:jc w:val="left"/>
    </w:pPr>
    <w:rPr>
      <w:rFonts w:hAnsi="宋体"/>
      <w:bCs/>
      <w:kern w:val="44"/>
    </w:rPr>
  </w:style>
  <w:style w:type="paragraph" w:customStyle="1" w:styleId="149">
    <w:name w:val="Z正文"/>
    <w:basedOn w:val="1"/>
    <w:qFormat/>
    <w:uiPriority w:val="99"/>
    <w:pPr>
      <w:spacing w:line="360" w:lineRule="auto"/>
      <w:ind w:firstLine="200" w:firstLineChars="200"/>
      <w:jc w:val="left"/>
    </w:pPr>
    <w:rPr>
      <w:rFonts w:ascii="Calibri" w:hAnsi="Calibri"/>
      <w:szCs w:val="22"/>
    </w:rPr>
  </w:style>
  <w:style w:type="paragraph" w:customStyle="1" w:styleId="150">
    <w:name w:val="111正文格式111"/>
    <w:basedOn w:val="1"/>
    <w:qFormat/>
    <w:uiPriority w:val="99"/>
    <w:pPr>
      <w:adjustRightInd w:val="0"/>
      <w:snapToGrid w:val="0"/>
      <w:spacing w:line="360" w:lineRule="auto"/>
      <w:ind w:firstLine="200" w:firstLineChars="200"/>
    </w:pPr>
    <w:rPr>
      <w:kern w:val="0"/>
    </w:rPr>
  </w:style>
  <w:style w:type="paragraph" w:customStyle="1" w:styleId="151">
    <w:name w:val="正文-范"/>
    <w:basedOn w:val="1"/>
    <w:qFormat/>
    <w:uiPriority w:val="0"/>
    <w:pPr>
      <w:wordWrap w:val="0"/>
      <w:autoSpaceDE w:val="0"/>
      <w:autoSpaceDN w:val="0"/>
      <w:adjustRightInd w:val="0"/>
      <w:snapToGrid w:val="0"/>
      <w:spacing w:line="360" w:lineRule="auto"/>
      <w:ind w:firstLine="720" w:firstLineChars="200"/>
      <w:jc w:val="left"/>
    </w:pPr>
    <w:rPr>
      <w:rFonts w:hint="eastAsia" w:cs="宋体"/>
      <w:kern w:val="0"/>
      <w:szCs w:val="21"/>
    </w:rPr>
  </w:style>
  <w:style w:type="paragraph" w:customStyle="1" w:styleId="152">
    <w:name w:val="样式 首行缩进:  2 字符1"/>
    <w:basedOn w:val="1"/>
    <w:qFormat/>
    <w:uiPriority w:val="0"/>
    <w:pPr>
      <w:adjustRightInd w:val="0"/>
      <w:snapToGrid w:val="0"/>
      <w:spacing w:line="360" w:lineRule="auto"/>
      <w:ind w:firstLine="480" w:firstLineChars="200"/>
    </w:pPr>
    <w:rPr>
      <w:color w:val="000000"/>
    </w:rPr>
  </w:style>
  <w:style w:type="paragraph" w:customStyle="1" w:styleId="153">
    <w:name w:val="7表格(治)"/>
    <w:qFormat/>
    <w:uiPriority w:val="0"/>
    <w:pPr>
      <w:jc w:val="center"/>
    </w:pPr>
    <w:rPr>
      <w:rFonts w:ascii="Times New Roman" w:hAnsi="Times New Roman" w:eastAsia="宋体" w:cs="Times New Roman"/>
      <w:sz w:val="21"/>
      <w:lang w:val="en-US" w:eastAsia="zh-CN" w:bidi="ar-SA"/>
    </w:rPr>
  </w:style>
  <w:style w:type="paragraph" w:customStyle="1" w:styleId="154">
    <w:name w:val=" Char Char4 Char Char"/>
    <w:basedOn w:val="1"/>
    <w:qFormat/>
    <w:uiPriority w:val="0"/>
    <w:pPr>
      <w:ind w:firstLine="0"/>
    </w:p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28.emf"/><Relationship Id="rId45" Type="http://schemas.openxmlformats.org/officeDocument/2006/relationships/chart" Target="charts/chart3.xml"/><Relationship Id="rId44" Type="http://schemas.openxmlformats.org/officeDocument/2006/relationships/chart" Target="charts/chart2.xml"/><Relationship Id="rId43" Type="http://schemas.openxmlformats.org/officeDocument/2006/relationships/chart" Target="charts/chart1.xml"/><Relationship Id="rId42" Type="http://schemas.openxmlformats.org/officeDocument/2006/relationships/image" Target="media/image27.png"/><Relationship Id="rId41" Type="http://schemas.openxmlformats.org/officeDocument/2006/relationships/image" Target="media/image26.png"/><Relationship Id="rId40" Type="http://schemas.openxmlformats.org/officeDocument/2006/relationships/image" Target="media/image25.png"/><Relationship Id="rId4" Type="http://schemas.openxmlformats.org/officeDocument/2006/relationships/footer" Target="footer1.xml"/><Relationship Id="rId39" Type="http://schemas.openxmlformats.org/officeDocument/2006/relationships/image" Target="media/image24.png"/><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wmf"/><Relationship Id="rId30" Type="http://schemas.openxmlformats.org/officeDocument/2006/relationships/oleObject" Target="embeddings/oleObject5.bin"/><Relationship Id="rId3" Type="http://schemas.openxmlformats.org/officeDocument/2006/relationships/header" Target="header1.xml"/><Relationship Id="rId29" Type="http://schemas.openxmlformats.org/officeDocument/2006/relationships/image" Target="media/image15.wmf"/><Relationship Id="rId28" Type="http://schemas.openxmlformats.org/officeDocument/2006/relationships/oleObject" Target="embeddings/oleObject4.bin"/><Relationship Id="rId27" Type="http://schemas.openxmlformats.org/officeDocument/2006/relationships/image" Target="media/image14.wmf"/><Relationship Id="rId26" Type="http://schemas.openxmlformats.org/officeDocument/2006/relationships/oleObject" Target="embeddings/oleObject3.bin"/><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emf"/><Relationship Id="rId15" Type="http://schemas.openxmlformats.org/officeDocument/2006/relationships/oleObject" Target="embeddings/oleObject2.bin"/><Relationship Id="rId14" Type="http://schemas.openxmlformats.org/officeDocument/2006/relationships/image" Target="media/image3.emf"/><Relationship Id="rId13" Type="http://schemas.openxmlformats.org/officeDocument/2006/relationships/oleObject" Target="embeddings/oleObject1.bin"/><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esktop\&#27668;&#35937;&#36164;&#26009;.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ll\Desktop\&#27668;&#35937;&#36164;&#26009;.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ll\Desktop\&#27668;&#35937;&#36164;&#26009;.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
          <c:y val="0.20225"/>
          <c:w val="0.84375"/>
          <c:h val="0.63975"/>
        </c:manualLayout>
      </c:layout>
      <c:lineChart>
        <c:grouping val="standard"/>
        <c:varyColors val="0"/>
        <c:ser>
          <c:idx val="0"/>
          <c:order val="0"/>
          <c:tx>
            <c:strRef>
              <c:f>[气象资料.XLS]数据!$A$3</c:f>
              <c:strCache>
                <c:ptCount val="1"/>
                <c:pt idx="0">
                  <c:v>  温度(℃)  </c:v>
                </c:pt>
              </c:strCache>
            </c:strRef>
          </c:tx>
          <c:spPr>
            <a:ln w="12700" cap="rnd" cmpd="sng" algn="ctr">
              <a:solidFill>
                <a:srgbClr val="000080"/>
              </a:solidFill>
              <a:prstDash val="solid"/>
              <a:round/>
            </a:ln>
          </c:spPr>
          <c:marker>
            <c:symbol val="diamond"/>
            <c:size val="5"/>
            <c:spPr>
              <a:solidFill>
                <a:srgbClr val="000080"/>
              </a:solidFill>
              <a:ln w="6350" cap="flat" cmpd="sng" algn="ctr">
                <a:solidFill>
                  <a:srgbClr val="000080"/>
                </a:solidFill>
                <a:prstDash val="solid"/>
                <a:round/>
              </a:ln>
            </c:spPr>
          </c:marker>
          <c:dLbls>
            <c:delete val="1"/>
          </c:dLbls>
          <c:cat>
            <c:strRef>
              <c:f>[气象资料.XLS]数据!$B$2:$M$2</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[气象资料.XLS]数据!$B$3:$M$3</c:f>
              <c:numCache>
                <c:formatCode>0.00_ </c:formatCode>
                <c:ptCount val="12"/>
                <c:pt idx="0">
                  <c:v>9.77999973297119</c:v>
                </c:pt>
                <c:pt idx="1">
                  <c:v>14.2799997329712</c:v>
                </c:pt>
                <c:pt idx="2">
                  <c:v>15.6700000762939</c:v>
                </c:pt>
                <c:pt idx="3">
                  <c:v>18.7099990844727</c:v>
                </c:pt>
                <c:pt idx="4">
                  <c:v>23.4400005340576</c:v>
                </c:pt>
                <c:pt idx="5">
                  <c:v>27.0100002288818</c:v>
                </c:pt>
                <c:pt idx="6">
                  <c:v>29.7399997711182</c:v>
                </c:pt>
                <c:pt idx="7">
                  <c:v>28.1700000762939</c:v>
                </c:pt>
                <c:pt idx="8">
                  <c:v>28.1700000762939</c:v>
                </c:pt>
                <c:pt idx="9">
                  <c:v>22.3199996948242</c:v>
                </c:pt>
                <c:pt idx="10">
                  <c:v>16.2099990844727</c:v>
                </c:pt>
                <c:pt idx="11">
                  <c:v>12.1400003433228</c:v>
                </c:pt>
              </c:numCache>
            </c:numRef>
          </c:val>
          <c:smooth val="0"/>
        </c:ser>
        <c:dLbls>
          <c:showLegendKey val="0"/>
          <c:showVal val="0"/>
          <c:showCatName val="0"/>
          <c:showSerName val="0"/>
          <c:showPercent val="0"/>
          <c:showBubbleSize val="0"/>
        </c:dLbls>
        <c:marker val="1"/>
        <c:smooth val="0"/>
        <c:axId val="326509696"/>
        <c:axId val="326511616"/>
      </c:lineChart>
      <c:catAx>
        <c:axId val="326509696"/>
        <c:scaling>
          <c:orientation val="minMax"/>
        </c:scaling>
        <c:delete val="0"/>
        <c:axPos val="b"/>
        <c:majorTickMark val="in"/>
        <c:minorTickMark val="none"/>
        <c:tickLblPos val="nextTo"/>
        <c:spPr>
          <a:ln w="3175" cap="flat" cmpd="sng" algn="ctr">
            <a:solidFill>
              <a:srgbClr val="000000"/>
            </a:solidFill>
            <a:prstDash val="solid"/>
            <a:round/>
          </a:ln>
        </c:spPr>
        <c:txPr>
          <a:bodyPr rot="-600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326511616"/>
        <c:crosses val="autoZero"/>
        <c:auto val="1"/>
        <c:lblAlgn val="ctr"/>
        <c:lblOffset val="100"/>
        <c:noMultiLvlLbl val="0"/>
      </c:catAx>
      <c:valAx>
        <c:axId val="326511616"/>
        <c:scaling>
          <c:orientation val="minMax"/>
        </c:scaling>
        <c:delete val="0"/>
        <c:axPos val="l"/>
        <c:majorGridlines>
          <c:spPr>
            <a:ln w="3175" cap="flat" cmpd="sng" algn="ctr">
              <a:solidFill>
                <a:srgbClr val="000000">
                  <a:alpha val="100000"/>
                </a:srgbClr>
              </a:solidFill>
              <a:prstDash val="solid"/>
              <a:round/>
            </a:ln>
          </c:spPr>
        </c:majorGridlines>
        <c:title>
          <c:tx>
            <c:rich>
              <a:bodyPr rot="-5400000" spcFirstLastPara="0" vertOverflow="ellipsis" vert="horz" wrap="square" anchor="ctr" anchorCtr="1"/>
              <a:lstStyle/>
              <a:p>
                <a:pPr defTabSz="914400">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t>温度(℃) </a:t>
                </a:r>
                <a:endParaRPr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manualLayout>
              <c:xMode val="edge"/>
              <c:yMode val="edge"/>
              <c:x val="0"/>
              <c:y val="0.411585607058126"/>
            </c:manualLayout>
          </c:layout>
          <c:overlay val="0"/>
        </c:title>
        <c:numFmt formatCode="0.00_ " sourceLinked="1"/>
        <c:majorTickMark val="in"/>
        <c:minorTickMark val="none"/>
        <c:tickLblPos val="nextTo"/>
        <c:spPr>
          <a:ln w="3175" cap="flat" cmpd="sng" algn="ctr">
            <a:solidFill>
              <a:srgbClr val="000000"/>
            </a:solidFill>
            <a:prstDash val="solid"/>
            <a:round/>
          </a:ln>
        </c:spPr>
        <c:txPr>
          <a:bodyPr rot="-600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326509696"/>
        <c:crosses val="autoZero"/>
        <c:crossBetween val="between"/>
      </c:valAx>
      <c:spPr>
        <a:solidFill>
          <a:srgbClr val="C0C0C0">
            <a:alpha val="100000"/>
          </a:srgbClr>
        </a:solidFill>
        <a:ln w="12700">
          <a:solidFill>
            <a:srgbClr val="808080">
              <a:alpha val="100000"/>
            </a:srgbClr>
          </a:solidFill>
          <a:prstDash val="solid"/>
        </a:ln>
      </c:spPr>
    </c:plotArea>
    <c:plotVisOnly val="1"/>
    <c:dispBlanksAs val="gap"/>
    <c:showDLblsOverMax val="0"/>
  </c:chart>
  <c:spPr>
    <a:solidFill>
      <a:srgbClr val="FFFFFF"/>
    </a:solidFill>
    <a:ln w="3175" cap="flat" cmpd="sng" algn="ctr">
      <a:solidFill>
        <a:srgbClr val="000000">
          <a:alpha val="100000"/>
        </a:srgbClr>
      </a:solidFill>
      <a:prstDash val="solid"/>
      <a:round/>
    </a:ln>
  </c:spPr>
  <c:txPr>
    <a:bodyPr rot="0" wrap="square" anchor="ctr" anchorCtr="1"/>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
          <c:y val="0.20225"/>
          <c:w val="0.83075"/>
          <c:h val="0.63975"/>
        </c:manualLayout>
      </c:layout>
      <c:lineChart>
        <c:grouping val="standard"/>
        <c:varyColors val="0"/>
        <c:ser>
          <c:idx val="0"/>
          <c:order val="0"/>
          <c:tx>
            <c:strRef>
              <c:f>[气象资料.XLS]数据!$A$7</c:f>
              <c:strCache>
                <c:ptCount val="1"/>
                <c:pt idx="0">
                  <c:v> 风速(m/s)  </c:v>
                </c:pt>
              </c:strCache>
            </c:strRef>
          </c:tx>
          <c:spPr>
            <a:ln w="12700" cap="rnd" cmpd="sng" algn="ctr">
              <a:solidFill>
                <a:srgbClr val="000080"/>
              </a:solidFill>
              <a:prstDash val="solid"/>
              <a:round/>
            </a:ln>
          </c:spPr>
          <c:marker>
            <c:symbol val="diamond"/>
            <c:size val="5"/>
            <c:spPr>
              <a:solidFill>
                <a:srgbClr val="000080"/>
              </a:solidFill>
              <a:ln w="6350" cap="flat" cmpd="sng" algn="ctr">
                <a:solidFill>
                  <a:srgbClr val="000080"/>
                </a:solidFill>
                <a:prstDash val="solid"/>
                <a:round/>
              </a:ln>
            </c:spPr>
          </c:marker>
          <c:dLbls>
            <c:delete val="1"/>
          </c:dLbls>
          <c:cat>
            <c:strRef>
              <c:f>[气象资料.XLS]数据!$B$6:$M$6</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[气象资料.XLS]数据!$B$7:$M$7</c:f>
              <c:numCache>
                <c:formatCode>0.00_ </c:formatCode>
                <c:ptCount val="12"/>
                <c:pt idx="0">
                  <c:v>1.48000001907349</c:v>
                </c:pt>
                <c:pt idx="1">
                  <c:v>1.55999994277954</c:v>
                </c:pt>
                <c:pt idx="2">
                  <c:v>1.52999997138977</c:v>
                </c:pt>
                <c:pt idx="3">
                  <c:v>1.57000005245209</c:v>
                </c:pt>
                <c:pt idx="4">
                  <c:v>1.36000001430511</c:v>
                </c:pt>
                <c:pt idx="5">
                  <c:v>1.49000000953674</c:v>
                </c:pt>
                <c:pt idx="6">
                  <c:v>2.14000010490417</c:v>
                </c:pt>
                <c:pt idx="7">
                  <c:v>1.63999998569489</c:v>
                </c:pt>
                <c:pt idx="8">
                  <c:v>1.83000004291534</c:v>
                </c:pt>
                <c:pt idx="9">
                  <c:v>1.74000000953674</c:v>
                </c:pt>
                <c:pt idx="10">
                  <c:v>1.33000004291534</c:v>
                </c:pt>
                <c:pt idx="11">
                  <c:v>1.42999994754791</c:v>
                </c:pt>
              </c:numCache>
            </c:numRef>
          </c:val>
          <c:smooth val="0"/>
        </c:ser>
        <c:dLbls>
          <c:showLegendKey val="0"/>
          <c:showVal val="0"/>
          <c:showCatName val="0"/>
          <c:showSerName val="0"/>
          <c:showPercent val="0"/>
          <c:showBubbleSize val="0"/>
        </c:dLbls>
        <c:marker val="1"/>
        <c:smooth val="0"/>
        <c:axId val="326523904"/>
        <c:axId val="326542464"/>
      </c:lineChart>
      <c:catAx>
        <c:axId val="326523904"/>
        <c:scaling>
          <c:orientation val="minMax"/>
        </c:scaling>
        <c:delete val="0"/>
        <c:axPos val="b"/>
        <c:majorTickMark val="in"/>
        <c:minorTickMark val="none"/>
        <c:tickLblPos val="nextTo"/>
        <c:spPr>
          <a:ln w="3175" cap="flat" cmpd="sng" algn="ctr">
            <a:solidFill>
              <a:srgbClr val="000000"/>
            </a:solidFill>
            <a:prstDash val="solid"/>
            <a:round/>
          </a:ln>
        </c:spPr>
        <c:txPr>
          <a:bodyPr rot="-600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326542464"/>
        <c:crosses val="autoZero"/>
        <c:auto val="1"/>
        <c:lblAlgn val="ctr"/>
        <c:lblOffset val="100"/>
        <c:noMultiLvlLbl val="0"/>
      </c:catAx>
      <c:valAx>
        <c:axId val="326542464"/>
        <c:scaling>
          <c:orientation val="minMax"/>
        </c:scaling>
        <c:delete val="0"/>
        <c:axPos val="l"/>
        <c:majorGridlines>
          <c:spPr>
            <a:ln w="3175" cap="flat" cmpd="sng" algn="ctr">
              <a:solidFill>
                <a:srgbClr val="000000">
                  <a:alpha val="100000"/>
                </a:srgbClr>
              </a:solidFill>
              <a:prstDash val="solid"/>
              <a:round/>
            </a:ln>
          </c:spPr>
        </c:majorGridlines>
        <c:title>
          <c:tx>
            <c:rich>
              <a:bodyPr rot="-5400000" spcFirstLastPara="0" vertOverflow="ellipsis" vert="horz" wrap="square" anchor="ctr" anchorCtr="1"/>
              <a:lstStyle/>
              <a:p>
                <a:pPr defTabSz="914400">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t>风速(m/s) </a:t>
                </a:r>
                <a:endParaRPr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manualLayout>
              <c:xMode val="edge"/>
              <c:yMode val="edge"/>
              <c:x val="0"/>
              <c:y val="0.374480107058126"/>
            </c:manualLayout>
          </c:layout>
          <c:overlay val="0"/>
        </c:title>
        <c:numFmt formatCode="0.00_ " sourceLinked="0"/>
        <c:majorTickMark val="in"/>
        <c:minorTickMark val="none"/>
        <c:tickLblPos val="nextTo"/>
        <c:spPr>
          <a:ln w="3175" cap="flat" cmpd="sng" algn="ctr">
            <a:solidFill>
              <a:srgbClr val="000000"/>
            </a:solidFill>
            <a:prstDash val="solid"/>
            <a:round/>
          </a:ln>
        </c:spPr>
        <c:txPr>
          <a:bodyPr rot="-600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326523904"/>
        <c:crosses val="autoZero"/>
        <c:crossBetween val="between"/>
      </c:valAx>
      <c:spPr>
        <a:solidFill>
          <a:srgbClr val="C0C0C0">
            <a:alpha val="100000"/>
          </a:srgbClr>
        </a:solidFill>
        <a:ln w="12700">
          <a:solidFill>
            <a:srgbClr val="808080">
              <a:alpha val="100000"/>
            </a:srgbClr>
          </a:solidFill>
          <a:prstDash val="solid"/>
        </a:ln>
      </c:spPr>
    </c:plotArea>
    <c:plotVisOnly val="1"/>
    <c:dispBlanksAs val="gap"/>
    <c:showDLblsOverMax val="0"/>
  </c:chart>
  <c:spPr>
    <a:solidFill>
      <a:srgbClr val="FFFFFF"/>
    </a:solidFill>
    <a:ln w="3175" cap="flat" cmpd="sng" algn="ctr">
      <a:solidFill>
        <a:srgbClr val="000000">
          <a:alpha val="100000"/>
        </a:srgbClr>
      </a:solidFill>
      <a:prstDash val="solid"/>
      <a:round/>
    </a:ln>
  </c:spPr>
  <c:txPr>
    <a:bodyPr rot="0" wrap="square" anchor="ctr" anchorCtr="1"/>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5"/>
          <c:y val="0.142"/>
          <c:w val="0.7285"/>
          <c:h val="0.71275"/>
        </c:manualLayout>
      </c:layout>
      <c:lineChart>
        <c:grouping val="standard"/>
        <c:varyColors val="0"/>
        <c:ser>
          <c:idx val="0"/>
          <c:order val="0"/>
          <c:tx>
            <c:strRef>
              <c:f>[气象资料.XLS]图形!$A$167</c:f>
              <c:strCache>
                <c:ptCount val="1"/>
                <c:pt idx="0">
                  <c:v>春季                </c:v>
                </c:pt>
              </c:strCache>
            </c:strRef>
          </c:tx>
          <c:spPr>
            <a:ln w="12700" cap="rnd" cmpd="sng" algn="ctr">
              <a:solidFill>
                <a:srgbClr val="000080"/>
              </a:solidFill>
              <a:prstDash val="solid"/>
              <a:round/>
            </a:ln>
          </c:spPr>
          <c:marker>
            <c:symbol val="diamond"/>
            <c:size val="5"/>
            <c:spPr>
              <a:solidFill>
                <a:srgbClr val="000080"/>
              </a:solidFill>
              <a:ln w="6350" cap="flat" cmpd="sng" algn="ctr">
                <a:solidFill>
                  <a:srgbClr val="000080"/>
                </a:solidFill>
                <a:prstDash val="solid"/>
                <a:round/>
              </a:ln>
            </c:spPr>
          </c:marker>
          <c:dLbls>
            <c:delete val="1"/>
          </c:dLbls>
          <c:val>
            <c:numRef>
              <c:f>[气象资料.XLS]图形!$B$167:$Y$167</c:f>
              <c:numCache>
                <c:formatCode>General</c:formatCode>
                <c:ptCount val="24"/>
                <c:pt idx="0">
                  <c:v>1.02999997138977</c:v>
                </c:pt>
                <c:pt idx="1">
                  <c:v>0.920000016689301</c:v>
                </c:pt>
                <c:pt idx="2">
                  <c:v>0.970000028610229</c:v>
                </c:pt>
                <c:pt idx="3">
                  <c:v>0.889999985694885</c:v>
                </c:pt>
                <c:pt idx="4">
                  <c:v>0.980000019073486</c:v>
                </c:pt>
                <c:pt idx="5">
                  <c:v>0.899999976158142</c:v>
                </c:pt>
                <c:pt idx="6">
                  <c:v>1.08000004291534</c:v>
                </c:pt>
                <c:pt idx="7">
                  <c:v>1.08000004291534</c:v>
                </c:pt>
                <c:pt idx="8">
                  <c:v>1.23000001907349</c:v>
                </c:pt>
                <c:pt idx="9">
                  <c:v>1.53999996185303</c:v>
                </c:pt>
                <c:pt idx="10">
                  <c:v>1.73000001907349</c:v>
                </c:pt>
                <c:pt idx="11">
                  <c:v>1.8400000333786</c:v>
                </c:pt>
                <c:pt idx="12">
                  <c:v>2.11999988555908</c:v>
                </c:pt>
                <c:pt idx="13">
                  <c:v>2.58999991416931</c:v>
                </c:pt>
                <c:pt idx="14">
                  <c:v>2.67000007629395</c:v>
                </c:pt>
                <c:pt idx="15">
                  <c:v>2.51999998092651</c:v>
                </c:pt>
                <c:pt idx="16">
                  <c:v>2.22000002861023</c:v>
                </c:pt>
                <c:pt idx="17">
                  <c:v>1.94000005722046</c:v>
                </c:pt>
                <c:pt idx="18">
                  <c:v>1.57000005245209</c:v>
                </c:pt>
                <c:pt idx="19">
                  <c:v>1.25</c:v>
                </c:pt>
                <c:pt idx="20">
                  <c:v>1.17999994754791</c:v>
                </c:pt>
                <c:pt idx="21">
                  <c:v>1.20000004768372</c:v>
                </c:pt>
                <c:pt idx="22">
                  <c:v>1.11000001430511</c:v>
                </c:pt>
                <c:pt idx="23">
                  <c:v>1.05999994277954</c:v>
                </c:pt>
              </c:numCache>
            </c:numRef>
          </c:val>
          <c:smooth val="0"/>
        </c:ser>
        <c:ser>
          <c:idx val="1"/>
          <c:order val="1"/>
          <c:tx>
            <c:strRef>
              <c:f>[气象资料.XLS]图形!$A$168</c:f>
              <c:strCache>
                <c:ptCount val="1"/>
                <c:pt idx="0">
                  <c:v>夏季                </c:v>
                </c:pt>
              </c:strCache>
            </c:strRef>
          </c:tx>
          <c:spPr>
            <a:ln w="12700" cap="rnd" cmpd="sng" algn="ctr">
              <a:solidFill>
                <a:srgbClr val="FF00FF"/>
              </a:solidFill>
              <a:prstDash val="solid"/>
              <a:round/>
            </a:ln>
          </c:spPr>
          <c:marker>
            <c:symbol val="square"/>
            <c:size val="5"/>
            <c:spPr>
              <a:solidFill>
                <a:srgbClr val="FF00FF"/>
              </a:solidFill>
              <a:ln w="6350" cap="flat" cmpd="sng" algn="ctr">
                <a:solidFill>
                  <a:srgbClr val="FF00FF"/>
                </a:solidFill>
                <a:prstDash val="solid"/>
                <a:round/>
              </a:ln>
            </c:spPr>
          </c:marker>
          <c:dLbls>
            <c:delete val="1"/>
          </c:dLbls>
          <c:val>
            <c:numRef>
              <c:f>[气象资料.XLS]图形!$B$168:$Y$168</c:f>
              <c:numCache>
                <c:formatCode>General</c:formatCode>
                <c:ptCount val="24"/>
                <c:pt idx="0">
                  <c:v>1.14999997615814</c:v>
                </c:pt>
                <c:pt idx="1">
                  <c:v>1.08000004291534</c:v>
                </c:pt>
                <c:pt idx="2">
                  <c:v>1.14999997615814</c:v>
                </c:pt>
                <c:pt idx="3">
                  <c:v>1.03999996185303</c:v>
                </c:pt>
                <c:pt idx="4">
                  <c:v>1.00999999046326</c:v>
                </c:pt>
                <c:pt idx="5">
                  <c:v>1</c:v>
                </c:pt>
                <c:pt idx="6">
                  <c:v>0.970000028610229</c:v>
                </c:pt>
                <c:pt idx="7">
                  <c:v>1.0900000333786</c:v>
                </c:pt>
                <c:pt idx="8">
                  <c:v>1.49000000953674</c:v>
                </c:pt>
                <c:pt idx="9">
                  <c:v>1.86000001430511</c:v>
                </c:pt>
                <c:pt idx="10">
                  <c:v>2.1800000667572</c:v>
                </c:pt>
                <c:pt idx="11">
                  <c:v>2.55999994277954</c:v>
                </c:pt>
                <c:pt idx="12">
                  <c:v>2.90000009536743</c:v>
                </c:pt>
                <c:pt idx="13">
                  <c:v>3.10999989509583</c:v>
                </c:pt>
                <c:pt idx="14">
                  <c:v>3.10999989509583</c:v>
                </c:pt>
                <c:pt idx="15">
                  <c:v>3.05999994277954</c:v>
                </c:pt>
                <c:pt idx="16">
                  <c:v>2.58999991416931</c:v>
                </c:pt>
                <c:pt idx="17">
                  <c:v>2.32999992370605</c:v>
                </c:pt>
                <c:pt idx="18">
                  <c:v>1.95000004768372</c:v>
                </c:pt>
                <c:pt idx="19">
                  <c:v>1.64999997615814</c:v>
                </c:pt>
                <c:pt idx="20">
                  <c:v>1.39999997615814</c:v>
                </c:pt>
                <c:pt idx="21">
                  <c:v>1.25</c:v>
                </c:pt>
                <c:pt idx="22">
                  <c:v>1.17999994754791</c:v>
                </c:pt>
                <c:pt idx="23">
                  <c:v>1.12999999523163</c:v>
                </c:pt>
              </c:numCache>
            </c:numRef>
          </c:val>
          <c:smooth val="0"/>
        </c:ser>
        <c:ser>
          <c:idx val="2"/>
          <c:order val="2"/>
          <c:tx>
            <c:strRef>
              <c:f>[气象资料.XLS]图形!$A$169</c:f>
              <c:strCache>
                <c:ptCount val="1"/>
                <c:pt idx="0">
                  <c:v>秋季                </c:v>
                </c:pt>
              </c:strCache>
            </c:strRef>
          </c:tx>
          <c:spPr>
            <a:ln w="12700" cap="rnd" cmpd="sng" algn="ctr">
              <a:solidFill>
                <a:srgbClr val="FFFF00"/>
              </a:solidFill>
              <a:prstDash val="solid"/>
              <a:round/>
            </a:ln>
          </c:spPr>
          <c:marker>
            <c:symbol val="triangle"/>
            <c:size val="5"/>
            <c:spPr>
              <a:solidFill>
                <a:srgbClr val="FFFF00"/>
              </a:solidFill>
              <a:ln w="6350" cap="flat" cmpd="sng" algn="ctr">
                <a:solidFill>
                  <a:srgbClr val="FFFF00"/>
                </a:solidFill>
                <a:prstDash val="solid"/>
                <a:round/>
              </a:ln>
            </c:spPr>
          </c:marker>
          <c:dLbls>
            <c:delete val="1"/>
          </c:dLbls>
          <c:val>
            <c:numRef>
              <c:f>[气象资料.XLS]图形!$B$169:$Y$169</c:f>
              <c:numCache>
                <c:formatCode>General</c:formatCode>
                <c:ptCount val="24"/>
                <c:pt idx="0">
                  <c:v>1.16999995708466</c:v>
                </c:pt>
                <c:pt idx="1">
                  <c:v>1.19000005722046</c:v>
                </c:pt>
                <c:pt idx="2">
                  <c:v>1.13999998569489</c:v>
                </c:pt>
                <c:pt idx="3">
                  <c:v>1.17999994754791</c:v>
                </c:pt>
                <c:pt idx="4">
                  <c:v>1.12999999523163</c:v>
                </c:pt>
                <c:pt idx="5">
                  <c:v>1.13999998569489</c:v>
                </c:pt>
                <c:pt idx="6">
                  <c:v>1.13999998569489</c:v>
                </c:pt>
                <c:pt idx="7">
                  <c:v>1.24000000953674</c:v>
                </c:pt>
                <c:pt idx="8">
                  <c:v>1.41999995708466</c:v>
                </c:pt>
                <c:pt idx="9">
                  <c:v>1.67999994754791</c:v>
                </c:pt>
                <c:pt idx="10">
                  <c:v>1.97000002861023</c:v>
                </c:pt>
                <c:pt idx="11">
                  <c:v>2.23000001907349</c:v>
                </c:pt>
                <c:pt idx="12">
                  <c:v>2.55999994277954</c:v>
                </c:pt>
                <c:pt idx="13">
                  <c:v>2.67000007629395</c:v>
                </c:pt>
                <c:pt idx="14">
                  <c:v>2.79999995231628</c:v>
                </c:pt>
                <c:pt idx="15">
                  <c:v>2.64000010490417</c:v>
                </c:pt>
                <c:pt idx="16">
                  <c:v>2.20000004768372</c:v>
                </c:pt>
                <c:pt idx="17">
                  <c:v>1.77999997138977</c:v>
                </c:pt>
                <c:pt idx="18">
                  <c:v>1.61000001430511</c:v>
                </c:pt>
                <c:pt idx="19">
                  <c:v>1.4099999666214</c:v>
                </c:pt>
                <c:pt idx="20">
                  <c:v>1.36000001430511</c:v>
                </c:pt>
                <c:pt idx="21">
                  <c:v>1.1599999666214</c:v>
                </c:pt>
                <c:pt idx="22">
                  <c:v>1.22000002861023</c:v>
                </c:pt>
                <c:pt idx="23">
                  <c:v>1.19000005722046</c:v>
                </c:pt>
              </c:numCache>
            </c:numRef>
          </c:val>
          <c:smooth val="0"/>
        </c:ser>
        <c:ser>
          <c:idx val="3"/>
          <c:order val="3"/>
          <c:tx>
            <c:strRef>
              <c:f>[气象资料.XLS]图形!$A$170</c:f>
              <c:strCache>
                <c:ptCount val="1"/>
                <c:pt idx="0">
                  <c:v>冬季                </c:v>
                </c:pt>
              </c:strCache>
            </c:strRef>
          </c:tx>
          <c:spPr>
            <a:ln w="12700" cap="rnd" cmpd="sng" algn="ctr">
              <a:solidFill>
                <a:srgbClr val="00FFFF"/>
              </a:solidFill>
              <a:prstDash val="solid"/>
              <a:round/>
            </a:ln>
          </c:spPr>
          <c:marker>
            <c:symbol val="x"/>
            <c:size val="5"/>
            <c:spPr>
              <a:noFill/>
              <a:ln w="6350" cap="flat" cmpd="sng" algn="ctr">
                <a:solidFill>
                  <a:srgbClr val="00FFFF"/>
                </a:solidFill>
                <a:prstDash val="solid"/>
                <a:round/>
              </a:ln>
            </c:spPr>
          </c:marker>
          <c:dLbls>
            <c:delete val="1"/>
          </c:dLbls>
          <c:val>
            <c:numRef>
              <c:f>[气象资料.XLS]图形!$B$170:$Y$170</c:f>
              <c:numCache>
                <c:formatCode>General</c:formatCode>
                <c:ptCount val="24"/>
                <c:pt idx="0">
                  <c:v>1.22000002861023</c:v>
                </c:pt>
                <c:pt idx="1">
                  <c:v>1.19000005722046</c:v>
                </c:pt>
                <c:pt idx="2">
                  <c:v>1.20000004768372</c:v>
                </c:pt>
                <c:pt idx="3">
                  <c:v>1.10000002384186</c:v>
                </c:pt>
                <c:pt idx="4">
                  <c:v>0.990000009536743</c:v>
                </c:pt>
                <c:pt idx="5">
                  <c:v>1.0900000333786</c:v>
                </c:pt>
                <c:pt idx="6">
                  <c:v>1.02999997138977</c:v>
                </c:pt>
                <c:pt idx="7">
                  <c:v>1.10000002384186</c:v>
                </c:pt>
                <c:pt idx="8">
                  <c:v>1.20000004768372</c:v>
                </c:pt>
                <c:pt idx="9">
                  <c:v>1.37000000476837</c:v>
                </c:pt>
                <c:pt idx="10">
                  <c:v>1.71000003814697</c:v>
                </c:pt>
                <c:pt idx="11">
                  <c:v>1.95000004768372</c:v>
                </c:pt>
                <c:pt idx="12">
                  <c:v>1.96000003814697</c:v>
                </c:pt>
                <c:pt idx="13">
                  <c:v>2.13000011444092</c:v>
                </c:pt>
                <c:pt idx="14">
                  <c:v>2.47000002861023</c:v>
                </c:pt>
                <c:pt idx="15">
                  <c:v>2.48000001907349</c:v>
                </c:pt>
                <c:pt idx="16">
                  <c:v>2.20000004768372</c:v>
                </c:pt>
                <c:pt idx="17">
                  <c:v>1.62000000476837</c:v>
                </c:pt>
                <c:pt idx="18">
                  <c:v>1.37999999523163</c:v>
                </c:pt>
                <c:pt idx="19">
                  <c:v>1.29999995231628</c:v>
                </c:pt>
                <c:pt idx="20">
                  <c:v>1.26999998092651</c:v>
                </c:pt>
                <c:pt idx="21">
                  <c:v>1.25</c:v>
                </c:pt>
                <c:pt idx="22">
                  <c:v>1.25</c:v>
                </c:pt>
                <c:pt idx="23">
                  <c:v>1.26999998092651</c:v>
                </c:pt>
              </c:numCache>
            </c:numRef>
          </c:val>
          <c:smooth val="0"/>
        </c:ser>
        <c:dLbls>
          <c:showLegendKey val="0"/>
          <c:showVal val="0"/>
          <c:showCatName val="0"/>
          <c:showSerName val="0"/>
          <c:showPercent val="0"/>
          <c:showBubbleSize val="0"/>
        </c:dLbls>
        <c:marker val="1"/>
        <c:smooth val="0"/>
        <c:axId val="326562176"/>
        <c:axId val="326564096"/>
      </c:lineChart>
      <c:catAx>
        <c:axId val="326562176"/>
        <c:scaling>
          <c:orientation val="minMax"/>
        </c:scaling>
        <c:delete val="0"/>
        <c:axPos val="b"/>
        <c:majorTickMark val="in"/>
        <c:minorTickMark val="none"/>
        <c:tickLblPos val="nextTo"/>
        <c:spPr>
          <a:ln w="3175" cap="flat" cmpd="sng" algn="ctr">
            <a:solidFill>
              <a:srgbClr val="000000"/>
            </a:solidFill>
            <a:prstDash val="solid"/>
            <a:round/>
          </a:ln>
        </c:spPr>
        <c:txPr>
          <a:bodyPr rot="-600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326564096"/>
        <c:crosses val="autoZero"/>
        <c:auto val="1"/>
        <c:lblAlgn val="ctr"/>
        <c:lblOffset val="100"/>
        <c:noMultiLvlLbl val="0"/>
      </c:catAx>
      <c:valAx>
        <c:axId val="326564096"/>
        <c:scaling>
          <c:orientation val="minMax"/>
        </c:scaling>
        <c:delete val="0"/>
        <c:axPos val="l"/>
        <c:majorGridlines>
          <c:spPr>
            <a:ln w="3175" cap="flat" cmpd="sng" algn="ctr">
              <a:solidFill>
                <a:srgbClr val="000000">
                  <a:alpha val="100000"/>
                </a:srgbClr>
              </a:solidFill>
              <a:prstDash val="solid"/>
              <a:round/>
            </a:ln>
          </c:spPr>
        </c:majorGridlines>
        <c:title>
          <c:tx>
            <c:rich>
              <a:bodyPr rot="-5400000" spcFirstLastPara="0" vertOverflow="ellipsis" vert="horz" wrap="square" anchor="ctr" anchorCtr="1"/>
              <a:lstStyle/>
              <a:p>
                <a:pPr defTabSz="914400">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r>
                  <a:t>风速(m/s)</a:t>
                </a:r>
                <a:endParaRPr sz="1200" b="0" i="0" u="none" strike="noStrike" baseline="0">
                  <a:solidFill>
                    <a:srgbClr val="000000"/>
                  </a:solidFill>
                  <a:latin typeface="宋体" panose="02010600030101010101" charset="-122"/>
                  <a:ea typeface="宋体" panose="02010600030101010101" charset="-122"/>
                  <a:cs typeface="宋体" panose="02010600030101010101" charset="-122"/>
                </a:endParaRPr>
              </a:p>
            </c:rich>
          </c:tx>
          <c:layout/>
          <c:overlay val="0"/>
        </c:title>
        <c:numFmt formatCode="0.00_ " sourceLinked="0"/>
        <c:majorTickMark val="in"/>
        <c:minorTickMark val="none"/>
        <c:tickLblPos val="nextTo"/>
        <c:spPr>
          <a:ln w="3175" cap="flat" cmpd="sng" algn="ctr">
            <a:solidFill>
              <a:srgbClr val="000000"/>
            </a:solidFill>
            <a:prstDash val="solid"/>
            <a:round/>
          </a:ln>
        </c:spPr>
        <c:txPr>
          <a:bodyPr rot="-6000000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crossAx val="326562176"/>
        <c:crosses val="autoZero"/>
        <c:crossBetween val="between"/>
      </c:valAx>
      <c:spPr>
        <a:solidFill>
          <a:srgbClr val="C0C0C0">
            <a:alpha val="100000"/>
          </a:srgbClr>
        </a:solidFill>
        <a:ln w="12700">
          <a:solidFill>
            <a:srgbClr val="808080">
              <a:alpha val="100000"/>
            </a:srgbClr>
          </a:solidFill>
          <a:prstDash val="solid"/>
        </a:ln>
      </c:spPr>
    </c:plotArea>
    <c:legend>
      <c:legendPos val="r"/>
      <c:layout>
        <c:manualLayout>
          <c:xMode val="edge"/>
          <c:yMode val="edge"/>
          <c:x val="0.85975"/>
          <c:y val="0.18475"/>
          <c:w val="0.12568306010929"/>
          <c:h val="0.505446623093682"/>
        </c:manualLayout>
      </c:layout>
      <c:overlay val="0"/>
      <c:spPr>
        <a:solidFill>
          <a:srgbClr val="FFFFFF"/>
        </a:solidFill>
        <a:ln w="3175">
          <a:solidFill>
            <a:srgbClr val="000000">
              <a:alpha val="100000"/>
            </a:srgbClr>
          </a:solidFill>
          <a:prstDash val="solid"/>
        </a:ln>
      </c:spPr>
      <c:txPr>
        <a:bodyPr rot="0" spcFirstLastPara="0" vertOverflow="ellipsis" vert="horz" wrap="square" anchor="ctr" anchorCtr="1"/>
        <a:lstStyle/>
        <a:p>
          <a:pPr>
            <a:defRPr lang="zh-CN" sz="1200" b="0" i="0" u="none" strike="noStrike" kern="1200" baseline="0">
              <a:solidFill>
                <a:srgbClr val="000000"/>
              </a:solidFill>
              <a:latin typeface="宋体" panose="02010600030101010101" charset="-122"/>
              <a:ea typeface="宋体" panose="02010600030101010101" charset="-122"/>
              <a:cs typeface="宋体" panose="02010600030101010101" charset="-122"/>
            </a:defRPr>
          </a:pPr>
        </a:p>
      </c:txPr>
    </c:legend>
    <c:plotVisOnly val="1"/>
    <c:dispBlanksAs val="gap"/>
    <c:showDLblsOverMax val="0"/>
  </c:chart>
  <c:spPr>
    <a:solidFill>
      <a:srgbClr val="FFFFFF"/>
    </a:solidFill>
    <a:ln w="3175" cap="flat" cmpd="sng" algn="ctr">
      <a:solidFill>
        <a:srgbClr val="000000">
          <a:alpha val="100000"/>
        </a:srgbClr>
      </a:solidFill>
      <a:prstDash val="solid"/>
      <a:round/>
    </a:ln>
  </c:spPr>
  <c:txPr>
    <a:bodyPr rot="0" wrap="square" anchor="ctr" anchorCtr="1"/>
    <a:lstStyle/>
    <a:p>
      <a:pPr>
        <a:defRPr lang="zh-CN" sz="1200" b="0" i="0" u="none" strike="noStrike" baseline="0">
          <a:solidFill>
            <a:srgbClr val="000000"/>
          </a:solidFill>
          <a:latin typeface="宋体" panose="02010600030101010101" charset="-122"/>
          <a:ea typeface="宋体" panose="02010600030101010101" charset="-122"/>
          <a:cs typeface="宋体" panose="02010600030101010101" charset="-122"/>
        </a:defRPr>
      </a:pPr>
    </a:p>
  </c:txPr>
  <c:externalData r:id="rId1">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Pages>191</Pages>
  <Words>66472</Words>
  <Characters>77538</Characters>
  <Lines>204</Lines>
  <Paragraphs>57</Paragraphs>
  <TotalTime>8</TotalTime>
  <ScaleCrop>false</ScaleCrop>
  <LinksUpToDate>false</LinksUpToDate>
  <CharactersWithSpaces>78111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2021-05-31T16:18:00Z</dcterms:created>
  <dc:creator>尚云环境</dc:creator>
  <cp:lastModifiedBy>JJBoom</cp:lastModifiedBy>
  <cp:lastPrinted>2023-04-17T02:35:00Z</cp:lastPrinted>
  <dcterms:modified xsi:type="dcterms:W3CDTF">2023-04-20T02:29:18Z</dcterms:modified>
  <dc:title>建设项目环境影响报告表（污染影响类）</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KSOSaveFontToCloudKey">
    <vt:lpwstr>376035422_btnclosed</vt:lpwstr>
  </property>
  <property fmtid="{D5CDD505-2E9C-101B-9397-08002B2CF9AE}" pid="4" name="ICV">
    <vt:lpwstr>211594AC8E90442E9EFAFB88F5D93997</vt:lpwstr>
  </property>
</Properties>
</file>